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458A4">
      <w:pPr>
        <w:pStyle w:val="2"/>
        <w:rPr>
          <w:rFonts w:hint="eastAsia"/>
          <w:lang w:val="en-US" w:eastAsia="zh-CN"/>
        </w:rPr>
      </w:pPr>
    </w:p>
    <w:p w14:paraId="13CF9E5E">
      <w:pPr>
        <w:keepNext w:val="0"/>
        <w:keepLines w:val="0"/>
        <w:pageBreakBefore w:val="0"/>
        <w:widowControl/>
        <w:suppressLineNumbers w:val="0"/>
        <w:shd w:val="clear" w:fill="FFFFFF"/>
        <w:kinsoku/>
        <w:wordWrap/>
        <w:overflowPunct/>
        <w:topLinePunct w:val="0"/>
        <w:autoSpaceDE/>
        <w:autoSpaceDN/>
        <w:bidi w:val="0"/>
        <w:adjustRightInd/>
        <w:spacing w:before="0" w:beforeAutospacing="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auto"/>
          <w:spacing w:val="0"/>
          <w:kern w:val="0"/>
          <w:sz w:val="44"/>
          <w:szCs w:val="44"/>
          <w:shd w:val="clear" w:fill="FFFFFF"/>
          <w:lang w:val="en-US" w:eastAsia="zh-CN" w:bidi="ar"/>
        </w:rPr>
      </w:pPr>
      <w:r>
        <w:rPr>
          <w:rFonts w:hint="eastAsia" w:ascii="方正小标宋_GBK" w:hAnsi="方正小标宋_GBK" w:eastAsia="方正小标宋_GBK" w:cs="方正小标宋_GBK"/>
          <w:b w:val="0"/>
          <w:bCs w:val="0"/>
          <w:i w:val="0"/>
          <w:iCs w:val="0"/>
          <w:caps w:val="0"/>
          <w:color w:val="auto"/>
          <w:spacing w:val="0"/>
          <w:kern w:val="0"/>
          <w:sz w:val="44"/>
          <w:szCs w:val="44"/>
          <w:shd w:val="clear" w:fill="FFFFFF"/>
          <w:lang w:val="en-US" w:eastAsia="zh-CN" w:bidi="ar"/>
        </w:rPr>
        <w:t>淮安市危险废物利用处置设施建设引导性公告（2026年）</w:t>
      </w:r>
    </w:p>
    <w:p w14:paraId="50EC82FD">
      <w:pPr>
        <w:pStyle w:val="2"/>
        <w:keepNext w:val="0"/>
        <w:keepLines w:val="0"/>
        <w:pageBreakBefore w:val="0"/>
        <w:kinsoku/>
        <w:wordWrap/>
        <w:overflowPunct/>
        <w:topLinePunct w:val="0"/>
        <w:autoSpaceDE/>
        <w:autoSpaceDN/>
        <w:bidi w:val="0"/>
        <w:adjustRightInd/>
        <w:spacing w:before="0" w:line="560" w:lineRule="exact"/>
        <w:ind w:left="0" w:right="0"/>
        <w:textAlignment w:val="auto"/>
        <w:rPr>
          <w:rFonts w:hint="eastAsia" w:cs="Times New Roman"/>
          <w:color w:val="000000"/>
          <w:kern w:val="2"/>
          <w:sz w:val="32"/>
          <w:szCs w:val="32"/>
          <w:lang w:val="en-US" w:eastAsia="zh-CN" w:bidi="ar-SA"/>
        </w:rPr>
      </w:pPr>
    </w:p>
    <w:p w14:paraId="468EF74A">
      <w:pPr>
        <w:pStyle w:val="2"/>
        <w:keepNext w:val="0"/>
        <w:keepLines w:val="0"/>
        <w:pageBreakBefore w:val="0"/>
        <w:kinsoku/>
        <w:wordWrap/>
        <w:overflowPunct/>
        <w:topLinePunct w:val="0"/>
        <w:autoSpaceDE/>
        <w:autoSpaceDN/>
        <w:bidi w:val="0"/>
        <w:adjustRightInd/>
        <w:spacing w:before="0" w:line="560" w:lineRule="exact"/>
        <w:ind w:left="0" w:right="0"/>
        <w:textAlignment w:val="auto"/>
        <w:rPr>
          <w:rFonts w:hint="eastAsia" w:ascii="Times New Roman" w:hAnsi="Times New Roman" w:eastAsia="方正仿宋_GBK" w:cs="Times New Roman"/>
          <w:color w:val="000000"/>
          <w:kern w:val="2"/>
          <w:sz w:val="32"/>
          <w:szCs w:val="32"/>
          <w:lang w:val="en-US" w:eastAsia="zh-CN" w:bidi="ar-SA"/>
        </w:rPr>
      </w:pPr>
      <w:r>
        <w:rPr>
          <w:rFonts w:hint="eastAsia" w:cs="Times New Roman"/>
          <w:color w:val="000000"/>
          <w:kern w:val="2"/>
          <w:sz w:val="32"/>
          <w:szCs w:val="32"/>
          <w:lang w:val="en-US" w:eastAsia="zh-CN" w:bidi="ar-SA"/>
        </w:rPr>
        <w:t>为进一步优化</w:t>
      </w:r>
      <w:r>
        <w:rPr>
          <w:rFonts w:hint="eastAsia" w:ascii="Times New Roman" w:hAnsi="Times New Roman" w:eastAsia="方正仿宋_GBK" w:cs="Times New Roman"/>
          <w:color w:val="000000"/>
          <w:kern w:val="2"/>
          <w:sz w:val="32"/>
          <w:szCs w:val="32"/>
          <w:lang w:val="en-US" w:eastAsia="zh-CN" w:bidi="ar-SA"/>
        </w:rPr>
        <w:t>营商环境</w:t>
      </w:r>
      <w:r>
        <w:rPr>
          <w:rFonts w:hint="eastAsia" w:cs="Times New Roman"/>
          <w:color w:val="000000"/>
          <w:kern w:val="2"/>
          <w:sz w:val="32"/>
          <w:szCs w:val="32"/>
          <w:lang w:val="en-US" w:eastAsia="zh-CN" w:bidi="ar-SA"/>
        </w:rPr>
        <w:t>，强化</w:t>
      </w:r>
      <w:r>
        <w:rPr>
          <w:rFonts w:hint="eastAsia" w:ascii="Times New Roman" w:hAnsi="Times New Roman" w:eastAsia="方正仿宋_GBK" w:cs="Times New Roman"/>
          <w:color w:val="000000"/>
          <w:kern w:val="2"/>
          <w:sz w:val="32"/>
          <w:szCs w:val="32"/>
          <w:lang w:val="en-US" w:eastAsia="zh-CN" w:bidi="ar-SA"/>
        </w:rPr>
        <w:t>“项目为王环境是金”工作导向，科学引导危险废物利用处置行业发展，促进经营主体提升危险废物利用处置能力建设配置效率</w:t>
      </w:r>
      <w:r>
        <w:rPr>
          <w:rFonts w:hint="eastAsia"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根据</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《中华人民共和国</w:t>
      </w:r>
      <w:r>
        <w:rPr>
          <w:rFonts w:hint="eastAsia" w:cs="Times New Roman"/>
          <w:color w:val="000000" w:themeColor="text1"/>
          <w:kern w:val="2"/>
          <w:sz w:val="32"/>
          <w:szCs w:val="32"/>
          <w:lang w:val="en-US" w:eastAsia="zh-CN" w:bidi="ar-SA"/>
          <w14:textFill>
            <w14:solidFill>
              <w14:schemeClr w14:val="tx1"/>
            </w14:solidFill>
          </w14:textFill>
        </w:rPr>
        <w:t>生态环境法典</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w:t>
      </w:r>
      <w:r>
        <w:rPr>
          <w:rFonts w:hint="eastAsia" w:cs="Times New Roman"/>
          <w:color w:val="000000" w:themeColor="text1"/>
          <w:kern w:val="2"/>
          <w:sz w:val="32"/>
          <w:szCs w:val="32"/>
          <w:lang w:val="en-US" w:eastAsia="zh-CN" w:bidi="ar-SA"/>
          <w14:textFill>
            <w14:solidFill>
              <w14:schemeClr w14:val="tx1"/>
            </w14:solidFill>
          </w14:textFill>
        </w:rPr>
        <w:t>等法律法规和政策文件</w:t>
      </w:r>
      <w:r>
        <w:rPr>
          <w:rFonts w:hint="eastAsia" w:ascii="Times New Roman" w:hAnsi="Times New Roman" w:eastAsia="方正仿宋_GBK" w:cs="Times New Roman"/>
          <w:color w:val="000000"/>
          <w:kern w:val="2"/>
          <w:sz w:val="32"/>
          <w:szCs w:val="32"/>
          <w:lang w:val="en-US" w:eastAsia="zh-CN" w:bidi="ar-SA"/>
        </w:rPr>
        <w:t>要求，现发布淮安市危险废物利用处置设施建设引导性公告。</w:t>
      </w:r>
    </w:p>
    <w:p w14:paraId="5C92E602">
      <w:pPr>
        <w:keepNext w:val="0"/>
        <w:keepLines w:val="0"/>
        <w:pageBreakBefore w:val="0"/>
        <w:numPr>
          <w:ilvl w:val="0"/>
          <w:numId w:val="1"/>
        </w:numPr>
        <w:kinsoku/>
        <w:wordWrap/>
        <w:overflowPunct/>
        <w:topLinePunct w:val="0"/>
        <w:autoSpaceDE/>
        <w:autoSpaceDN/>
        <w:bidi w:val="0"/>
        <w:adjustRightInd/>
        <w:spacing w:before="0" w:line="560" w:lineRule="exact"/>
        <w:ind w:left="0" w:right="0"/>
        <w:textAlignment w:val="auto"/>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危险废物产生及利用处置情况</w:t>
      </w:r>
    </w:p>
    <w:p w14:paraId="0C972F76">
      <w:pPr>
        <w:keepNext w:val="0"/>
        <w:keepLines w:val="0"/>
        <w:pageBreakBefore w:val="0"/>
        <w:widowControl w:val="0"/>
        <w:kinsoku/>
        <w:wordWrap/>
        <w:overflowPunct/>
        <w:topLinePunct w:val="0"/>
        <w:autoSpaceDE/>
        <w:autoSpaceDN/>
        <w:bidi w:val="0"/>
        <w:adjustRightInd/>
        <w:spacing w:line="560" w:lineRule="exact"/>
        <w:ind w:left="0" w:leftChars="0" w:firstLine="560"/>
        <w:jc w:val="both"/>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2025年本市危险废物（含医疗废物）产生量36.77万吨，利用量为17.</w:t>
      </w:r>
      <w:r>
        <w:rPr>
          <w:rFonts w:hint="eastAsia" w:ascii="Times New Roman" w:hAnsi="Times New Roman" w:eastAsia="方正仿宋_GBK" w:cs="Times New Roman"/>
          <w:color w:val="000000"/>
          <w:kern w:val="2"/>
          <w:sz w:val="32"/>
          <w:szCs w:val="32"/>
          <w:lang w:val="en-US" w:eastAsia="zh-CN" w:bidi="ar-SA"/>
        </w:rPr>
        <w:t>42</w:t>
      </w:r>
      <w:r>
        <w:rPr>
          <w:rFonts w:hint="default" w:ascii="Times New Roman" w:hAnsi="Times New Roman" w:eastAsia="方正仿宋_GBK" w:cs="Times New Roman"/>
          <w:color w:val="000000"/>
          <w:kern w:val="2"/>
          <w:sz w:val="32"/>
          <w:szCs w:val="32"/>
          <w:lang w:val="en-US" w:eastAsia="zh-CN" w:bidi="ar-SA"/>
        </w:rPr>
        <w:t>万吨</w:t>
      </w:r>
      <w:r>
        <w:rPr>
          <w:rFonts w:hint="eastAsia" w:cs="Times New Roman"/>
          <w:color w:val="000000"/>
          <w:kern w:val="2"/>
          <w:sz w:val="32"/>
          <w:szCs w:val="32"/>
          <w:lang w:val="en-US" w:eastAsia="zh-CN" w:bidi="ar-SA"/>
        </w:rPr>
        <w:t>、</w:t>
      </w:r>
      <w:r>
        <w:rPr>
          <w:rFonts w:hint="default" w:ascii="Times New Roman" w:hAnsi="Times New Roman" w:eastAsia="方正仿宋_GBK" w:cs="Times New Roman"/>
          <w:color w:val="000000"/>
          <w:kern w:val="2"/>
          <w:sz w:val="32"/>
          <w:szCs w:val="32"/>
          <w:lang w:val="en-US" w:eastAsia="zh-CN" w:bidi="ar-SA"/>
        </w:rPr>
        <w:t>处置量为18.</w:t>
      </w:r>
      <w:r>
        <w:rPr>
          <w:rFonts w:hint="eastAsia" w:cs="Times New Roman"/>
          <w:color w:val="000000"/>
          <w:kern w:val="2"/>
          <w:sz w:val="32"/>
          <w:szCs w:val="32"/>
          <w:lang w:val="en-US" w:eastAsia="zh-CN" w:bidi="ar-SA"/>
        </w:rPr>
        <w:t>91</w:t>
      </w:r>
      <w:r>
        <w:rPr>
          <w:rFonts w:hint="default" w:ascii="Times New Roman" w:hAnsi="Times New Roman" w:eastAsia="方正仿宋_GBK" w:cs="Times New Roman"/>
          <w:color w:val="000000"/>
          <w:kern w:val="2"/>
          <w:sz w:val="32"/>
          <w:szCs w:val="32"/>
          <w:lang w:val="en-US" w:eastAsia="zh-CN" w:bidi="ar-SA"/>
        </w:rPr>
        <w:t>万吨</w:t>
      </w:r>
      <w:r>
        <w:rPr>
          <w:rFonts w:hint="eastAsia" w:cs="Times New Roman"/>
          <w:color w:val="000000"/>
          <w:kern w:val="2"/>
          <w:sz w:val="32"/>
          <w:szCs w:val="32"/>
          <w:lang w:val="en-US" w:eastAsia="zh-CN" w:bidi="ar-SA"/>
        </w:rPr>
        <w:t>、</w:t>
      </w:r>
      <w:r>
        <w:rPr>
          <w:rFonts w:hint="default" w:ascii="Times New Roman" w:hAnsi="Times New Roman" w:eastAsia="方正仿宋_GBK" w:cs="Times New Roman"/>
          <w:color w:val="000000"/>
          <w:kern w:val="2"/>
          <w:sz w:val="32"/>
          <w:szCs w:val="32"/>
          <w:lang w:val="en-US" w:eastAsia="zh-CN" w:bidi="ar-SA"/>
        </w:rPr>
        <w:t>贮存量为0.63万吨。</w:t>
      </w:r>
    </w:p>
    <w:p w14:paraId="20D020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kern w:val="2"/>
          <w:sz w:val="32"/>
          <w:szCs w:val="32"/>
          <w:lang w:val="en-US" w:eastAsia="zh-CN" w:bidi="ar-SA"/>
        </w:rPr>
        <w:t>2025年全市自行利用处置</w:t>
      </w:r>
      <w:r>
        <w:rPr>
          <w:rFonts w:hint="eastAsia" w:cs="Times New Roman"/>
          <w:color w:val="000000"/>
          <w:kern w:val="2"/>
          <w:sz w:val="32"/>
          <w:szCs w:val="32"/>
          <w:lang w:val="en-US" w:eastAsia="zh-CN" w:bidi="ar-SA"/>
        </w:rPr>
        <w:t>危险废物</w:t>
      </w:r>
      <w:r>
        <w:rPr>
          <w:rFonts w:hint="eastAsia" w:ascii="Times New Roman" w:hAnsi="Times New Roman" w:eastAsia="方正仿宋_GBK" w:cs="Times New Roman"/>
          <w:color w:val="000000"/>
          <w:kern w:val="2"/>
          <w:sz w:val="32"/>
          <w:szCs w:val="32"/>
          <w:lang w:val="en-US" w:eastAsia="zh-CN" w:bidi="ar-SA"/>
        </w:rPr>
        <w:t>量</w:t>
      </w:r>
      <w:r>
        <w:rPr>
          <w:rFonts w:hint="eastAsia" w:cs="Times New Roman"/>
          <w:color w:val="000000"/>
          <w:kern w:val="2"/>
          <w:sz w:val="32"/>
          <w:szCs w:val="32"/>
          <w:lang w:val="en-US" w:eastAsia="zh-CN" w:bidi="ar-SA"/>
        </w:rPr>
        <w:t>为</w:t>
      </w:r>
      <w:r>
        <w:rPr>
          <w:rFonts w:hint="eastAsia" w:ascii="Times New Roman" w:hAnsi="Times New Roman" w:eastAsia="方正仿宋_GBK" w:cs="Times New Roman"/>
          <w:color w:val="000000"/>
          <w:kern w:val="2"/>
          <w:sz w:val="32"/>
          <w:szCs w:val="32"/>
          <w:lang w:val="en-US" w:eastAsia="zh-CN" w:bidi="ar-SA"/>
        </w:rPr>
        <w:t>8.94万吨，其中自行利用2.65万吨</w:t>
      </w:r>
      <w:r>
        <w:rPr>
          <w:rFonts w:hint="eastAsia"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自行焚烧处置2.79万吨</w:t>
      </w:r>
      <w:r>
        <w:rPr>
          <w:rFonts w:hint="eastAsia"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自行填埋处置量3.50万吨；委外利用处置量27.</w:t>
      </w:r>
      <w:r>
        <w:rPr>
          <w:rFonts w:hint="eastAsia" w:cs="Times New Roman"/>
          <w:color w:val="000000"/>
          <w:kern w:val="2"/>
          <w:sz w:val="32"/>
          <w:szCs w:val="32"/>
          <w:lang w:val="en-US" w:eastAsia="zh-CN" w:bidi="ar-SA"/>
        </w:rPr>
        <w:t>85</w:t>
      </w:r>
      <w:r>
        <w:rPr>
          <w:rFonts w:hint="eastAsia" w:ascii="Times New Roman" w:hAnsi="Times New Roman" w:eastAsia="方正仿宋_GBK" w:cs="Times New Roman"/>
          <w:color w:val="000000"/>
          <w:kern w:val="2"/>
          <w:sz w:val="32"/>
          <w:szCs w:val="32"/>
          <w:lang w:val="en-US" w:eastAsia="zh-CN" w:bidi="ar-SA"/>
        </w:rPr>
        <w:t>万吨，其中转出利用14.77万吨</w:t>
      </w:r>
      <w:r>
        <w:rPr>
          <w:rFonts w:hint="eastAsia"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转出处置12.</w:t>
      </w:r>
      <w:r>
        <w:rPr>
          <w:rFonts w:hint="eastAsia" w:cs="Times New Roman"/>
          <w:color w:val="000000"/>
          <w:kern w:val="2"/>
          <w:sz w:val="32"/>
          <w:szCs w:val="32"/>
          <w:lang w:val="en-US" w:eastAsia="zh-CN" w:bidi="ar-SA"/>
        </w:rPr>
        <w:t>62</w:t>
      </w:r>
      <w:r>
        <w:rPr>
          <w:rFonts w:hint="eastAsia" w:ascii="Times New Roman" w:hAnsi="Times New Roman" w:eastAsia="方正仿宋_GBK" w:cs="Times New Roman"/>
          <w:color w:val="000000"/>
          <w:kern w:val="2"/>
          <w:sz w:val="32"/>
          <w:szCs w:val="32"/>
          <w:lang w:val="en-US" w:eastAsia="zh-CN" w:bidi="ar-SA"/>
        </w:rPr>
        <w:t>万吨</w:t>
      </w:r>
      <w:r>
        <w:rPr>
          <w:rFonts w:hint="eastAsia"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转出收集0.46万吨。</w:t>
      </w:r>
    </w:p>
    <w:p w14:paraId="6AB7313A">
      <w:pPr>
        <w:pStyle w:val="2"/>
        <w:keepNext w:val="0"/>
        <w:keepLines w:val="0"/>
        <w:pageBreakBefore w:val="0"/>
        <w:kinsoku/>
        <w:wordWrap/>
        <w:overflowPunct/>
        <w:topLinePunct w:val="0"/>
        <w:autoSpaceDE/>
        <w:autoSpaceDN/>
        <w:bidi w:val="0"/>
        <w:adjustRightInd/>
        <w:spacing w:before="0" w:line="560" w:lineRule="exact"/>
        <w:ind w:left="0" w:right="0"/>
        <w:textAlignment w:val="auto"/>
        <w:rPr>
          <w:rFonts w:hint="default" w:ascii="Times New Roman" w:hAnsi="Times New Roman" w:eastAsia="方正仿宋_GBK" w:cs="Times New Roman"/>
          <w:color w:val="000000"/>
          <w:kern w:val="2"/>
          <w:sz w:val="32"/>
          <w:szCs w:val="32"/>
          <w:lang w:val="en-US" w:eastAsia="zh-CN" w:bidi="ar-SA"/>
        </w:rPr>
      </w:pPr>
      <w:r>
        <w:rPr>
          <w:rFonts w:hint="eastAsia" w:cs="Times New Roman"/>
          <w:color w:val="000000"/>
          <w:kern w:val="2"/>
          <w:sz w:val="32"/>
          <w:szCs w:val="32"/>
          <w:lang w:val="en-US" w:eastAsia="zh-CN" w:bidi="ar-SA"/>
        </w:rPr>
        <w:t>2025年</w:t>
      </w:r>
      <w:r>
        <w:rPr>
          <w:rFonts w:hint="default" w:ascii="Times New Roman" w:hAnsi="Times New Roman" w:eastAsia="方正仿宋_GBK" w:cs="Times New Roman"/>
          <w:color w:val="000000"/>
          <w:kern w:val="2"/>
          <w:sz w:val="32"/>
          <w:szCs w:val="32"/>
          <w:lang w:val="en-US" w:eastAsia="zh-CN" w:bidi="ar-SA"/>
        </w:rPr>
        <w:t>本市危险废物（含医疗废物）产生量排名前</w:t>
      </w:r>
      <w:r>
        <w:rPr>
          <w:rFonts w:hint="eastAsia" w:cs="Times New Roman"/>
          <w:color w:val="000000"/>
          <w:kern w:val="2"/>
          <w:sz w:val="32"/>
          <w:szCs w:val="32"/>
          <w:lang w:val="en-US" w:eastAsia="zh-CN" w:bidi="ar-SA"/>
        </w:rPr>
        <w:t>十</w:t>
      </w:r>
      <w:r>
        <w:rPr>
          <w:rFonts w:hint="default" w:ascii="Times New Roman" w:hAnsi="Times New Roman" w:eastAsia="方正仿宋_GBK" w:cs="Times New Roman"/>
          <w:color w:val="000000"/>
          <w:kern w:val="2"/>
          <w:sz w:val="32"/>
          <w:szCs w:val="32"/>
          <w:lang w:val="en-US" w:eastAsia="zh-CN" w:bidi="ar-SA"/>
        </w:rPr>
        <w:t>的种类依次为HW18、HW11、HW34</w:t>
      </w:r>
      <w:r>
        <w:rPr>
          <w:rFonts w:hint="default" w:ascii="Times New Roman" w:hAnsi="Times New Roman" w:eastAsia="方正仿宋_GBK" w:cs="Times New Roman"/>
          <w:color w:val="000000"/>
          <w:kern w:val="2"/>
          <w:sz w:val="32"/>
          <w:szCs w:val="32"/>
          <w:lang w:val="en-US" w:eastAsia="zh-CN" w:bidi="ar-SA"/>
        </w:rPr>
        <mc:AlternateContent>
          <mc:Choice Requires="wps">
            <w:drawing>
              <wp:anchor distT="0" distB="0" distL="114300" distR="114300" simplePos="0" relativeHeight="251659264" behindDoc="0" locked="0" layoutInCell="1" allowOverlap="1">
                <wp:simplePos x="0" y="0"/>
                <wp:positionH relativeFrom="page">
                  <wp:posOffset>1066800</wp:posOffset>
                </wp:positionH>
                <wp:positionV relativeFrom="paragraph">
                  <wp:posOffset>8547100</wp:posOffset>
                </wp:positionV>
                <wp:extent cx="1308100" cy="177800"/>
                <wp:effectExtent l="0" t="0" r="0" b="0"/>
                <wp:wrapNone/>
                <wp:docPr id="41" name="文本框 41"/>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026A63BF">
                            <w:pPr>
                              <w:spacing w:line="260" w:lineRule="exact"/>
                              <w:jc w:val="center"/>
                            </w:pPr>
                            <w:r>
                              <w:rPr>
                                <w:rFonts w:hint="eastAsia" w:ascii="宋体" w:hAnsi="宋体" w:eastAsia="宋体"/>
                                <w:color w:val="000000"/>
                                <w:sz w:val="22"/>
                              </w:rPr>
                              <w:t>-20-</w:t>
                            </w:r>
                          </w:p>
                        </w:txbxContent>
                      </wps:txbx>
                      <wps:bodyPr lIns="25400" tIns="0" rIns="25400" bIns="0">
                        <a:noAutofit/>
                      </wps:bodyPr>
                    </wps:wsp>
                  </a:graphicData>
                </a:graphic>
              </wp:anchor>
            </w:drawing>
          </mc:Choice>
          <mc:Fallback>
            <w:pict>
              <v:shape id="_x0000_s1026" o:spid="_x0000_s1026" o:spt="202" type="#_x0000_t202" style="position:absolute;left:0pt;margin-left:84pt;margin-top:673pt;height:14pt;width:103pt;mso-position-horizontal-relative:page;z-index:251659264;mso-width-relative:page;mso-height-relative:page;" filled="f" stroked="f" coordsize="21600,21600" o:gfxdata="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nVVVLZAAAADQEA&#10;AA8AAAAAAAAAAQAgAAAAIgAAAGRycy9kb3ducmV2LnhtbFBLAQIUABQAAAAIAIdO4kAbm6p34AEA&#10;AK4DAAAOAAAAAAAAAAEAIAAAACgBAABkcnMvZTJvRG9jLnhtbFBLBQYAAAAABgAGAFkBAAB6BQAA&#10;AAA=&#10;">
                <v:fill on="f" focussize="0,0"/>
                <v:stroke on="f" weight="0.5pt"/>
                <v:imagedata o:title=""/>
                <o:lock v:ext="edit" aspectratio="f"/>
                <v:textbox inset="2pt,0mm,2pt,0mm">
                  <w:txbxContent>
                    <w:p w14:paraId="026A63BF">
                      <w:pPr>
                        <w:spacing w:line="260" w:lineRule="exact"/>
                        <w:jc w:val="center"/>
                      </w:pPr>
                      <w:r>
                        <w:rPr>
                          <w:rFonts w:hint="eastAsia" w:ascii="宋体" w:hAnsi="宋体" w:eastAsia="宋体"/>
                          <w:color w:val="000000"/>
                          <w:sz w:val="22"/>
                        </w:rPr>
                        <w:t>-20-</w:t>
                      </w:r>
                    </w:p>
                  </w:txbxContent>
                </v:textbox>
              </v:shape>
            </w:pict>
          </mc:Fallback>
        </mc:AlternateContent>
      </w:r>
      <w:r>
        <w:rPr>
          <w:rFonts w:hint="default" w:ascii="Times New Roman" w:hAnsi="Times New Roman" w:eastAsia="方正仿宋_GBK" w:cs="Times New Roman"/>
          <w:color w:val="000000"/>
          <w:kern w:val="2"/>
          <w:sz w:val="32"/>
          <w:szCs w:val="32"/>
          <w:lang w:val="en-US" w:eastAsia="zh-CN" w:bidi="ar-SA"/>
        </w:rPr>
        <w:t>、HW22</w:t>
      </w:r>
      <w:r>
        <w:rPr>
          <w:rFonts w:hint="eastAsia" w:cs="Times New Roman"/>
          <w:color w:val="000000"/>
          <w:kern w:val="2"/>
          <w:sz w:val="32"/>
          <w:szCs w:val="32"/>
          <w:lang w:val="en-US" w:eastAsia="zh-CN" w:bidi="ar-SA"/>
        </w:rPr>
        <w:t>、</w:t>
      </w:r>
      <w:r>
        <w:rPr>
          <w:rFonts w:hint="default" w:ascii="Times New Roman" w:hAnsi="Times New Roman" w:eastAsia="方正仿宋_GBK" w:cs="Times New Roman"/>
          <w:color w:val="000000"/>
          <w:kern w:val="2"/>
          <w:sz w:val="32"/>
          <w:szCs w:val="32"/>
          <w:lang w:val="en-US" w:eastAsia="zh-CN" w:bidi="ar-SA"/>
        </w:rPr>
        <w:t>HW06</w:t>
      </w:r>
      <w:r>
        <w:rPr>
          <w:rFonts w:hint="eastAsia" w:cs="Times New Roman"/>
          <w:color w:val="000000"/>
          <w:kern w:val="2"/>
          <w:sz w:val="32"/>
          <w:szCs w:val="32"/>
          <w:lang w:val="en-US" w:eastAsia="zh-CN" w:bidi="ar-SA"/>
        </w:rPr>
        <w:t>、HW31、HW17、HW04、HW49、HW08</w:t>
      </w:r>
      <w:r>
        <w:rPr>
          <w:rFonts w:hint="default" w:ascii="Times New Roman" w:hAnsi="Times New Roman" w:eastAsia="方正仿宋_GBK" w:cs="Times New Roman"/>
          <w:color w:val="000000"/>
          <w:kern w:val="2"/>
          <w:sz w:val="32"/>
          <w:szCs w:val="32"/>
          <w:lang w:val="en-US" w:eastAsia="zh-CN" w:bidi="ar-SA"/>
        </w:rPr>
        <w:t>，</w:t>
      </w:r>
      <w:r>
        <w:rPr>
          <w:rFonts w:hint="eastAsia" w:cs="Times New Roman"/>
          <w:color w:val="000000"/>
          <w:kern w:val="2"/>
          <w:sz w:val="32"/>
          <w:szCs w:val="32"/>
          <w:lang w:val="en-US" w:eastAsia="zh-CN" w:bidi="ar-SA"/>
        </w:rPr>
        <w:t>占产生总量的87.15%，分别为</w:t>
      </w:r>
      <w:r>
        <w:rPr>
          <w:rFonts w:hint="eastAsia" w:ascii="Times New Roman" w:hAnsi="Times New Roman" w:eastAsia="方正仿宋_GBK" w:cs="Times New Roman"/>
          <w:color w:val="000000"/>
          <w:kern w:val="2"/>
          <w:sz w:val="32"/>
          <w:szCs w:val="32"/>
          <w:lang w:val="en-US" w:eastAsia="zh-CN" w:bidi="ar-SA"/>
        </w:rPr>
        <w:t>23.90%</w:t>
      </w:r>
      <w:r>
        <w:rPr>
          <w:rFonts w:hint="default" w:ascii="Times New Roman" w:hAnsi="Times New Roman" w:eastAsia="方正仿宋_GBK"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9.95%</w:t>
      </w:r>
      <w:r>
        <w:rPr>
          <w:rFonts w:hint="default" w:ascii="Times New Roman" w:hAnsi="Times New Roman" w:eastAsia="方正仿宋_GBK"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8.24%</w:t>
      </w:r>
      <w:r>
        <w:rPr>
          <w:rFonts w:hint="default" w:ascii="Times New Roman" w:hAnsi="Times New Roman" w:eastAsia="方正仿宋_GBK"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7.62%</w:t>
      </w:r>
      <w:r>
        <w:rPr>
          <w:rFonts w:hint="default" w:ascii="Times New Roman" w:hAnsi="Times New Roman" w:eastAsia="方正仿宋_GBK"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6.98%</w:t>
      </w:r>
      <w:r>
        <w:rPr>
          <w:rFonts w:hint="eastAsia" w:cs="Times New Roman"/>
          <w:color w:val="000000"/>
          <w:kern w:val="2"/>
          <w:sz w:val="32"/>
          <w:szCs w:val="32"/>
          <w:lang w:val="en-US" w:eastAsia="zh-CN" w:bidi="ar-SA"/>
        </w:rPr>
        <w:t>、6.56%、6.49%、6.45%、6.37%、4.59%。</w:t>
      </w:r>
    </w:p>
    <w:p w14:paraId="57F318A6">
      <w:pPr>
        <w:pStyle w:val="2"/>
        <w:numPr>
          <w:ilvl w:val="0"/>
          <w:numId w:val="0"/>
        </w:numPr>
        <w:ind w:left="788" w:leftChars="0" w:right="170" w:rightChars="0"/>
        <w:jc w:val="center"/>
      </w:pPr>
      <w:r>
        <w:drawing>
          <wp:inline distT="0" distB="0" distL="114300" distR="114300">
            <wp:extent cx="2818765" cy="1786890"/>
            <wp:effectExtent l="0" t="0" r="63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818765" cy="1786890"/>
                    </a:xfrm>
                    <a:prstGeom prst="rect">
                      <a:avLst/>
                    </a:prstGeom>
                    <a:noFill/>
                    <a:ln>
                      <a:noFill/>
                    </a:ln>
                  </pic:spPr>
                </pic:pic>
              </a:graphicData>
            </a:graphic>
          </wp:inline>
        </w:drawing>
      </w:r>
    </w:p>
    <w:p w14:paraId="162FB9BE">
      <w:pPr>
        <w:pStyle w:val="2"/>
        <w:numPr>
          <w:ilvl w:val="0"/>
          <w:numId w:val="0"/>
        </w:numPr>
        <w:ind w:left="788" w:leftChars="0" w:right="170" w:rightChars="0"/>
        <w:jc w:val="center"/>
        <w:rPr>
          <w:rFonts w:hint="default" w:ascii="Times New Roman" w:hAnsi="Times New Roman" w:eastAsia="方正黑体_GBK" w:cs="Times New Roman"/>
          <w:b w:val="0"/>
          <w:bCs w:val="0"/>
          <w:color w:val="000000"/>
          <w:sz w:val="24"/>
          <w:szCs w:val="24"/>
          <w:lang w:val="en-US" w:eastAsia="zh-CN"/>
        </w:rPr>
      </w:pPr>
      <w:r>
        <w:rPr>
          <w:rFonts w:hint="default" w:ascii="Times New Roman" w:hAnsi="Times New Roman" w:eastAsia="方正黑体_GBK" w:cs="Times New Roman"/>
          <w:b w:val="0"/>
          <w:bCs w:val="0"/>
          <w:color w:val="000000"/>
          <w:sz w:val="24"/>
          <w:szCs w:val="24"/>
          <w:lang w:val="en-US" w:eastAsia="zh-CN"/>
        </w:rPr>
        <w:t>图</w:t>
      </w:r>
      <w:r>
        <w:rPr>
          <w:rFonts w:hint="eastAsia" w:eastAsia="方正黑体_GBK" w:cs="Times New Roman"/>
          <w:b w:val="0"/>
          <w:bCs w:val="0"/>
          <w:color w:val="000000"/>
          <w:sz w:val="24"/>
          <w:szCs w:val="24"/>
          <w:lang w:val="en-US" w:eastAsia="zh-CN"/>
        </w:rPr>
        <w:t>1</w:t>
      </w:r>
      <w:r>
        <w:rPr>
          <w:rFonts w:hint="default" w:ascii="Times New Roman" w:hAnsi="Times New Roman" w:eastAsia="方正黑体_GBK" w:cs="Times New Roman"/>
          <w:b w:val="0"/>
          <w:bCs w:val="0"/>
          <w:color w:val="000000"/>
          <w:sz w:val="24"/>
          <w:szCs w:val="24"/>
          <w:lang w:val="en-US" w:eastAsia="zh-CN"/>
        </w:rPr>
        <w:t xml:space="preserve">  2025年本市主要</w:t>
      </w:r>
      <w:r>
        <w:rPr>
          <w:rFonts w:hint="eastAsia" w:eastAsia="方正黑体_GBK" w:cs="Times New Roman"/>
          <w:b w:val="0"/>
          <w:bCs w:val="0"/>
          <w:color w:val="000000"/>
          <w:sz w:val="24"/>
          <w:szCs w:val="24"/>
          <w:lang w:val="en-US" w:eastAsia="zh-CN"/>
        </w:rPr>
        <w:t>类别</w:t>
      </w:r>
      <w:r>
        <w:rPr>
          <w:rFonts w:hint="default" w:ascii="Times New Roman" w:hAnsi="Times New Roman" w:eastAsia="方正黑体_GBK" w:cs="Times New Roman"/>
          <w:b w:val="0"/>
          <w:bCs w:val="0"/>
          <w:color w:val="000000"/>
          <w:sz w:val="24"/>
          <w:szCs w:val="24"/>
          <w:lang w:val="en-US" w:eastAsia="zh-CN"/>
        </w:rPr>
        <w:t>危险废物产生情况</w:t>
      </w:r>
    </w:p>
    <w:p w14:paraId="6CCB175B">
      <w:pPr>
        <w:pStyle w:val="2"/>
        <w:numPr>
          <w:ilvl w:val="0"/>
          <w:numId w:val="0"/>
        </w:numPr>
        <w:ind w:left="788" w:leftChars="0" w:right="170" w:rightChars="0"/>
        <w:jc w:val="center"/>
        <w:rPr>
          <w:rFonts w:hint="default" w:ascii="Times New Roman" w:hAnsi="Times New Roman" w:eastAsia="方正黑体_GBK" w:cs="Times New Roman"/>
          <w:b w:val="0"/>
          <w:bCs w:val="0"/>
          <w:color w:val="000000"/>
          <w:sz w:val="24"/>
          <w:szCs w:val="24"/>
          <w:lang w:val="en-US" w:eastAsia="zh-CN"/>
        </w:rPr>
      </w:pPr>
    </w:p>
    <w:p w14:paraId="3203AB07">
      <w:pPr>
        <w:pStyle w:val="2"/>
        <w:numPr>
          <w:ilvl w:val="0"/>
          <w:numId w:val="0"/>
        </w:numPr>
        <w:ind w:left="788" w:leftChars="0" w:right="170" w:rightChars="0"/>
        <w:jc w:val="center"/>
        <w:rPr>
          <w:rFonts w:hint="eastAsia" w:ascii="Times New Roman" w:hAnsi="Times New Roman" w:eastAsia="方正黑体_GBK" w:cs="Times New Roman"/>
          <w:b w:val="0"/>
          <w:bCs w:val="0"/>
          <w:color w:val="000000"/>
          <w:sz w:val="24"/>
          <w:szCs w:val="24"/>
          <w:lang w:val="en-US" w:eastAsia="zh-CN"/>
        </w:rPr>
      </w:pPr>
    </w:p>
    <w:p w14:paraId="74EB7C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二、危险废物处置设施情况</w:t>
      </w:r>
    </w:p>
    <w:p w14:paraId="2D6454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1"/>
        <w:textAlignment w:val="auto"/>
        <w:rPr>
          <w:rFonts w:hint="eastAsia" w:cs="Times New Roman"/>
          <w:kern w:val="2"/>
          <w:sz w:val="32"/>
          <w:szCs w:val="32"/>
          <w:lang w:val="en-US" w:eastAsia="zh-CN" w:bidi="ar-SA"/>
        </w:rPr>
      </w:pPr>
      <w:r>
        <w:rPr>
          <w:rFonts w:hint="eastAsia" w:cs="Times New Roman"/>
          <w:kern w:val="2"/>
          <w:sz w:val="32"/>
          <w:szCs w:val="32"/>
          <w:lang w:val="en-US" w:eastAsia="zh-CN" w:bidi="ar-SA"/>
        </w:rPr>
        <w:t>2025年全</w:t>
      </w:r>
      <w:r>
        <w:rPr>
          <w:rFonts w:hint="eastAsia" w:cs="Times New Roman"/>
          <w:color w:val="000000" w:themeColor="text1"/>
          <w:kern w:val="2"/>
          <w:sz w:val="32"/>
          <w:szCs w:val="32"/>
          <w:lang w:val="en-US" w:eastAsia="zh-CN" w:bidi="ar-SA"/>
          <w14:textFill>
            <w14:solidFill>
              <w14:schemeClr w14:val="tx1"/>
            </w14:solidFill>
          </w14:textFill>
        </w:rPr>
        <w:t>市37</w:t>
      </w:r>
      <w:r>
        <w:rPr>
          <w:rFonts w:hint="eastAsia" w:cs="Times New Roman"/>
          <w:kern w:val="2"/>
          <w:sz w:val="32"/>
          <w:szCs w:val="32"/>
          <w:lang w:val="en-US" w:eastAsia="zh-CN" w:bidi="ar-SA"/>
        </w:rPr>
        <w:t>家危险废物经营单位核准经营能力168.204万吨/年，合计接收、利用、处置危险废物32.21万吨。</w:t>
      </w:r>
    </w:p>
    <w:p w14:paraId="129E377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（一）危险废物处置能力</w:t>
      </w:r>
    </w:p>
    <w:p w14:paraId="58BDDF60">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480" w:firstLineChars="200"/>
        <w:textAlignment w:val="auto"/>
        <w:rPr>
          <w:rFonts w:hint="eastAsia" w:cs="Times New Roman"/>
          <w:color w:val="000000"/>
          <w:kern w:val="2"/>
          <w:sz w:val="32"/>
          <w:szCs w:val="32"/>
          <w:lang w:val="en-US" w:eastAsia="zh-CN" w:bidi="ar-SA"/>
        </w:rPr>
      </w:pPr>
      <w:r>
        <w:drawing>
          <wp:anchor distT="0" distB="0" distL="114300" distR="114300" simplePos="0" relativeHeight="251660288" behindDoc="0" locked="0" layoutInCell="1" allowOverlap="1">
            <wp:simplePos x="0" y="0"/>
            <wp:positionH relativeFrom="column">
              <wp:posOffset>-21590</wp:posOffset>
            </wp:positionH>
            <wp:positionV relativeFrom="paragraph">
              <wp:posOffset>1522730</wp:posOffset>
            </wp:positionV>
            <wp:extent cx="5610860" cy="2453005"/>
            <wp:effectExtent l="0" t="0" r="8890" b="4445"/>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6"/>
                    <a:stretch>
                      <a:fillRect/>
                    </a:stretch>
                  </pic:blipFill>
                  <pic:spPr>
                    <a:xfrm>
                      <a:off x="0" y="0"/>
                      <a:ext cx="5610860" cy="2453005"/>
                    </a:xfrm>
                    <a:prstGeom prst="rect">
                      <a:avLst/>
                    </a:prstGeom>
                    <a:noFill/>
                    <a:ln>
                      <a:noFill/>
                    </a:ln>
                  </pic:spPr>
                </pic:pic>
              </a:graphicData>
            </a:graphic>
          </wp:anchor>
        </w:drawing>
      </w:r>
      <w:r>
        <w:rPr>
          <w:rFonts w:hint="eastAsia" w:cs="Times New Roman"/>
          <w:kern w:val="2"/>
          <w:sz w:val="32"/>
          <w:szCs w:val="32"/>
          <w:lang w:val="en-US" w:eastAsia="zh-CN" w:bidi="ar-SA"/>
        </w:rPr>
        <w:t>全市核准危险废物处置能力18.6万吨/年。2025年经营单位处置危险废物7.88万吨，其中</w:t>
      </w:r>
      <w:r>
        <w:rPr>
          <w:rFonts w:hint="eastAsia" w:cs="Times New Roman"/>
          <w:color w:val="000000"/>
          <w:kern w:val="2"/>
          <w:sz w:val="32"/>
          <w:szCs w:val="32"/>
          <w:lang w:val="en-US" w:eastAsia="zh-CN" w:bidi="ar-SA"/>
        </w:rPr>
        <w:t>D1（填埋）能力3.20</w:t>
      </w:r>
      <w:r>
        <w:rPr>
          <w:rFonts w:hint="default" w:ascii="Times New Roman" w:hAnsi="Times New Roman" w:eastAsia="方正仿宋_GBK" w:cs="Times New Roman"/>
          <w:color w:val="000000"/>
          <w:kern w:val="2"/>
          <w:sz w:val="32"/>
          <w:szCs w:val="32"/>
          <w:lang w:val="en-US" w:eastAsia="zh-CN" w:bidi="ar-SA"/>
        </w:rPr>
        <w:t>万吨/年，实际运行效率</w:t>
      </w:r>
      <w:r>
        <w:rPr>
          <w:rFonts w:hint="eastAsia" w:cs="Times New Roman"/>
          <w:color w:val="000000"/>
          <w:kern w:val="2"/>
          <w:sz w:val="32"/>
          <w:szCs w:val="32"/>
          <w:lang w:val="en-US" w:eastAsia="zh-CN" w:bidi="ar-SA"/>
        </w:rPr>
        <w:t>66.88</w:t>
      </w:r>
      <w:r>
        <w:rPr>
          <w:rFonts w:hint="default" w:ascii="Times New Roman" w:hAnsi="Times New Roman" w:eastAsia="方正仿宋_GBK" w:cs="Times New Roman"/>
          <w:color w:val="000000"/>
          <w:kern w:val="2"/>
          <w:sz w:val="32"/>
          <w:szCs w:val="32"/>
          <w:lang w:val="en-US" w:eastAsia="zh-CN" w:bidi="ar-SA"/>
        </w:rPr>
        <w:t>%</w:t>
      </w:r>
      <w:r>
        <w:rPr>
          <w:rFonts w:hint="eastAsia" w:cs="Times New Roman"/>
          <w:color w:val="000000"/>
          <w:kern w:val="2"/>
          <w:sz w:val="32"/>
          <w:szCs w:val="32"/>
          <w:lang w:val="en-US" w:eastAsia="zh-CN" w:bidi="ar-SA"/>
        </w:rPr>
        <w:t>；D10（焚烧）能力8.4万吨/年，实际运行效率63.57%；D9（物化）能力7万吨/年，实际运行效率5.71%。</w:t>
      </w:r>
    </w:p>
    <w:p w14:paraId="189F9DD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480" w:firstLineChars="200"/>
        <w:jc w:val="center"/>
        <w:textAlignment w:val="auto"/>
        <w:rPr>
          <w:rFonts w:hint="default" w:cs="Times New Roman"/>
          <w:color w:val="000000"/>
          <w:kern w:val="2"/>
          <w:sz w:val="32"/>
          <w:szCs w:val="32"/>
          <w:lang w:val="en-US" w:eastAsia="zh-CN" w:bidi="ar-SA"/>
        </w:rPr>
      </w:pPr>
      <w:r>
        <w:rPr>
          <w:rFonts w:hint="default" w:ascii="Times New Roman" w:hAnsi="Times New Roman" w:eastAsia="方正黑体_GBK" w:cs="Times New Roman"/>
          <w:b w:val="0"/>
          <w:bCs w:val="0"/>
          <w:color w:val="000000"/>
          <w:sz w:val="24"/>
          <w:szCs w:val="24"/>
          <w:lang w:val="en-US" w:eastAsia="zh-CN"/>
        </w:rPr>
        <w:t>图</w:t>
      </w:r>
      <w:r>
        <w:rPr>
          <w:rFonts w:hint="eastAsia" w:eastAsia="方正黑体_GBK" w:cs="Times New Roman"/>
          <w:b w:val="0"/>
          <w:bCs w:val="0"/>
          <w:color w:val="000000"/>
          <w:sz w:val="24"/>
          <w:szCs w:val="24"/>
          <w:lang w:val="en-US" w:eastAsia="zh-CN"/>
        </w:rPr>
        <w:t>2</w:t>
      </w:r>
      <w:r>
        <w:rPr>
          <w:rFonts w:hint="default" w:ascii="Times New Roman" w:hAnsi="Times New Roman" w:eastAsia="方正黑体_GBK" w:cs="Times New Roman"/>
          <w:b w:val="0"/>
          <w:bCs w:val="0"/>
          <w:color w:val="000000"/>
          <w:sz w:val="24"/>
          <w:szCs w:val="24"/>
          <w:lang w:val="en-US" w:eastAsia="zh-CN"/>
        </w:rPr>
        <w:t xml:space="preserve">  2025年本市</w:t>
      </w:r>
      <w:r>
        <w:rPr>
          <w:rFonts w:hint="eastAsia" w:eastAsia="方正黑体_GBK" w:cs="Times New Roman"/>
          <w:b w:val="0"/>
          <w:bCs w:val="0"/>
          <w:color w:val="000000"/>
          <w:sz w:val="24"/>
          <w:szCs w:val="24"/>
          <w:lang w:val="en-US" w:eastAsia="zh-CN"/>
        </w:rPr>
        <w:t>危废处置单位运行情况</w:t>
      </w:r>
    </w:p>
    <w:p w14:paraId="2EA59795">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（二）危险废物综合利用能力</w:t>
      </w:r>
    </w:p>
    <w:p w14:paraId="7EC970F4">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eastAsia" w:cs="Times New Roman"/>
          <w:color w:val="000000"/>
          <w:kern w:val="2"/>
          <w:sz w:val="32"/>
          <w:szCs w:val="32"/>
          <w:lang w:val="en-US" w:eastAsia="zh-CN" w:bidi="ar-SA"/>
        </w:rPr>
      </w:pPr>
      <w:r>
        <w:rPr>
          <w:rFonts w:hint="eastAsia" w:cs="Times New Roman"/>
          <w:kern w:val="2"/>
          <w:sz w:val="32"/>
          <w:szCs w:val="32"/>
          <w:lang w:val="en-US" w:eastAsia="zh-CN" w:bidi="ar-SA"/>
        </w:rPr>
        <w:t>全市危险废物综合利用能力105.997万吨/年。2025年经营单位利用危险废物20.30万吨，其中</w:t>
      </w:r>
      <w:r>
        <w:rPr>
          <w:rFonts w:hint="eastAsia" w:cs="Times New Roman"/>
          <w:color w:val="000000"/>
          <w:kern w:val="2"/>
          <w:sz w:val="32"/>
          <w:szCs w:val="32"/>
          <w:lang w:val="en-US" w:eastAsia="zh-CN" w:bidi="ar-SA"/>
        </w:rPr>
        <w:t>R2（溶剂回收/再生）能力6.926万吨/年，实际运行效率32.34%；R4（再循环/再利用金属和金属化合物）能力26.2万吨/年，实际运行效率9.54%；R5（再循环/再利用其他无机物）能力7.5万吨/年，实际运行效率29.33%；R6（再生酸或碱）能力16.5万吨/年，实际运行效率20.85%；R8（回收催化剂组份）能力1万吨/年，实际运行效率36.00%；R9（废油再提炼或其他废油的再利用）能力13.161万吨/年，实际运行效率12.84%；R15（其他综合利用方式）能力34.71万吨/年，实际运行效率22.67%。</w:t>
      </w:r>
    </w:p>
    <w:p w14:paraId="4AC9850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480" w:firstLineChars="200"/>
        <w:jc w:val="center"/>
        <w:textAlignment w:val="auto"/>
        <w:rPr>
          <w:rFonts w:hint="default" w:cs="Times New Roman"/>
          <w:color w:val="000000"/>
          <w:kern w:val="2"/>
          <w:sz w:val="32"/>
          <w:szCs w:val="32"/>
          <w:lang w:val="en-US" w:eastAsia="zh-CN" w:bidi="ar-SA"/>
        </w:rPr>
      </w:pPr>
      <w:r>
        <w:drawing>
          <wp:anchor distT="0" distB="0" distL="114300" distR="114300" simplePos="0" relativeHeight="251661312" behindDoc="0" locked="0" layoutInCell="1" allowOverlap="1">
            <wp:simplePos x="0" y="0"/>
            <wp:positionH relativeFrom="column">
              <wp:posOffset>5715</wp:posOffset>
            </wp:positionH>
            <wp:positionV relativeFrom="paragraph">
              <wp:posOffset>125730</wp:posOffset>
            </wp:positionV>
            <wp:extent cx="5612130" cy="3072130"/>
            <wp:effectExtent l="0" t="0" r="7620" b="13970"/>
            <wp:wrapTopAndBottom/>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7"/>
                    <a:stretch>
                      <a:fillRect/>
                    </a:stretch>
                  </pic:blipFill>
                  <pic:spPr>
                    <a:xfrm>
                      <a:off x="0" y="0"/>
                      <a:ext cx="5612130" cy="3072130"/>
                    </a:xfrm>
                    <a:prstGeom prst="rect">
                      <a:avLst/>
                    </a:prstGeom>
                    <a:noFill/>
                    <a:ln>
                      <a:noFill/>
                    </a:ln>
                  </pic:spPr>
                </pic:pic>
              </a:graphicData>
            </a:graphic>
          </wp:anchor>
        </w:drawing>
      </w:r>
      <w:r>
        <w:rPr>
          <w:rFonts w:hint="default" w:ascii="Times New Roman" w:hAnsi="Times New Roman" w:eastAsia="方正黑体_GBK" w:cs="Times New Roman"/>
          <w:b w:val="0"/>
          <w:bCs w:val="0"/>
          <w:color w:val="000000"/>
          <w:sz w:val="24"/>
          <w:szCs w:val="24"/>
          <w:lang w:val="en-US" w:eastAsia="zh-CN"/>
        </w:rPr>
        <w:t>图</w:t>
      </w:r>
      <w:r>
        <w:rPr>
          <w:rFonts w:hint="eastAsia" w:eastAsia="方正黑体_GBK" w:cs="Times New Roman"/>
          <w:b w:val="0"/>
          <w:bCs w:val="0"/>
          <w:color w:val="000000"/>
          <w:sz w:val="24"/>
          <w:szCs w:val="24"/>
          <w:lang w:val="en-US" w:eastAsia="zh-CN"/>
        </w:rPr>
        <w:t>3</w:t>
      </w:r>
      <w:r>
        <w:rPr>
          <w:rFonts w:hint="default" w:ascii="Times New Roman" w:hAnsi="Times New Roman" w:eastAsia="方正黑体_GBK" w:cs="Times New Roman"/>
          <w:b w:val="0"/>
          <w:bCs w:val="0"/>
          <w:color w:val="000000"/>
          <w:sz w:val="24"/>
          <w:szCs w:val="24"/>
          <w:lang w:val="en-US" w:eastAsia="zh-CN"/>
        </w:rPr>
        <w:t xml:space="preserve">  2025年本市</w:t>
      </w:r>
      <w:r>
        <w:rPr>
          <w:rFonts w:hint="eastAsia" w:eastAsia="方正黑体_GBK" w:cs="Times New Roman"/>
          <w:b w:val="0"/>
          <w:bCs w:val="0"/>
          <w:color w:val="000000"/>
          <w:sz w:val="24"/>
          <w:szCs w:val="24"/>
          <w:lang w:val="en-US" w:eastAsia="zh-CN"/>
        </w:rPr>
        <w:t>危废利用单位运行情况</w:t>
      </w:r>
    </w:p>
    <w:p w14:paraId="3D99872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default" w:cs="Times New Roman"/>
          <w:color w:val="000000"/>
          <w:kern w:val="2"/>
          <w:sz w:val="32"/>
          <w:szCs w:val="32"/>
          <w:lang w:val="en-US" w:eastAsia="zh-CN" w:bidi="ar-SA"/>
        </w:rPr>
      </w:pPr>
    </w:p>
    <w:p w14:paraId="2F29289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方正楷体_GB2312" w:hAnsi="方正楷体_GB2312" w:eastAsia="方正楷体_GB2312" w:cs="方正楷体_GB2312"/>
          <w:kern w:val="2"/>
          <w:sz w:val="32"/>
          <w:szCs w:val="32"/>
          <w:lang w:val="en-US" w:eastAsia="zh-CN" w:bidi="ar-SA"/>
        </w:rPr>
      </w:pPr>
    </w:p>
    <w:p w14:paraId="4DBED9B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（三）危险废物收集能力</w:t>
      </w:r>
    </w:p>
    <w:p w14:paraId="28E775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1"/>
        <w:textAlignment w:val="auto"/>
        <w:rPr>
          <w:rFonts w:hint="eastAsia" w:cs="Times New Roman"/>
          <w:color w:val="000000"/>
          <w:kern w:val="2"/>
          <w:sz w:val="32"/>
          <w:szCs w:val="32"/>
          <w:lang w:val="en-US" w:eastAsia="zh-CN" w:bidi="ar-SA"/>
        </w:rPr>
      </w:pPr>
      <w:r>
        <w:rPr>
          <w:rFonts w:hint="eastAsia" w:cs="Times New Roman"/>
          <w:kern w:val="2"/>
          <w:sz w:val="32"/>
          <w:szCs w:val="32"/>
          <w:lang w:val="en-US" w:eastAsia="zh-CN" w:bidi="ar-SA"/>
        </w:rPr>
        <w:t>全市核准危险废物收集能力42万吨/年。2025年经营单位收集危险废物3.52万吨，其中</w:t>
      </w:r>
      <w:r>
        <w:rPr>
          <w:rFonts w:hint="eastAsia" w:cs="Times New Roman"/>
          <w:color w:val="000000"/>
          <w:kern w:val="2"/>
          <w:sz w:val="32"/>
          <w:szCs w:val="32"/>
          <w:lang w:val="en-US" w:eastAsia="zh-CN" w:bidi="ar-SA"/>
        </w:rPr>
        <w:t>C5（小微收集）能力1.5万吨/年，实际运行效率10%；C5（废铅蓄电池收集）能力34.1万吨/年，实际运行效率9.44%；C5（废矿物油收集）能力6.4万吨/年，实际运行效率2.34%。</w:t>
      </w:r>
    </w:p>
    <w:p w14:paraId="57AB85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1"/>
        <w:jc w:val="center"/>
        <w:textAlignment w:val="auto"/>
        <w:rPr>
          <w:rFonts w:hint="eastAsia" w:ascii="方正楷体_GB2312" w:hAnsi="方正楷体_GB2312" w:eastAsia="方正楷体_GB2312" w:cs="方正楷体_GB2312"/>
          <w:kern w:val="2"/>
          <w:sz w:val="32"/>
          <w:szCs w:val="32"/>
          <w:lang w:val="en-US" w:eastAsia="zh-CN" w:bidi="ar-SA"/>
        </w:rPr>
      </w:pPr>
      <w:r>
        <w:rPr>
          <w:rFonts w:hint="default" w:ascii="Times New Roman" w:hAnsi="Times New Roman" w:eastAsia="方正黑体_GBK" w:cs="Times New Roman"/>
          <w:b w:val="0"/>
          <w:bCs w:val="0"/>
          <w:color w:val="000000"/>
          <w:sz w:val="24"/>
          <w:szCs w:val="24"/>
          <w:lang w:val="en-US" w:eastAsia="zh-CN"/>
        </w:rPr>
        <w:t>图</w:t>
      </w:r>
      <w:r>
        <w:rPr>
          <w:rFonts w:hint="eastAsia" w:eastAsia="方正黑体_GBK" w:cs="Times New Roman"/>
          <w:b w:val="0"/>
          <w:bCs w:val="0"/>
          <w:color w:val="000000"/>
          <w:sz w:val="24"/>
          <w:szCs w:val="24"/>
          <w:lang w:val="en-US" w:eastAsia="zh-CN"/>
        </w:rPr>
        <w:t>4</w:t>
      </w:r>
      <w:r>
        <w:rPr>
          <w:rFonts w:hint="default" w:ascii="Times New Roman" w:hAnsi="Times New Roman" w:eastAsia="方正黑体_GBK" w:cs="Times New Roman"/>
          <w:b w:val="0"/>
          <w:bCs w:val="0"/>
          <w:color w:val="000000"/>
          <w:sz w:val="24"/>
          <w:szCs w:val="24"/>
          <w:lang w:val="en-US" w:eastAsia="zh-CN"/>
        </w:rPr>
        <w:t xml:space="preserve">  2025年本市</w:t>
      </w:r>
      <w:r>
        <w:rPr>
          <w:rFonts w:hint="eastAsia" w:eastAsia="方正黑体_GBK" w:cs="Times New Roman"/>
          <w:b w:val="0"/>
          <w:bCs w:val="0"/>
          <w:color w:val="000000"/>
          <w:sz w:val="24"/>
          <w:szCs w:val="24"/>
          <w:lang w:val="en-US" w:eastAsia="zh-CN"/>
        </w:rPr>
        <w:t>收集单位运行情况</w:t>
      </w:r>
      <w:r>
        <w:drawing>
          <wp:anchor distT="0" distB="0" distL="114300" distR="114300" simplePos="0" relativeHeight="251662336" behindDoc="0" locked="0" layoutInCell="1" allowOverlap="1">
            <wp:simplePos x="0" y="0"/>
            <wp:positionH relativeFrom="column">
              <wp:posOffset>243205</wp:posOffset>
            </wp:positionH>
            <wp:positionV relativeFrom="paragraph">
              <wp:posOffset>44450</wp:posOffset>
            </wp:positionV>
            <wp:extent cx="5613400" cy="3254375"/>
            <wp:effectExtent l="0" t="0" r="6350" b="3175"/>
            <wp:wrapTopAndBottom/>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8"/>
                    <a:stretch>
                      <a:fillRect/>
                    </a:stretch>
                  </pic:blipFill>
                  <pic:spPr>
                    <a:xfrm>
                      <a:off x="0" y="0"/>
                      <a:ext cx="5613400" cy="3254375"/>
                    </a:xfrm>
                    <a:prstGeom prst="rect">
                      <a:avLst/>
                    </a:prstGeom>
                    <a:noFill/>
                    <a:ln>
                      <a:noFill/>
                    </a:ln>
                  </pic:spPr>
                </pic:pic>
              </a:graphicData>
            </a:graphic>
          </wp:anchor>
        </w:drawing>
      </w:r>
    </w:p>
    <w:p w14:paraId="4F5B24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1"/>
        <w:textAlignment w:val="auto"/>
        <w:rPr>
          <w:rFonts w:hint="default"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（四）医疗废物处理能力</w:t>
      </w:r>
    </w:p>
    <w:p w14:paraId="5C34E0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1"/>
        <w:textAlignment w:val="auto"/>
        <w:rPr>
          <w:rFonts w:hint="default" w:ascii="Times New Roman" w:hAnsi="Times New Roman" w:eastAsia="方正仿宋_GBK" w:cs="Times New Roman"/>
          <w:color w:val="0000FF"/>
          <w:kern w:val="2"/>
          <w:sz w:val="32"/>
          <w:szCs w:val="32"/>
          <w:lang w:val="en-US" w:eastAsia="zh-CN" w:bidi="ar-SA"/>
        </w:rPr>
      </w:pPr>
      <w:r>
        <w:rPr>
          <w:rFonts w:hint="eastAsia" w:cs="Times New Roman"/>
          <w:kern w:val="2"/>
          <w:sz w:val="32"/>
          <w:szCs w:val="32"/>
          <w:lang w:val="en-US" w:eastAsia="zh-CN" w:bidi="ar-SA"/>
        </w:rPr>
        <w:t>全市核准危险废物处理能力</w:t>
      </w:r>
      <w:r>
        <w:rPr>
          <w:rFonts w:hint="eastAsia" w:cs="Times New Roman"/>
          <w:color w:val="000000"/>
          <w:kern w:val="2"/>
          <w:sz w:val="32"/>
          <w:szCs w:val="32"/>
          <w:lang w:val="en-US" w:eastAsia="zh-CN" w:bidi="ar-SA"/>
        </w:rPr>
        <w:t>1.607万吨/年，其中Y10（焚烧）能力1万吨/年、Y11（高温蒸煮）能力0.264万吨/年、Y13（微波消毒）能力0.343万吨/年。2025年医疗废物处置单位合计处置医疗废物0.51万吨，实际运行效率31.74%。</w:t>
      </w:r>
    </w:p>
    <w:p w14:paraId="3351F9C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1" w:leftChars="0" w:right="0" w:rightChars="0"/>
        <w:textAlignment w:val="auto"/>
        <w:rPr>
          <w:rFonts w:hint="eastAsia" w:ascii="黑体" w:hAnsi="黑体" w:eastAsia="黑体" w:cs="黑体"/>
          <w:kern w:val="2"/>
          <w:sz w:val="32"/>
          <w:szCs w:val="32"/>
          <w:lang w:val="en-US" w:eastAsia="zh-CN" w:bidi="ar-SA"/>
        </w:rPr>
      </w:pPr>
    </w:p>
    <w:p w14:paraId="2AAAE5C8">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1" w:leftChars="0" w:right="0" w:rightChars="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三、危险废物利用处置项目建设投资建议</w:t>
      </w:r>
    </w:p>
    <w:p w14:paraId="62931F3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（一）鼓励投资类</w:t>
      </w:r>
    </w:p>
    <w:p w14:paraId="2EB44223">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w:t>
      </w:r>
      <w:r>
        <w:rPr>
          <w:rFonts w:hint="eastAsia" w:cs="Times New Roman"/>
          <w:kern w:val="2"/>
          <w:sz w:val="32"/>
          <w:szCs w:val="32"/>
          <w:lang w:val="en-US" w:eastAsia="zh-CN" w:bidi="ar-SA"/>
        </w:rPr>
        <w:t>鼓励建设生活垃圾焚烧飞灰、一般工业固体废物焚烧飞灰、危险废物焚烧飞灰、炉渣资源化利用项目，重点支持“低温热解”等成熟可靠、符合国家技术导向的工艺路线，助力实现危险废物填埋降低目标。</w:t>
      </w:r>
    </w:p>
    <w:p w14:paraId="53587033">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cs="Times New Roman"/>
          <w:kern w:val="2"/>
          <w:sz w:val="32"/>
          <w:szCs w:val="32"/>
          <w:lang w:val="en-US" w:eastAsia="zh-CN" w:bidi="ar-SA"/>
        </w:rPr>
        <w:t>2.鼓励现有危险废物焚烧项目</w:t>
      </w:r>
      <w:r>
        <w:rPr>
          <w:rFonts w:hint="default" w:ascii="Times New Roman" w:hAnsi="Times New Roman" w:eastAsia="方正仿宋_GBK" w:cs="Times New Roman"/>
          <w:kern w:val="2"/>
          <w:sz w:val="32"/>
          <w:szCs w:val="32"/>
          <w:lang w:val="en-US" w:eastAsia="zh-CN" w:bidi="ar-SA"/>
        </w:rPr>
        <w:t>转型升级，</w:t>
      </w:r>
      <w:r>
        <w:rPr>
          <w:rFonts w:hint="eastAsia" w:cs="Times New Roman"/>
          <w:kern w:val="2"/>
          <w:sz w:val="32"/>
          <w:szCs w:val="32"/>
          <w:lang w:val="en-US" w:eastAsia="zh-CN" w:bidi="ar-SA"/>
        </w:rPr>
        <w:t>聚焦物料破碎系统管理、料坑内物料管理、料坑预警和应急管理等关键环节，强化</w:t>
      </w:r>
      <w:r>
        <w:rPr>
          <w:rFonts w:hint="default" w:ascii="Times New Roman" w:hAnsi="Times New Roman" w:eastAsia="方正仿宋_GBK" w:cs="Times New Roman"/>
          <w:kern w:val="2"/>
          <w:sz w:val="32"/>
          <w:szCs w:val="32"/>
          <w:lang w:val="en-US" w:eastAsia="zh-CN" w:bidi="ar-SA"/>
        </w:rPr>
        <w:t>技术及装备</w:t>
      </w:r>
      <w:r>
        <w:rPr>
          <w:rFonts w:hint="eastAsia" w:cs="Times New Roman"/>
          <w:kern w:val="2"/>
          <w:sz w:val="32"/>
          <w:szCs w:val="32"/>
          <w:lang w:val="en-US" w:eastAsia="zh-CN" w:bidi="ar-SA"/>
        </w:rPr>
        <w:t>改造</w:t>
      </w:r>
      <w:r>
        <w:rPr>
          <w:rFonts w:hint="default" w:ascii="Times New Roman" w:hAnsi="Times New Roman" w:eastAsia="方正仿宋_GBK" w:cs="Times New Roman"/>
          <w:kern w:val="2"/>
          <w:sz w:val="32"/>
          <w:szCs w:val="32"/>
          <w:lang w:val="en-US" w:eastAsia="zh-CN" w:bidi="ar-SA"/>
        </w:rPr>
        <w:t>，不断提升</w:t>
      </w:r>
      <w:r>
        <w:rPr>
          <w:rFonts w:hint="eastAsia" w:cs="Times New Roman"/>
          <w:kern w:val="2"/>
          <w:sz w:val="32"/>
          <w:szCs w:val="32"/>
          <w:lang w:val="en-US" w:eastAsia="zh-CN" w:bidi="ar-SA"/>
        </w:rPr>
        <w:t>本质安全水平</w:t>
      </w:r>
      <w:r>
        <w:rPr>
          <w:rFonts w:hint="default" w:ascii="Times New Roman" w:hAnsi="Times New Roman" w:eastAsia="方正仿宋_GBK" w:cs="Times New Roman"/>
          <w:kern w:val="2"/>
          <w:sz w:val="32"/>
          <w:szCs w:val="32"/>
          <w:lang w:val="en-US" w:eastAsia="zh-CN" w:bidi="ar-SA"/>
        </w:rPr>
        <w:t>。</w:t>
      </w:r>
    </w:p>
    <w:p w14:paraId="77B1A589">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cs="Times New Roman"/>
          <w:kern w:val="2"/>
          <w:sz w:val="32"/>
          <w:szCs w:val="32"/>
          <w:lang w:val="en-US" w:eastAsia="zh-CN" w:bidi="ar-SA"/>
        </w:rPr>
      </w:pPr>
      <w:r>
        <w:rPr>
          <w:rFonts w:hint="eastAsia" w:cs="Times New Roman"/>
          <w:kern w:val="2"/>
          <w:sz w:val="32"/>
          <w:szCs w:val="32"/>
          <w:lang w:val="en-US" w:eastAsia="zh-CN" w:bidi="ar-SA"/>
        </w:rPr>
        <w:t>3.鼓励现有危险废物综合利用项目向高值化、精细化方向发展，强化入厂分析检测能力提升和综合利用产物中有害物质含量分析，提升资源化利用附加值，严防环境风险。</w:t>
      </w:r>
    </w:p>
    <w:p w14:paraId="1C16DFF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cs="Times New Roman"/>
          <w:kern w:val="2"/>
          <w:sz w:val="32"/>
          <w:szCs w:val="32"/>
          <w:lang w:val="en-US" w:eastAsia="zh-CN" w:bidi="ar-SA"/>
        </w:rPr>
      </w:pPr>
      <w:r>
        <w:rPr>
          <w:rFonts w:hint="eastAsia" w:cs="Times New Roman"/>
          <w:kern w:val="2"/>
          <w:sz w:val="32"/>
          <w:szCs w:val="32"/>
          <w:lang w:val="en-US" w:eastAsia="zh-CN" w:bidi="ar-SA"/>
        </w:rPr>
        <w:t>4.鼓励危险废物产生单位自建符合国家技术导向的自行利用设施，从源头降低危险废物的产生量。</w:t>
      </w:r>
    </w:p>
    <w:p w14:paraId="4B93FB3C">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cs="Times New Roman"/>
          <w:kern w:val="2"/>
          <w:sz w:val="32"/>
          <w:szCs w:val="32"/>
          <w:lang w:val="en-US" w:eastAsia="zh-CN" w:bidi="ar-SA"/>
        </w:rPr>
      </w:pPr>
      <w:r>
        <w:rPr>
          <w:rFonts w:hint="eastAsia" w:cs="Times New Roman"/>
          <w:kern w:val="2"/>
          <w:sz w:val="32"/>
          <w:szCs w:val="32"/>
          <w:lang w:val="en-US" w:eastAsia="zh-CN" w:bidi="ar-SA"/>
        </w:rPr>
        <w:t>5.鼓励工业园区或工业集中区在满足国土空间规划及相关规划的前提下，结合危险废物产生种类、数量等情况配套建设危险废物利用设施，严防危险废物远距离运输带来的环境风险。</w:t>
      </w:r>
    </w:p>
    <w:p w14:paraId="4928A4C9">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（二）投资前充分考虑市场需求类</w:t>
      </w:r>
    </w:p>
    <w:p w14:paraId="0680FAD8">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cs="Times New Roman"/>
          <w:kern w:val="2"/>
          <w:sz w:val="32"/>
          <w:szCs w:val="32"/>
          <w:lang w:val="en-US" w:eastAsia="zh-CN" w:bidi="ar-SA"/>
        </w:rPr>
      </w:pPr>
      <w:r>
        <w:rPr>
          <w:rFonts w:hint="eastAsia" w:cs="Times New Roman"/>
          <w:kern w:val="2"/>
          <w:sz w:val="32"/>
          <w:szCs w:val="32"/>
          <w:lang w:val="en-US" w:eastAsia="zh-CN" w:bidi="ar-SA"/>
        </w:rPr>
        <w:t>1.</w:t>
      </w:r>
      <w:r>
        <w:rPr>
          <w:rFonts w:hint="default" w:ascii="Times New Roman" w:hAnsi="Times New Roman" w:eastAsia="方正仿宋_GBK" w:cs="Times New Roman"/>
          <w:kern w:val="2"/>
          <w:sz w:val="32"/>
          <w:szCs w:val="32"/>
          <w:lang w:val="en-US" w:eastAsia="zh-CN" w:bidi="ar-SA"/>
        </w:rPr>
        <w:t>新建集中焚烧、物化和填埋处置项目</w:t>
      </w:r>
      <w:r>
        <w:rPr>
          <w:rFonts w:hint="eastAsia" w:cs="Times New Roman"/>
          <w:kern w:val="2"/>
          <w:sz w:val="32"/>
          <w:szCs w:val="32"/>
          <w:lang w:val="en-US" w:eastAsia="zh-CN" w:bidi="ar-SA"/>
        </w:rPr>
        <w:t>。</w:t>
      </w:r>
    </w:p>
    <w:p w14:paraId="5B0505C6">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cs="Times New Roman"/>
          <w:kern w:val="2"/>
          <w:sz w:val="32"/>
          <w:szCs w:val="32"/>
          <w:lang w:val="en-US" w:eastAsia="zh-CN" w:bidi="ar-SA"/>
        </w:rPr>
        <w:t>2.</w:t>
      </w:r>
      <w:r>
        <w:rPr>
          <w:rFonts w:hint="default" w:ascii="Times New Roman" w:hAnsi="Times New Roman" w:eastAsia="方正仿宋_GBK" w:cs="Times New Roman"/>
          <w:kern w:val="2"/>
          <w:sz w:val="32"/>
          <w:szCs w:val="32"/>
          <w:lang w:val="en-US" w:eastAsia="zh-CN" w:bidi="ar-SA"/>
        </w:rPr>
        <w:t>以省外、市外危险废物为主要原料的利用项目。</w:t>
      </w:r>
    </w:p>
    <w:p w14:paraId="223E4E81">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cs="Times New Roman"/>
          <w:kern w:val="2"/>
          <w:sz w:val="32"/>
          <w:szCs w:val="32"/>
          <w:lang w:val="en-US" w:eastAsia="zh-CN" w:bidi="ar-SA"/>
        </w:rPr>
        <w:t>3.产能明显过剩的综合利用项目（污泥、</w:t>
      </w:r>
      <w:r>
        <w:rPr>
          <w:rFonts w:hint="default" w:ascii="Times New Roman" w:hAnsi="Times New Roman" w:eastAsia="方正仿宋_GBK" w:cs="Times New Roman"/>
          <w:kern w:val="2"/>
          <w:sz w:val="32"/>
          <w:szCs w:val="32"/>
          <w:lang w:val="en-US" w:eastAsia="zh-CN" w:bidi="ar-SA"/>
        </w:rPr>
        <w:t>废酸、废碱、废矿物油</w:t>
      </w:r>
      <w:r>
        <w:rPr>
          <w:rFonts w:hint="eastAsia" w:cs="Times New Roman"/>
          <w:kern w:val="2"/>
          <w:sz w:val="32"/>
          <w:szCs w:val="32"/>
          <w:lang w:val="en-US" w:eastAsia="zh-CN" w:bidi="ar-SA"/>
        </w:rPr>
        <w:t>、废有机溶剂、废树脂</w:t>
      </w:r>
      <w:r>
        <w:rPr>
          <w:rFonts w:hint="default" w:ascii="Times New Roman" w:hAnsi="Times New Roman" w:eastAsia="方正仿宋_GBK" w:cs="Times New Roman"/>
          <w:kern w:val="2"/>
          <w:sz w:val="32"/>
          <w:szCs w:val="32"/>
          <w:lang w:val="en-US" w:eastAsia="zh-CN" w:bidi="ar-SA"/>
        </w:rPr>
        <w:t>等类别的危险废物综合利用项目</w:t>
      </w:r>
      <w:r>
        <w:rPr>
          <w:rFonts w:hint="eastAsia"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w:t>
      </w:r>
    </w:p>
    <w:p w14:paraId="14DF19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4.废铅蓄电池、废矿物油收集以及小微集中收集项目。</w:t>
      </w:r>
    </w:p>
    <w:p w14:paraId="71CE7088">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5.医疗废物处理项目。</w:t>
      </w:r>
    </w:p>
    <w:p w14:paraId="12398C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请</w:t>
      </w:r>
      <w:r>
        <w:rPr>
          <w:rFonts w:hint="eastAsia" w:cs="Times New Roman"/>
          <w:kern w:val="2"/>
          <w:sz w:val="32"/>
          <w:szCs w:val="32"/>
          <w:lang w:val="en-US" w:eastAsia="zh-CN" w:bidi="ar-SA"/>
        </w:rPr>
        <w:t>投资者</w:t>
      </w:r>
      <w:r>
        <w:rPr>
          <w:rFonts w:hint="default" w:ascii="Times New Roman" w:hAnsi="Times New Roman" w:eastAsia="方正仿宋_GBK" w:cs="Times New Roman"/>
          <w:kern w:val="2"/>
          <w:sz w:val="32"/>
          <w:szCs w:val="32"/>
          <w:lang w:val="en-US" w:eastAsia="zh-CN" w:bidi="ar-SA"/>
        </w:rPr>
        <w:t>理性判断我市危险废物利用处置市场，在投资危险废物利用处置设施建设时，应充分做好项目可行性论证和市场调研，防范投资风险，避免产能闲置。本公告谨供社会参考，不作为管理部门项目管理的直接依据，对未来经济发展中出现的危险废物利用处置缺口，将适时向社会发布投资引导性公告。</w:t>
      </w:r>
    </w:p>
    <w:p w14:paraId="538322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特此公告。</w:t>
      </w:r>
    </w:p>
    <w:p w14:paraId="223810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Times New Roman" w:hAnsi="Times New Roman" w:eastAsia="方正仿宋_GBK" w:cs="Times New Roman"/>
          <w:kern w:val="2"/>
          <w:sz w:val="32"/>
          <w:szCs w:val="32"/>
          <w:lang w:val="en-US" w:eastAsia="zh-CN" w:bidi="ar-SA"/>
        </w:rPr>
      </w:pPr>
    </w:p>
    <w:p w14:paraId="4C0C40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40" w:firstLineChars="17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淮安市生态环境局</w:t>
      </w:r>
    </w:p>
    <w:p w14:paraId="14EFBDC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40" w:firstLineChars="17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w:t>
      </w:r>
      <w:r>
        <w:rPr>
          <w:rFonts w:hint="eastAsia"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w:t>
      </w:r>
      <w:r>
        <w:rPr>
          <w:rFonts w:hint="eastAsia" w:cs="Times New Roman"/>
          <w:kern w:val="2"/>
          <w:sz w:val="32"/>
          <w:szCs w:val="32"/>
          <w:lang w:val="en-US" w:eastAsia="zh-CN" w:bidi="ar-SA"/>
        </w:rPr>
        <w:t>8</w:t>
      </w:r>
      <w:r>
        <w:rPr>
          <w:rFonts w:hint="default" w:ascii="Times New Roman" w:hAnsi="Times New Roman" w:eastAsia="方正仿宋_GBK" w:cs="Times New Roman"/>
          <w:kern w:val="2"/>
          <w:sz w:val="32"/>
          <w:szCs w:val="32"/>
          <w:lang w:val="en-US" w:eastAsia="zh-CN" w:bidi="ar-SA"/>
        </w:rPr>
        <w:t>月</w:t>
      </w:r>
      <w:r>
        <w:rPr>
          <w:rFonts w:hint="eastAsia" w:cs="Times New Roman"/>
          <w:kern w:val="2"/>
          <w:sz w:val="32"/>
          <w:szCs w:val="32"/>
          <w:lang w:val="en-US" w:eastAsia="zh-CN" w:bidi="ar-SA"/>
        </w:rPr>
        <w:t>24日</w:t>
      </w:r>
      <w:bookmarkStart w:id="0" w:name="_GoBack"/>
      <w:bookmarkEnd w:id="0"/>
    </w:p>
    <w:sectPr>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5F4F2"/>
    <w:multiLevelType w:val="singleLevel"/>
    <w:tmpl w:val="1465F4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E3EEE"/>
    <w:rsid w:val="062A4F87"/>
    <w:rsid w:val="0B305C17"/>
    <w:rsid w:val="13F4013E"/>
    <w:rsid w:val="155D3C49"/>
    <w:rsid w:val="156D2F9C"/>
    <w:rsid w:val="1712358F"/>
    <w:rsid w:val="1B0D45D0"/>
    <w:rsid w:val="1BF42866"/>
    <w:rsid w:val="22D705FD"/>
    <w:rsid w:val="284B5FC9"/>
    <w:rsid w:val="3918448A"/>
    <w:rsid w:val="3DE547F8"/>
    <w:rsid w:val="422D52B6"/>
    <w:rsid w:val="42BF647C"/>
    <w:rsid w:val="48F53498"/>
    <w:rsid w:val="5D534D8C"/>
    <w:rsid w:val="608C7473"/>
    <w:rsid w:val="60C4510C"/>
    <w:rsid w:val="687B70D5"/>
    <w:rsid w:val="6DA14C1E"/>
    <w:rsid w:val="70E46F2A"/>
    <w:rsid w:val="758E2F1D"/>
    <w:rsid w:val="75963A07"/>
    <w:rsid w:val="79573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6"/>
      <w:ind w:left="147" w:right="170" w:firstLine="641"/>
      <w:jc w:val="both"/>
    </w:pPr>
    <w:rPr>
      <w:rFonts w:ascii="Times New Roman" w:hAnsi="Times New Roman" w:eastAsia="方正仿宋_GBK" w:cstheme="minorBid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1764</Words>
  <Characters>2097</Characters>
  <Lines>0</Lines>
  <Paragraphs>0</Paragraphs>
  <TotalTime>33</TotalTime>
  <ScaleCrop>false</ScaleCrop>
  <LinksUpToDate>false</LinksUpToDate>
  <CharactersWithSpaces>2105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2023-10-12T00:50:00Z</dcterms:created>
  <dc:creator>Administrator</dc:creator>
  <cp:lastModifiedBy>胡列也图</cp:lastModifiedBy>
  <dcterms:modified xsi:type="dcterms:W3CDTF">2026-08-24T10:18:44Z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E724FC1BCACC494BB3E60DA5703FEB39_12</vt:lpwstr>
  </property>
  <property fmtid="{D5CDD505-2E9C-101B-9397-08002B2CF9AE}" pid="4" name="KSOTemplateDocerSaveRecord">
    <vt:lpwstr>eyJoZGlkIjoiMWM4ZWEyM2U0Zjk4YzAxYTg1NzZkYjgwZDlkZGUyNDYiLCJ1c2VySWQiOiIxMTQ0MjQ3OTkwIn0=</vt:lpwstr>
  </property>
</Properties>
</file>