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F19C3">
      <w:pPr>
        <w:ind w:firstLine="420"/>
        <w:rPr>
          <w:rFonts w:ascii="方正小标宋_GBK" w:eastAsia="方正小标宋_GBK"/>
          <w:b/>
          <w:sz w:val="44"/>
          <w:szCs w:val="44"/>
        </w:rPr>
      </w:pPr>
      <w:r>
        <w:rPr>
          <w:rFonts w:hint="eastAsia" w:ascii="方正小标宋_GBK" w:eastAsia="方正小标宋_GBK"/>
          <w:b w:val="0"/>
          <w:bCs/>
          <w:sz w:val="44"/>
          <w:szCs w:val="44"/>
        </w:rPr>
        <w:t>申领</w:t>
      </w:r>
      <w:bookmarkStart w:id="0" w:name="_GoBack"/>
      <w:bookmarkEnd w:id="0"/>
      <w:r>
        <w:rPr>
          <w:rFonts w:hint="eastAsia" w:ascii="方正小标宋_GBK" w:eastAsia="方正小标宋_GBK"/>
          <w:b w:val="0"/>
          <w:bCs/>
          <w:sz w:val="44"/>
          <w:szCs w:val="44"/>
        </w:rPr>
        <w:t>《危险废物经营许可证》受理公示</w:t>
      </w:r>
    </w:p>
    <w:p w14:paraId="7972FDA1">
      <w:pPr>
        <w:rPr>
          <w:rFonts w:ascii="方正仿宋_GBK" w:hAnsi="方正仿宋_GBK" w:cs="方正仿宋_GBK"/>
          <w:szCs w:val="32"/>
        </w:rPr>
      </w:pPr>
    </w:p>
    <w:tbl>
      <w:tblPr>
        <w:tblStyle w:val="4"/>
        <w:tblW w:w="8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1"/>
        <w:gridCol w:w="6515"/>
      </w:tblGrid>
      <w:tr w14:paraId="482E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91" w:type="dxa"/>
            <w:noWrap w:val="0"/>
            <w:vAlign w:val="center"/>
          </w:tcPr>
          <w:p w14:paraId="39DDC7CB">
            <w:pPr>
              <w:spacing w:line="500" w:lineRule="exact"/>
              <w:jc w:val="center"/>
              <w:rPr>
                <w:rFonts w:ascii="Times New Roman" w:hAnsi="Times New Roman" w:eastAsia="方正小标宋_GBK" w:cs="方正仿宋_GBK"/>
                <w:sz w:val="30"/>
                <w:szCs w:val="30"/>
              </w:rPr>
            </w:pPr>
            <w:r>
              <w:rPr>
                <w:rFonts w:hint="eastAsia" w:ascii="Times New Roman" w:hAnsi="Times New Roman" w:eastAsia="方正小标宋_GBK" w:cs="方正仿宋_GBK"/>
                <w:sz w:val="30"/>
                <w:szCs w:val="30"/>
              </w:rPr>
              <w:t>企业名称</w:t>
            </w:r>
          </w:p>
        </w:tc>
        <w:tc>
          <w:tcPr>
            <w:tcW w:w="6515" w:type="dxa"/>
            <w:noWrap w:val="0"/>
            <w:vAlign w:val="center"/>
          </w:tcPr>
          <w:p w14:paraId="5C8BC7D8">
            <w:pPr>
              <w:spacing w:line="360" w:lineRule="exact"/>
              <w:jc w:val="center"/>
              <w:rPr>
                <w:rFonts w:ascii="Times New Roman" w:hAnsi="Times New Roman" w:eastAsia="仿宋"/>
                <w:sz w:val="28"/>
                <w:szCs w:val="28"/>
              </w:rPr>
            </w:pPr>
            <w:r>
              <w:rPr>
                <w:rFonts w:ascii="Times New Roman" w:hAnsi="Times New Roman" w:eastAsia="仿宋"/>
                <w:sz w:val="28"/>
                <w:szCs w:val="28"/>
              </w:rPr>
              <w:t>江苏伟恩新材料有限公司</w:t>
            </w:r>
          </w:p>
        </w:tc>
      </w:tr>
      <w:tr w14:paraId="7F5B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91" w:type="dxa"/>
            <w:noWrap w:val="0"/>
            <w:vAlign w:val="center"/>
          </w:tcPr>
          <w:p w14:paraId="2466D935">
            <w:pPr>
              <w:spacing w:line="500" w:lineRule="exact"/>
              <w:jc w:val="center"/>
              <w:rPr>
                <w:rFonts w:ascii="Times New Roman" w:hAnsi="Times New Roman" w:eastAsia="方正小标宋_GBK" w:cs="方正仿宋_GBK"/>
                <w:sz w:val="30"/>
                <w:szCs w:val="30"/>
              </w:rPr>
            </w:pPr>
            <w:r>
              <w:rPr>
                <w:rFonts w:hint="eastAsia" w:ascii="Times New Roman" w:hAnsi="Times New Roman" w:eastAsia="方正小标宋_GBK" w:cs="方正仿宋_GBK"/>
                <w:sz w:val="30"/>
                <w:szCs w:val="30"/>
              </w:rPr>
              <w:t>经营设施地址</w:t>
            </w:r>
          </w:p>
        </w:tc>
        <w:tc>
          <w:tcPr>
            <w:tcW w:w="6515" w:type="dxa"/>
            <w:noWrap w:val="0"/>
            <w:vAlign w:val="center"/>
          </w:tcPr>
          <w:p w14:paraId="2B3659FC">
            <w:pPr>
              <w:spacing w:line="360" w:lineRule="exact"/>
              <w:jc w:val="center"/>
              <w:rPr>
                <w:rFonts w:ascii="Times New Roman" w:hAnsi="Times New Roman" w:eastAsia="仿宋"/>
                <w:sz w:val="28"/>
                <w:szCs w:val="28"/>
              </w:rPr>
            </w:pPr>
            <w:r>
              <w:rPr>
                <w:rFonts w:ascii="Times New Roman" w:hAnsi="Times New Roman" w:eastAsia="仿宋"/>
                <w:sz w:val="28"/>
                <w:szCs w:val="28"/>
              </w:rPr>
              <w:t>淮安市工业园区龙腾路 18 号</w:t>
            </w:r>
          </w:p>
        </w:tc>
      </w:tr>
      <w:tr w14:paraId="6CD6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91" w:type="dxa"/>
            <w:noWrap w:val="0"/>
            <w:vAlign w:val="center"/>
          </w:tcPr>
          <w:p w14:paraId="18DAD33D">
            <w:pPr>
              <w:spacing w:line="500" w:lineRule="exact"/>
              <w:jc w:val="center"/>
              <w:rPr>
                <w:rFonts w:ascii="Times New Roman" w:hAnsi="Times New Roman" w:eastAsia="方正小标宋_GBK" w:cs="方正仿宋_GBK"/>
                <w:sz w:val="30"/>
                <w:szCs w:val="30"/>
              </w:rPr>
            </w:pPr>
            <w:r>
              <w:rPr>
                <w:rFonts w:hint="eastAsia" w:ascii="Times New Roman" w:hAnsi="Times New Roman" w:eastAsia="方正小标宋_GBK" w:cs="方正仿宋_GBK"/>
                <w:sz w:val="30"/>
                <w:szCs w:val="30"/>
              </w:rPr>
              <w:t>法人代表</w:t>
            </w:r>
          </w:p>
        </w:tc>
        <w:tc>
          <w:tcPr>
            <w:tcW w:w="6515" w:type="dxa"/>
            <w:noWrap w:val="0"/>
            <w:vAlign w:val="center"/>
          </w:tcPr>
          <w:p w14:paraId="31CDD4D4">
            <w:pPr>
              <w:spacing w:line="360" w:lineRule="exact"/>
              <w:jc w:val="center"/>
              <w:rPr>
                <w:rFonts w:ascii="Times New Roman" w:hAnsi="Times New Roman" w:eastAsia="仿宋"/>
                <w:sz w:val="28"/>
                <w:szCs w:val="28"/>
              </w:rPr>
            </w:pPr>
            <w:r>
              <w:rPr>
                <w:rFonts w:ascii="Times New Roman" w:hAnsi="Times New Roman" w:eastAsia="仿宋"/>
                <w:sz w:val="28"/>
                <w:szCs w:val="28"/>
              </w:rPr>
              <w:t>赵广兵</w:t>
            </w:r>
          </w:p>
        </w:tc>
      </w:tr>
      <w:tr w14:paraId="4E9E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2391" w:type="dxa"/>
            <w:noWrap w:val="0"/>
            <w:vAlign w:val="center"/>
          </w:tcPr>
          <w:p w14:paraId="50E6881E">
            <w:pPr>
              <w:spacing w:line="500" w:lineRule="exact"/>
              <w:jc w:val="center"/>
              <w:rPr>
                <w:rFonts w:ascii="Times New Roman" w:hAnsi="Times New Roman" w:eastAsia="方正小标宋_GBK" w:cs="方正仿宋_GBK"/>
                <w:sz w:val="30"/>
                <w:szCs w:val="30"/>
              </w:rPr>
            </w:pPr>
            <w:r>
              <w:rPr>
                <w:rFonts w:hint="eastAsia" w:ascii="Times New Roman" w:hAnsi="Times New Roman" w:eastAsia="方正小标宋_GBK" w:cs="方正仿宋_GBK"/>
                <w:sz w:val="30"/>
                <w:szCs w:val="30"/>
              </w:rPr>
              <w:t>申请经营类别及数量</w:t>
            </w:r>
          </w:p>
        </w:tc>
        <w:tc>
          <w:tcPr>
            <w:tcW w:w="6515" w:type="dxa"/>
            <w:noWrap w:val="0"/>
            <w:vAlign w:val="center"/>
          </w:tcPr>
          <w:p w14:paraId="162B06B9">
            <w:pPr>
              <w:spacing w:line="360" w:lineRule="exact"/>
              <w:jc w:val="center"/>
              <w:rPr>
                <w:rFonts w:ascii="Times New Roman" w:hAnsi="Times New Roman" w:eastAsia="仿宋"/>
                <w:sz w:val="28"/>
                <w:szCs w:val="28"/>
              </w:rPr>
            </w:pPr>
            <w:r>
              <w:rPr>
                <w:rFonts w:ascii="Times New Roman" w:hAnsi="Times New Roman" w:eastAsia="仿宋"/>
                <w:sz w:val="28"/>
                <w:szCs w:val="28"/>
              </w:rPr>
              <w:t>申请经营类别：利用</w:t>
            </w:r>
            <w:r>
              <w:rPr>
                <w:rFonts w:hint="eastAsia" w:ascii="Times New Roman" w:hAnsi="Times New Roman" w:eastAsia="仿宋"/>
                <w:sz w:val="28"/>
                <w:szCs w:val="28"/>
                <w:lang w:eastAsia="zh-CN"/>
              </w:rPr>
              <w:t>（</w:t>
            </w:r>
            <w:r>
              <w:rPr>
                <w:rFonts w:hint="eastAsia" w:ascii="Times New Roman" w:hAnsi="Times New Roman" w:eastAsia="仿宋"/>
                <w:sz w:val="28"/>
                <w:szCs w:val="28"/>
                <w:lang w:val="en-US" w:eastAsia="zh-CN"/>
              </w:rPr>
              <w:t>R3</w:t>
            </w:r>
            <w:r>
              <w:rPr>
                <w:rFonts w:hint="eastAsia" w:ascii="Times New Roman" w:hAnsi="Times New Roman" w:eastAsia="仿宋"/>
                <w:sz w:val="28"/>
                <w:szCs w:val="28"/>
                <w:lang w:eastAsia="zh-CN"/>
              </w:rPr>
              <w:t>）</w:t>
            </w:r>
            <w:r>
              <w:rPr>
                <w:rFonts w:ascii="Times New Roman" w:hAnsi="Times New Roman" w:eastAsia="仿宋"/>
                <w:sz w:val="28"/>
                <w:szCs w:val="28"/>
              </w:rPr>
              <w:t>废树脂粉</w:t>
            </w:r>
          </w:p>
          <w:p w14:paraId="1F3CA34A">
            <w:pPr>
              <w:spacing w:line="360" w:lineRule="exact"/>
              <w:jc w:val="center"/>
              <w:rPr>
                <w:rFonts w:ascii="Times New Roman" w:hAnsi="Times New Roman" w:eastAsia="仿宋"/>
                <w:sz w:val="28"/>
                <w:szCs w:val="28"/>
              </w:rPr>
            </w:pPr>
            <w:r>
              <w:rPr>
                <w:rFonts w:ascii="Times New Roman" w:hAnsi="Times New Roman" w:eastAsia="仿宋"/>
                <w:sz w:val="28"/>
                <w:szCs w:val="28"/>
              </w:rPr>
              <w:t>（HW13</w:t>
            </w:r>
            <w:r>
              <w:rPr>
                <w:rFonts w:hint="eastAsia" w:ascii="Times New Roman" w:hAnsi="Times New Roman" w:eastAsia="仿宋"/>
                <w:sz w:val="28"/>
                <w:szCs w:val="28"/>
                <w:lang w:val="en-US" w:eastAsia="zh-CN"/>
              </w:rPr>
              <w:t xml:space="preserve"> </w:t>
            </w:r>
            <w:r>
              <w:rPr>
                <w:rFonts w:ascii="Times New Roman" w:hAnsi="Times New Roman" w:eastAsia="仿宋"/>
                <w:sz w:val="28"/>
                <w:szCs w:val="28"/>
              </w:rPr>
              <w:t>900-451-13）</w:t>
            </w:r>
          </w:p>
          <w:p w14:paraId="15593F43">
            <w:pPr>
              <w:spacing w:line="360" w:lineRule="exact"/>
              <w:jc w:val="center"/>
              <w:rPr>
                <w:rFonts w:ascii="Times New Roman" w:hAnsi="Times New Roman" w:eastAsia="仿宋"/>
                <w:sz w:val="28"/>
                <w:szCs w:val="28"/>
              </w:rPr>
            </w:pPr>
            <w:r>
              <w:rPr>
                <w:rFonts w:ascii="Times New Roman" w:hAnsi="Times New Roman" w:eastAsia="仿宋"/>
                <w:sz w:val="28"/>
                <w:szCs w:val="28"/>
              </w:rPr>
              <w:t>数量：38000t/a</w:t>
            </w:r>
          </w:p>
        </w:tc>
      </w:tr>
      <w:tr w14:paraId="5320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2" w:hRule="atLeast"/>
          <w:jc w:val="center"/>
        </w:trPr>
        <w:tc>
          <w:tcPr>
            <w:tcW w:w="8906" w:type="dxa"/>
            <w:gridSpan w:val="2"/>
            <w:noWrap w:val="0"/>
            <w:vAlign w:val="top"/>
          </w:tcPr>
          <w:p w14:paraId="7D675217">
            <w:pPr>
              <w:keepNext w:val="0"/>
              <w:keepLines w:val="0"/>
              <w:pageBreakBefore w:val="0"/>
              <w:wordWrap/>
              <w:overflowPunct/>
              <w:bidi w:val="0"/>
              <w:spacing w:line="400" w:lineRule="exact"/>
              <w:jc w:val="both"/>
              <w:rPr>
                <w:rFonts w:hint="default" w:ascii="Times New Roman" w:hAnsi="Times New Roman" w:eastAsia="方正小标宋_GBK" w:cs="Times New Roman"/>
                <w:sz w:val="30"/>
                <w:szCs w:val="30"/>
              </w:rPr>
            </w:pPr>
            <w:r>
              <w:rPr>
                <w:rFonts w:hint="default" w:ascii="Times New Roman" w:hAnsi="Times New Roman" w:eastAsia="方正小标宋_GBK" w:cs="Times New Roman"/>
                <w:sz w:val="30"/>
                <w:szCs w:val="30"/>
              </w:rPr>
              <w:t>主要工艺</w:t>
            </w:r>
          </w:p>
          <w:p w14:paraId="0F02A5A1">
            <w:pPr>
              <w:keepNext w:val="0"/>
              <w:keepLines w:val="0"/>
              <w:pageBreakBefore w:val="0"/>
              <w:widowControl w:val="0"/>
              <w:kinsoku/>
              <w:wordWrap/>
              <w:overflowPunct/>
              <w:topLinePunct w:val="0"/>
              <w:autoSpaceDE/>
              <w:autoSpaceDN/>
              <w:bidi w:val="0"/>
              <w:adjustRightInd/>
              <w:snapToGrid/>
              <w:spacing w:beforeAutospacing="0" w:line="400" w:lineRule="exact"/>
              <w:ind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项目废树脂粉进厂后进行原料成分检测，合格废树脂粉入库；</w:t>
            </w:r>
          </w:p>
          <w:p w14:paraId="4C39ED42">
            <w:pPr>
              <w:keepNext w:val="0"/>
              <w:keepLines w:val="0"/>
              <w:pageBreakBefore w:val="0"/>
              <w:widowControl w:val="0"/>
              <w:kinsoku/>
              <w:wordWrap/>
              <w:overflowPunct/>
              <w:topLinePunct w:val="0"/>
              <w:autoSpaceDE/>
              <w:autoSpaceDN/>
              <w:bidi w:val="0"/>
              <w:adjustRightInd/>
              <w:snapToGrid/>
              <w:spacing w:beforeAutospacing="0" w:line="400" w:lineRule="exact"/>
              <w:ind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废树脂粉预处理：浸泡-晾干-人工拆包-进料-混料</w:t>
            </w:r>
          </w:p>
          <w:p w14:paraId="238DC9A8">
            <w:pPr>
              <w:keepNext w:val="0"/>
              <w:keepLines w:val="0"/>
              <w:pageBreakBefore w:val="0"/>
              <w:widowControl w:val="0"/>
              <w:kinsoku/>
              <w:wordWrap/>
              <w:overflowPunct/>
              <w:topLinePunct w:val="0"/>
              <w:autoSpaceDE/>
              <w:autoSpaceDN/>
              <w:bidi w:val="0"/>
              <w:adjustRightInd/>
              <w:snapToGrid/>
              <w:spacing w:beforeAutospacing="0" w:line="400" w:lineRule="exact"/>
              <w:ind w:firstLine="560" w:firstLineChars="20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利用工艺（混凝土实心砖）：投料-搅拌混合-压制成型-养护-检验-成品</w:t>
            </w:r>
          </w:p>
          <w:p w14:paraId="68ADBEAD">
            <w:pPr>
              <w:keepNext w:val="0"/>
              <w:keepLines w:val="0"/>
              <w:pageBreakBefore w:val="0"/>
              <w:widowControl w:val="0"/>
              <w:kinsoku/>
              <w:wordWrap/>
              <w:overflowPunct/>
              <w:topLinePunct w:val="0"/>
              <w:autoSpaceDE/>
              <w:autoSpaceDN/>
              <w:bidi w:val="0"/>
              <w:adjustRightInd/>
              <w:snapToGrid/>
              <w:spacing w:beforeAutospacing="0" w:line="400" w:lineRule="exact"/>
              <w:ind w:firstLine="560" w:firstLineChars="200"/>
              <w:jc w:val="both"/>
              <w:textAlignment w:val="auto"/>
              <w:rPr>
                <w:rFonts w:hint="default" w:ascii="Times New Roman" w:hAnsi="Times New Roman" w:eastAsia="方正小标宋_GBK" w:cs="Times New Roman"/>
                <w:sz w:val="30"/>
                <w:szCs w:val="30"/>
              </w:rPr>
            </w:pPr>
            <w:r>
              <w:rPr>
                <w:rFonts w:hint="default" w:ascii="Times New Roman" w:hAnsi="Times New Roman" w:eastAsia="仿宋" w:cs="Times New Roman"/>
                <w:sz w:val="28"/>
                <w:szCs w:val="28"/>
              </w:rPr>
              <w:t>利用工艺（路面砖）：投料-搅拌混合-压制成型-养护-检验-成品</w:t>
            </w:r>
          </w:p>
        </w:tc>
      </w:tr>
      <w:tr w14:paraId="769A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jc w:val="center"/>
        </w:trPr>
        <w:tc>
          <w:tcPr>
            <w:tcW w:w="8906" w:type="dxa"/>
            <w:gridSpan w:val="2"/>
            <w:noWrap w:val="0"/>
            <w:vAlign w:val="top"/>
          </w:tcPr>
          <w:p w14:paraId="685ED615">
            <w:pPr>
              <w:keepNext w:val="0"/>
              <w:keepLines w:val="0"/>
              <w:pageBreakBefore w:val="0"/>
              <w:wordWrap/>
              <w:overflowPunct/>
              <w:bidi w:val="0"/>
              <w:spacing w:line="400" w:lineRule="exact"/>
              <w:jc w:val="both"/>
              <w:rPr>
                <w:rFonts w:hint="default" w:ascii="Times New Roman" w:hAnsi="Times New Roman" w:eastAsia="方正小标宋_GBK" w:cs="Times New Roman"/>
                <w:sz w:val="30"/>
                <w:szCs w:val="30"/>
              </w:rPr>
            </w:pPr>
            <w:r>
              <w:rPr>
                <w:rFonts w:hint="default" w:ascii="Times New Roman" w:hAnsi="Times New Roman" w:eastAsia="方正小标宋_GBK" w:cs="Times New Roman"/>
                <w:sz w:val="30"/>
                <w:szCs w:val="30"/>
              </w:rPr>
              <w:t>废物的运输</w:t>
            </w:r>
          </w:p>
          <w:p w14:paraId="2FFC6419">
            <w:pPr>
              <w:keepNext w:val="0"/>
              <w:keepLines w:val="0"/>
              <w:pageBreakBefore w:val="0"/>
              <w:numPr>
                <w:ilvl w:val="0"/>
                <w:numId w:val="0"/>
              </w:numPr>
              <w:wordWrap/>
              <w:overflowPunct/>
              <w:bidi w:val="0"/>
              <w:spacing w:line="400" w:lineRule="exact"/>
              <w:ind w:leftChars="0" w:firstLine="560" w:firstLine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lang w:val="en-US" w:eastAsia="zh-CN"/>
              </w:rPr>
              <w:t>1.</w:t>
            </w:r>
            <w:r>
              <w:rPr>
                <w:rFonts w:hint="default" w:ascii="Times New Roman" w:hAnsi="Times New Roman" w:eastAsia="方正小标宋_GBK" w:cs="Times New Roman"/>
                <w:sz w:val="28"/>
                <w:szCs w:val="28"/>
              </w:rPr>
              <w:t>废物运输方式：</w:t>
            </w:r>
          </w:p>
          <w:p w14:paraId="19D1B001">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废物采用道路运输方式（委外），根据《国家危险废物名录》（2025年）附录中危险废物豁免管理清单，“采用破碎分选回收废覆铜板、印刷线路板、电路板中金属后的废树脂粉”在运输工具满足防雨、防 渗漏、防遗撒要求时，可不按危险废物进行运输。因此，拟委托满足防雨、防渗漏、防遗撒要求的运输车辆负责废树脂粉的运输。</w:t>
            </w:r>
          </w:p>
          <w:p w14:paraId="7C1ED661">
            <w:pPr>
              <w:keepNext w:val="0"/>
              <w:keepLines w:val="0"/>
              <w:pageBreakBefore w:val="0"/>
              <w:wordWrap/>
              <w:overflowPunct/>
              <w:bidi w:val="0"/>
              <w:spacing w:line="400" w:lineRule="exact"/>
              <w:ind w:firstLine="560" w:firstLine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rPr>
              <w:t>2</w:t>
            </w:r>
            <w:r>
              <w:rPr>
                <w:rFonts w:hint="default" w:ascii="Times New Roman" w:hAnsi="Times New Roman" w:eastAsia="方正小标宋_GBK" w:cs="Times New Roman"/>
                <w:sz w:val="28"/>
                <w:szCs w:val="28"/>
                <w:lang w:val="en-US" w:eastAsia="zh-CN"/>
              </w:rPr>
              <w:t>.</w:t>
            </w:r>
            <w:r>
              <w:rPr>
                <w:rFonts w:hint="default" w:ascii="Times New Roman" w:hAnsi="Times New Roman" w:eastAsia="方正小标宋_GBK" w:cs="Times New Roman"/>
                <w:sz w:val="28"/>
                <w:szCs w:val="28"/>
              </w:rPr>
              <w:t>现有运输工具数量和资质（或租用运输工具的来源、数量、资质）</w:t>
            </w:r>
          </w:p>
          <w:p w14:paraId="046B1E97">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废环氧树脂粉的运输主要委托淮安市通普运输有限公司承担，该公 司道路运输许可证号为淮320811302939，具有“危险废物”运输资质，危 险废物主要运输车辆号牌为苏HG7157、苏H4998Y、苏H3271R等。</w:t>
            </w:r>
          </w:p>
          <w:p w14:paraId="41D4646D">
            <w:pPr>
              <w:keepNext w:val="0"/>
              <w:keepLines w:val="0"/>
              <w:pageBreakBefore w:val="0"/>
              <w:numPr>
                <w:ilvl w:val="0"/>
                <w:numId w:val="0"/>
              </w:numPr>
              <w:wordWrap/>
              <w:overflowPunct/>
              <w:bidi w:val="0"/>
              <w:spacing w:line="400" w:lineRule="exact"/>
              <w:ind w:firstLine="560" w:firstLine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lang w:val="en-US" w:eastAsia="zh-CN"/>
              </w:rPr>
              <w:t>3.</w:t>
            </w:r>
            <w:r>
              <w:rPr>
                <w:rFonts w:hint="default" w:ascii="Times New Roman" w:hAnsi="Times New Roman" w:eastAsia="方正小标宋_GBK" w:cs="Times New Roman"/>
                <w:sz w:val="28"/>
                <w:szCs w:val="28"/>
              </w:rPr>
              <w:t>废物运输时的应急方案和工具</w:t>
            </w:r>
          </w:p>
          <w:p w14:paraId="3E77A1DF">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危险废物运输由取得资质的危险货物运输押运人员随车押运，并配备相应的聚丙烯集装袋，预防包装物发生破损时及时更换，配备随车灭火器以备急用，指定运输线路，专人通信跟踪联通，随时掌握货物装载、运输过程中的情况。</w:t>
            </w:r>
          </w:p>
          <w:p w14:paraId="05608169">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公司成立了事故应急处理小组，通过演练，基本掌握应急救援的基本知识和技能。</w:t>
            </w:r>
          </w:p>
          <w:p w14:paraId="58182007">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3.1 事故报告程序</w:t>
            </w:r>
          </w:p>
          <w:p w14:paraId="6610A1C8">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3.1.1 事故发生后，立即上报公司事故应急处理小组组长或公司办公 室专用电话（0517-83505558），并视情况报警110或119。</w:t>
            </w:r>
          </w:p>
          <w:p w14:paraId="195B28B1">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3.1.2 火灾事故处理方法：初起火灾使用随车携带灭火器扑救，如无 法扑救须立即报119请求支援，讲明危险废物的物理和化学性质，听从消防人员的指挥。</w:t>
            </w:r>
          </w:p>
          <w:p w14:paraId="381E7699">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3.1.3 如有伤员比较严重，应立即报120急救中心，并向有关部门报 告伤势情况。</w:t>
            </w:r>
          </w:p>
          <w:p w14:paraId="6AA7BBBA">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3.2 事故发生后应采取的处理措施</w:t>
            </w:r>
          </w:p>
          <w:p w14:paraId="1E472199">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3.2.1 人员救治应急处理方法：尽快将伤员转移到安全区域，有必要 的紧急人工急救直至送医院救治。</w:t>
            </w:r>
          </w:p>
          <w:p w14:paraId="3A7BCFB0">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3.2.2 处理污染现场的方法：</w:t>
            </w:r>
          </w:p>
          <w:p w14:paraId="7B6914EC">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①立即靠路边停车做好防护。凡发生废环氧树脂粉散落的，都要立 即停车，并在车辆后方100米处放置红色三角牌。禁止车辆和无关人员进入事发点周围，并在事故点周围20米处摆放警示牌，隔离现场。</w:t>
            </w:r>
          </w:p>
          <w:p w14:paraId="2576A2B5">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②立即进行路面收集并报告。如果是少量的散落，利用随车携带的 工具和容器将散落废环氧树脂粉收集起来，对敞开的袋口重新扎紧。如果是较大量的散落或掉落。让废环氧树脂粉尽量集中，避免废环氧树脂粉进入湖泊河流等其他重要设施。公司接到报告后，立即安排人员、叉车、铁锹及收集工具赶赴现场，组织现场清扫。</w:t>
            </w:r>
          </w:p>
          <w:p w14:paraId="666FD5CC">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③如有废环氧树脂粉被压碎进入地面，可能造成环境污染的，应立即向当地环保部门报</w:t>
            </w:r>
            <w:r>
              <w:rPr>
                <w:rFonts w:hint="eastAsia" w:ascii="Times New Roman" w:hAnsi="Times New Roman" w:eastAsia="仿宋_GB2312" w:cs="Times New Roman"/>
                <w:color w:val="000000"/>
                <w:spacing w:val="1"/>
                <w:kern w:val="0"/>
                <w:sz w:val="28"/>
                <w:szCs w:val="28"/>
                <w:lang w:val="en-US" w:eastAsia="zh-CN"/>
              </w:rPr>
              <w:t>备</w:t>
            </w:r>
            <w:r>
              <w:rPr>
                <w:rFonts w:hint="default" w:ascii="Times New Roman" w:hAnsi="Times New Roman" w:eastAsia="仿宋_GB2312" w:cs="Times New Roman"/>
                <w:color w:val="000000"/>
                <w:spacing w:val="1"/>
                <w:kern w:val="0"/>
                <w:sz w:val="28"/>
                <w:szCs w:val="28"/>
              </w:rPr>
              <w:t>。</w:t>
            </w:r>
          </w:p>
          <w:p w14:paraId="157258BA">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3.3 内部指挥人员及联系方式：</w:t>
            </w:r>
          </w:p>
          <w:p w14:paraId="07B22B70">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方正小标宋_GBK" w:cs="Times New Roman"/>
                <w:sz w:val="30"/>
                <w:szCs w:val="30"/>
              </w:rPr>
            </w:pPr>
            <w:r>
              <w:rPr>
                <w:rFonts w:hint="default" w:ascii="Times New Roman" w:hAnsi="Times New Roman" w:eastAsia="仿宋_GB2312" w:cs="Times New Roman"/>
                <w:color w:val="000000"/>
                <w:spacing w:val="1"/>
                <w:kern w:val="0"/>
                <w:sz w:val="28"/>
                <w:szCs w:val="28"/>
              </w:rPr>
              <w:t>赵广兵（总指挥）：13861651717 外部支援单位名称及联系方式：消防：119救护车</w:t>
            </w:r>
            <w:r>
              <w:rPr>
                <w:rFonts w:hint="eastAsia" w:ascii="Times New Roman" w:hAnsi="Times New Roman" w:eastAsia="仿宋_GB2312" w:cs="Times New Roman"/>
                <w:color w:val="000000"/>
                <w:spacing w:val="1"/>
                <w:kern w:val="0"/>
                <w:sz w:val="28"/>
                <w:szCs w:val="28"/>
                <w:lang w:eastAsia="zh-CN"/>
              </w:rPr>
              <w:t>；</w:t>
            </w:r>
            <w:r>
              <w:rPr>
                <w:rFonts w:hint="default" w:ascii="Times New Roman" w:hAnsi="Times New Roman" w:eastAsia="仿宋_GB2312" w:cs="Times New Roman"/>
                <w:color w:val="000000"/>
                <w:spacing w:val="1"/>
                <w:kern w:val="0"/>
                <w:sz w:val="28"/>
                <w:szCs w:val="28"/>
              </w:rPr>
              <w:t>120公安报警：110</w:t>
            </w:r>
            <w:r>
              <w:rPr>
                <w:rFonts w:hint="eastAsia" w:ascii="Times New Roman" w:hAnsi="Times New Roman" w:eastAsia="仿宋_GB2312" w:cs="Times New Roman"/>
                <w:color w:val="000000"/>
                <w:spacing w:val="1"/>
                <w:kern w:val="0"/>
                <w:sz w:val="28"/>
                <w:szCs w:val="28"/>
                <w:lang w:eastAsia="zh-CN"/>
              </w:rPr>
              <w:t>；</w:t>
            </w:r>
            <w:r>
              <w:rPr>
                <w:rFonts w:hint="default" w:ascii="Times New Roman" w:hAnsi="Times New Roman" w:eastAsia="仿宋_GB2312" w:cs="Times New Roman"/>
                <w:color w:val="000000"/>
                <w:spacing w:val="1"/>
                <w:kern w:val="0"/>
                <w:sz w:val="28"/>
                <w:szCs w:val="28"/>
              </w:rPr>
              <w:t>淮安市生态环境局工业园区分局：0517-89220156</w:t>
            </w:r>
            <w:r>
              <w:rPr>
                <w:rFonts w:hint="eastAsia" w:ascii="Times New Roman" w:hAnsi="Times New Roman" w:eastAsia="仿宋_GB2312" w:cs="Times New Roman"/>
                <w:color w:val="000000"/>
                <w:spacing w:val="1"/>
                <w:kern w:val="0"/>
                <w:sz w:val="28"/>
                <w:szCs w:val="28"/>
                <w:lang w:eastAsia="zh-CN"/>
              </w:rPr>
              <w:t>；</w:t>
            </w:r>
            <w:r>
              <w:rPr>
                <w:rFonts w:hint="default" w:ascii="Times New Roman" w:hAnsi="Times New Roman" w:eastAsia="仿宋_GB2312" w:cs="Times New Roman"/>
                <w:color w:val="000000"/>
                <w:spacing w:val="1"/>
                <w:kern w:val="0"/>
                <w:sz w:val="28"/>
                <w:szCs w:val="28"/>
              </w:rPr>
              <w:t>淮安市卫健委：0517-80831602</w:t>
            </w:r>
          </w:p>
        </w:tc>
      </w:tr>
      <w:tr w14:paraId="78B6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8906" w:type="dxa"/>
            <w:gridSpan w:val="2"/>
            <w:noWrap w:val="0"/>
            <w:vAlign w:val="top"/>
          </w:tcPr>
          <w:p w14:paraId="7D2A3ED0">
            <w:pPr>
              <w:keepNext w:val="0"/>
              <w:keepLines w:val="0"/>
              <w:pageBreakBefore w:val="0"/>
              <w:wordWrap/>
              <w:overflowPunct/>
              <w:bidi w:val="0"/>
              <w:spacing w:line="400" w:lineRule="exact"/>
              <w:jc w:val="both"/>
              <w:rPr>
                <w:rFonts w:hint="default" w:ascii="Times New Roman" w:hAnsi="Times New Roman" w:eastAsia="方正小标宋_GBK" w:cs="Times New Roman"/>
                <w:sz w:val="30"/>
                <w:szCs w:val="30"/>
              </w:rPr>
            </w:pPr>
            <w:r>
              <w:rPr>
                <w:rFonts w:hint="default" w:ascii="Times New Roman" w:hAnsi="Times New Roman" w:eastAsia="方正小标宋_GBK" w:cs="Times New Roman"/>
                <w:sz w:val="30"/>
                <w:szCs w:val="30"/>
              </w:rPr>
              <w:t>废物的贮存/暂存</w:t>
            </w:r>
          </w:p>
          <w:p w14:paraId="5AC8E7BE">
            <w:pPr>
              <w:keepNext w:val="0"/>
              <w:keepLines w:val="0"/>
              <w:pageBreakBefore w:val="0"/>
              <w:wordWrap/>
              <w:overflowPunct/>
              <w:bidi w:val="0"/>
              <w:spacing w:line="400" w:lineRule="exact"/>
              <w:ind w:firstLine="560" w:firstLine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rPr>
              <w:t>1</w:t>
            </w:r>
            <w:r>
              <w:rPr>
                <w:rFonts w:hint="default" w:ascii="Times New Roman" w:hAnsi="Times New Roman" w:eastAsia="方正小标宋_GBK" w:cs="Times New Roman"/>
                <w:sz w:val="28"/>
                <w:szCs w:val="28"/>
                <w:lang w:val="en-US" w:eastAsia="zh-CN"/>
              </w:rPr>
              <w:t>.</w:t>
            </w:r>
            <w:r>
              <w:rPr>
                <w:rFonts w:hint="default" w:ascii="Times New Roman" w:hAnsi="Times New Roman" w:eastAsia="方正小标宋_GBK" w:cs="Times New Roman"/>
                <w:sz w:val="28"/>
                <w:szCs w:val="28"/>
              </w:rPr>
              <w:t>废物贮存/暂存方式</w:t>
            </w:r>
          </w:p>
          <w:p w14:paraId="07187CDA">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伟恩公司设置了废树脂粉专用贮存区。废树脂粉采用吨袋包装，经 汽车运至本厂区后，由叉车运至废树脂粉贮存区，登记入库。运输期间、暂存期间吨袋均密封，不得随意拆封。废物贮存区严格按照《危险废物贮存污染控制标准》（GB 18597-2023）的要求进行防渗、防风、防雨、防晒等处理。</w:t>
            </w:r>
          </w:p>
          <w:p w14:paraId="0C9CC1FD">
            <w:pPr>
              <w:keepNext w:val="0"/>
              <w:keepLines w:val="0"/>
              <w:pageBreakBefore w:val="0"/>
              <w:wordWrap/>
              <w:overflowPunct/>
              <w:bidi w:val="0"/>
              <w:spacing w:line="400" w:lineRule="exact"/>
              <w:ind w:firstLine="560" w:firstLine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rPr>
              <w:t>2</w:t>
            </w:r>
            <w:r>
              <w:rPr>
                <w:rFonts w:hint="default" w:ascii="Times New Roman" w:hAnsi="Times New Roman" w:eastAsia="方正小标宋_GBK" w:cs="Times New Roman"/>
                <w:sz w:val="28"/>
                <w:szCs w:val="28"/>
                <w:lang w:val="en-US" w:eastAsia="zh-CN"/>
              </w:rPr>
              <w:t>.</w:t>
            </w:r>
            <w:r>
              <w:rPr>
                <w:rFonts w:hint="default" w:ascii="Times New Roman" w:hAnsi="Times New Roman" w:eastAsia="方正小标宋_GBK" w:cs="Times New Roman"/>
                <w:sz w:val="28"/>
                <w:szCs w:val="28"/>
              </w:rPr>
              <w:t>废物贮存场所情况简述</w:t>
            </w:r>
          </w:p>
          <w:p w14:paraId="2BF69DA4">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废物贮存场所为仓库式，设置防渗设施、应急防护设施、消防设施、通风系统、安全照明、观察窗口和视频监控系统。</w:t>
            </w:r>
          </w:p>
          <w:p w14:paraId="62FE9B1E">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废树脂粉贮存区面积为3530m</w:t>
            </w:r>
            <w:r>
              <w:rPr>
                <w:rFonts w:hint="default" w:ascii="Times New Roman" w:hAnsi="Times New Roman" w:eastAsia="仿宋_GB2312" w:cs="Times New Roman"/>
                <w:color w:val="000000"/>
                <w:spacing w:val="1"/>
                <w:kern w:val="0"/>
                <w:sz w:val="28"/>
                <w:szCs w:val="28"/>
                <w:vertAlign w:val="superscript"/>
              </w:rPr>
              <w:t>2</w:t>
            </w:r>
            <w:r>
              <w:rPr>
                <w:rFonts w:hint="default" w:ascii="Times New Roman" w:hAnsi="Times New Roman" w:eastAsia="仿宋_GB2312" w:cs="Times New Roman"/>
                <w:color w:val="000000"/>
                <w:spacing w:val="1"/>
                <w:kern w:val="0"/>
                <w:sz w:val="28"/>
                <w:szCs w:val="28"/>
              </w:rPr>
              <w:t>，次生危废库贮存区面积为48m</w:t>
            </w:r>
            <w:r>
              <w:rPr>
                <w:rFonts w:hint="default" w:ascii="Times New Roman" w:hAnsi="Times New Roman" w:eastAsia="仿宋_GB2312" w:cs="Times New Roman"/>
                <w:color w:val="000000"/>
                <w:spacing w:val="1"/>
                <w:kern w:val="0"/>
                <w:sz w:val="28"/>
                <w:szCs w:val="28"/>
                <w:vertAlign w:val="superscript"/>
              </w:rPr>
              <w:t>2</w:t>
            </w:r>
            <w:r>
              <w:rPr>
                <w:rFonts w:hint="default" w:ascii="Times New Roman" w:hAnsi="Times New Roman" w:eastAsia="仿宋_GB2312" w:cs="Times New Roman"/>
                <w:color w:val="000000"/>
                <w:spacing w:val="1"/>
                <w:kern w:val="0"/>
                <w:sz w:val="28"/>
                <w:szCs w:val="28"/>
              </w:rPr>
              <w:t>，废树脂粉的最大储存量为6000t，周转时间为25天，次生危废库最大储存量为72t，周转时间为半年，能满足原料及次生危废的周转暂存的需要。</w:t>
            </w:r>
          </w:p>
          <w:p w14:paraId="46B08D5C">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default" w:ascii="Times New Roman" w:hAnsi="Times New Roman" w:eastAsia="仿宋_GB2312" w:cs="Times New Roman"/>
                <w:color w:val="000000"/>
                <w:spacing w:val="1"/>
                <w:kern w:val="0"/>
                <w:sz w:val="28"/>
                <w:szCs w:val="28"/>
              </w:rPr>
            </w:pPr>
            <w:r>
              <w:rPr>
                <w:rFonts w:hint="default" w:ascii="Times New Roman" w:hAnsi="Times New Roman" w:eastAsia="仿宋_GB2312" w:cs="Times New Roman"/>
                <w:color w:val="000000"/>
                <w:spacing w:val="1"/>
                <w:kern w:val="0"/>
                <w:sz w:val="28"/>
                <w:szCs w:val="28"/>
              </w:rPr>
              <w:t>废树脂粉贮存场所按《危险废物贮存污染控制标准》（GB  18597-2023）等规定要求设置，做到防漏、防渗，周围设置围墙或其它防护栅栏，并设警示标志；地面防渗层为1m厚粘土层（渗透系数≤10</w:t>
            </w:r>
            <w:r>
              <w:rPr>
                <w:rFonts w:hint="default" w:ascii="Times New Roman" w:hAnsi="Times New Roman" w:eastAsia="仿宋_GB2312" w:cs="Times New Roman"/>
                <w:color w:val="000000"/>
                <w:spacing w:val="1"/>
                <w:kern w:val="0"/>
                <w:sz w:val="28"/>
                <w:szCs w:val="28"/>
                <w:vertAlign w:val="superscript"/>
              </w:rPr>
              <w:t>-7</w:t>
            </w:r>
            <w:r>
              <w:rPr>
                <w:rFonts w:hint="default" w:ascii="Times New Roman" w:hAnsi="Times New Roman" w:eastAsia="仿宋_GB2312" w:cs="Times New Roman"/>
                <w:color w:val="000000"/>
                <w:spacing w:val="1"/>
                <w:kern w:val="0"/>
                <w:sz w:val="28"/>
                <w:szCs w:val="28"/>
              </w:rPr>
              <w:t>cm/s），加2mm厚高密度聚乙烯，渗透系数≤10</w:t>
            </w:r>
            <w:r>
              <w:rPr>
                <w:rFonts w:hint="default" w:ascii="Times New Roman" w:hAnsi="Times New Roman" w:eastAsia="仿宋_GB2312" w:cs="Times New Roman"/>
                <w:color w:val="000000"/>
                <w:spacing w:val="1"/>
                <w:kern w:val="0"/>
                <w:sz w:val="28"/>
                <w:szCs w:val="28"/>
                <w:vertAlign w:val="superscript"/>
              </w:rPr>
              <w:t>-10</w:t>
            </w:r>
            <w:r>
              <w:rPr>
                <w:rFonts w:hint="default" w:ascii="Times New Roman" w:hAnsi="Times New Roman" w:eastAsia="仿宋_GB2312" w:cs="Times New Roman"/>
                <w:color w:val="000000"/>
                <w:spacing w:val="1"/>
                <w:kern w:val="0"/>
                <w:sz w:val="28"/>
                <w:szCs w:val="28"/>
              </w:rPr>
              <w:t>cm/s；堆放危险废物的高度应根据地面承载能力确定，厂房周围建造了径流疏导系统，保证能防止25年一遇的暴雨不会流到贮存区。根据本地的水文地质条件，贮存区地面采取人工防渗措施：由底层至地面分别为基础→砂层→土工布→HDPE防渗膜→土工布→砂层→混凝土地面→耐磨面层；内墙防渗层做到0.5m高，防渗层由墙内至墙面分别为土工布→HDPE防渗膜→土工布→混凝土面层。危废库采用耐火等级二级的建筑材料（墙体、屋顶等），且库房与其他建筑保持安全距离。危废库配备灭火器、消防沙、烟气报警器等防火应急设施。</w:t>
            </w:r>
          </w:p>
          <w:p w14:paraId="437638F6">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hint="eastAsia" w:ascii="Times New Roman" w:hAnsi="Times New Roman" w:eastAsia="仿宋_GB2312"/>
                <w:color w:val="000000"/>
                <w:spacing w:val="1"/>
                <w:kern w:val="0"/>
                <w:sz w:val="28"/>
                <w:szCs w:val="28"/>
              </w:rPr>
            </w:pPr>
            <w:r>
              <w:rPr>
                <w:rFonts w:hint="default" w:ascii="Times New Roman" w:hAnsi="Times New Roman" w:eastAsia="仿宋_GB2312" w:cs="Times New Roman"/>
                <w:color w:val="000000"/>
                <w:spacing w:val="1"/>
                <w:kern w:val="0"/>
                <w:sz w:val="28"/>
                <w:szCs w:val="28"/>
              </w:rPr>
              <w:t>公司严格按照危险废物贮存设施视频监控布设要求设置在线视频监控，并与中控室联网。</w:t>
            </w:r>
          </w:p>
        </w:tc>
      </w:tr>
      <w:tr w14:paraId="63AE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8906" w:type="dxa"/>
            <w:gridSpan w:val="2"/>
            <w:noWrap w:val="0"/>
            <w:vAlign w:val="top"/>
          </w:tcPr>
          <w:p w14:paraId="4D8128EC">
            <w:pPr>
              <w:keepNext w:val="0"/>
              <w:keepLines w:val="0"/>
              <w:pageBreakBefore w:val="0"/>
              <w:wordWrap/>
              <w:overflowPunct/>
              <w:bidi w:val="0"/>
              <w:spacing w:line="400" w:lineRule="exact"/>
              <w:jc w:val="both"/>
              <w:rPr>
                <w:rFonts w:ascii="Times New Roman" w:hAnsi="Times New Roman" w:eastAsia="方正小标宋_GBK"/>
                <w:sz w:val="30"/>
                <w:szCs w:val="30"/>
              </w:rPr>
            </w:pPr>
            <w:r>
              <w:rPr>
                <w:rFonts w:hint="eastAsia" w:ascii="Times New Roman" w:hAnsi="Times New Roman" w:eastAsia="方正小标宋_GBK"/>
                <w:sz w:val="30"/>
                <w:szCs w:val="30"/>
              </w:rPr>
              <w:t>废物的预处理</w:t>
            </w:r>
          </w:p>
          <w:p w14:paraId="1B492B53">
            <w:pPr>
              <w:keepNext w:val="0"/>
              <w:keepLines w:val="0"/>
              <w:pageBreakBefore w:val="0"/>
              <w:wordWrap/>
              <w:overflowPunct/>
              <w:bidi w:val="0"/>
              <w:spacing w:line="400" w:lineRule="exact"/>
              <w:ind w:firstLine="560" w:firstLineChars="200"/>
              <w:jc w:val="both"/>
              <w:rPr>
                <w:rFonts w:ascii="Times New Roman" w:hAnsi="Times New Roman" w:eastAsia="方正小标宋_GBK"/>
                <w:sz w:val="28"/>
                <w:szCs w:val="28"/>
              </w:rPr>
            </w:pPr>
            <w:r>
              <w:rPr>
                <w:rFonts w:hint="eastAsia" w:ascii="Times New Roman" w:hAnsi="Times New Roman" w:eastAsia="方正小标宋_GBK"/>
                <w:sz w:val="28"/>
                <w:szCs w:val="28"/>
              </w:rPr>
              <w:t>1</w:t>
            </w:r>
            <w:r>
              <w:rPr>
                <w:rFonts w:hint="eastAsia" w:ascii="Times New Roman" w:hAnsi="Times New Roman" w:eastAsia="方正小标宋_GBK"/>
                <w:sz w:val="28"/>
                <w:szCs w:val="28"/>
                <w:lang w:val="en-US" w:eastAsia="zh-CN"/>
              </w:rPr>
              <w:t>.</w:t>
            </w:r>
            <w:r>
              <w:rPr>
                <w:rFonts w:hint="eastAsia" w:ascii="Times New Roman" w:hAnsi="Times New Roman" w:eastAsia="方正小标宋_GBK"/>
                <w:sz w:val="28"/>
                <w:szCs w:val="28"/>
              </w:rPr>
              <w:t>废物预处理工艺</w:t>
            </w:r>
          </w:p>
          <w:p w14:paraId="1F0D07C7">
            <w:pPr>
              <w:keepNext w:val="0"/>
              <w:keepLines w:val="0"/>
              <w:pageBreakBefore w:val="0"/>
              <w:widowControl/>
              <w:kinsoku w:val="0"/>
              <w:wordWrap/>
              <w:overflowPunct/>
              <w:topLinePunct/>
              <w:autoSpaceDE w:val="0"/>
              <w:autoSpaceDN w:val="0"/>
              <w:bidi w:val="0"/>
              <w:adjustRightInd w:val="0"/>
              <w:snapToGrid w:val="0"/>
              <w:spacing w:line="400" w:lineRule="exact"/>
              <w:ind w:left="117" w:right="106" w:firstLine="564" w:firstLineChars="200"/>
              <w:jc w:val="both"/>
              <w:textAlignment w:val="baseline"/>
              <w:rPr>
                <w:rFonts w:ascii="Times New Roman" w:hAnsi="Times New Roman" w:eastAsia="仿宋_GB2312"/>
                <w:color w:val="000000"/>
                <w:spacing w:val="1"/>
                <w:kern w:val="0"/>
                <w:sz w:val="28"/>
                <w:szCs w:val="28"/>
              </w:rPr>
            </w:pPr>
            <w:r>
              <w:rPr>
                <w:rFonts w:ascii="Times New Roman" w:hAnsi="Times New Roman" w:eastAsia="仿宋_GB2312"/>
                <w:color w:val="000000"/>
                <w:spacing w:val="1"/>
                <w:kern w:val="0"/>
                <w:sz w:val="28"/>
                <w:szCs w:val="28"/>
              </w:rPr>
              <w:t>本项目废树脂粉的预处理工艺</w:t>
            </w:r>
            <w:r>
              <w:rPr>
                <w:rFonts w:hint="eastAsia" w:ascii="Times New Roman" w:hAnsi="Times New Roman" w:eastAsia="仿宋_GB2312"/>
                <w:color w:val="000000"/>
                <w:spacing w:val="1"/>
                <w:kern w:val="0"/>
                <w:sz w:val="28"/>
                <w:szCs w:val="28"/>
              </w:rPr>
              <w:t>为浸泡与晾干，晾干后进入投料环节</w:t>
            </w:r>
            <w:r>
              <w:rPr>
                <w:rFonts w:ascii="Times New Roman" w:hAnsi="Times New Roman" w:eastAsia="仿宋_GB2312"/>
                <w:color w:val="000000"/>
                <w:spacing w:val="1"/>
                <w:kern w:val="0"/>
                <w:sz w:val="28"/>
                <w:szCs w:val="28"/>
              </w:rPr>
              <w:t>。</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0"/>
            </w:tblGrid>
            <w:tr w14:paraId="36E9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445B364A">
                  <w:pPr>
                    <w:widowControl/>
                    <w:kinsoku w:val="0"/>
                    <w:topLinePunct/>
                    <w:autoSpaceDE w:val="0"/>
                    <w:autoSpaceDN w:val="0"/>
                    <w:adjustRightInd w:val="0"/>
                    <w:snapToGrid w:val="0"/>
                    <w:spacing w:before="146" w:line="240" w:lineRule="auto"/>
                    <w:jc w:val="center"/>
                    <w:textAlignment w:val="baseline"/>
                    <w:rPr>
                      <w:rFonts w:ascii="Times New Roman" w:hAnsi="Times New Roman" w:eastAsia="仿宋_GB2312"/>
                      <w:color w:val="000000"/>
                      <w:kern w:val="0"/>
                      <w:sz w:val="21"/>
                      <w:szCs w:val="21"/>
                    </w:rPr>
                  </w:pPr>
                  <w:r>
                    <w:rPr>
                      <w:rFonts w:ascii="Times New Roman" w:hAnsi="Times New Roman" w:eastAsia="宋体" w:cs="Arial"/>
                      <w:color w:val="000000"/>
                      <w:kern w:val="0"/>
                      <w:sz w:val="21"/>
                      <w:szCs w:val="21"/>
                    </w:rPr>
                    <w:drawing>
                      <wp:inline distT="0" distB="0" distL="114300" distR="114300">
                        <wp:extent cx="3456305" cy="3734435"/>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3456305" cy="3734435"/>
                                </a:xfrm>
                                <a:prstGeom prst="rect">
                                  <a:avLst/>
                                </a:prstGeom>
                                <a:noFill/>
                                <a:ln>
                                  <a:noFill/>
                                </a:ln>
                              </pic:spPr>
                            </pic:pic>
                          </a:graphicData>
                        </a:graphic>
                      </wp:inline>
                    </w:drawing>
                  </w:r>
                </w:p>
              </w:tc>
            </w:tr>
          </w:tbl>
          <w:p w14:paraId="74FB7484">
            <w:pPr>
              <w:widowControl/>
              <w:kinsoku w:val="0"/>
              <w:topLinePunct/>
              <w:autoSpaceDE w:val="0"/>
              <w:autoSpaceDN w:val="0"/>
              <w:adjustRightInd w:val="0"/>
              <w:snapToGrid w:val="0"/>
              <w:spacing w:before="146" w:line="240" w:lineRule="auto"/>
              <w:ind w:left="680"/>
              <w:jc w:val="center"/>
              <w:textAlignment w:val="baseline"/>
              <w:rPr>
                <w:rFonts w:ascii="Times New Roman" w:hAnsi="Times New Roman" w:eastAsia="仿宋_GB2312"/>
                <w:b/>
                <w:bCs/>
                <w:color w:val="000000"/>
                <w:spacing w:val="-5"/>
                <w:kern w:val="0"/>
                <w:sz w:val="28"/>
                <w:szCs w:val="28"/>
              </w:rPr>
            </w:pPr>
            <w:r>
              <w:rPr>
                <w:rFonts w:ascii="Times New Roman" w:hAnsi="Times New Roman" w:eastAsia="仿宋_GB2312"/>
                <w:b/>
                <w:bCs/>
                <w:color w:val="000000"/>
                <w:spacing w:val="-5"/>
                <w:kern w:val="0"/>
                <w:sz w:val="28"/>
                <w:szCs w:val="28"/>
              </w:rPr>
              <w:t>图</w:t>
            </w:r>
            <w:r>
              <w:rPr>
                <w:rFonts w:hint="eastAsia" w:ascii="Times New Roman" w:hAnsi="Times New Roman" w:eastAsia="仿宋_GB2312"/>
                <w:b/>
                <w:bCs/>
                <w:color w:val="000000"/>
                <w:spacing w:val="-5"/>
                <w:kern w:val="0"/>
                <w:sz w:val="28"/>
                <w:szCs w:val="28"/>
              </w:rPr>
              <w:t>1</w:t>
            </w:r>
            <w:r>
              <w:rPr>
                <w:rFonts w:ascii="Times New Roman" w:hAnsi="Times New Roman" w:eastAsia="仿宋_GB2312"/>
                <w:b/>
                <w:bCs/>
                <w:color w:val="000000"/>
                <w:spacing w:val="-5"/>
                <w:kern w:val="0"/>
                <w:sz w:val="28"/>
                <w:szCs w:val="28"/>
              </w:rPr>
              <w:t xml:space="preserve"> </w:t>
            </w:r>
            <w:r>
              <w:rPr>
                <w:rFonts w:hint="eastAsia" w:ascii="Times New Roman" w:hAnsi="Times New Roman" w:eastAsia="仿宋_GB2312"/>
                <w:b/>
                <w:bCs/>
                <w:color w:val="000000"/>
                <w:spacing w:val="-5"/>
                <w:kern w:val="0"/>
                <w:sz w:val="28"/>
                <w:szCs w:val="28"/>
                <w:lang w:val="en-US" w:eastAsia="zh-CN"/>
              </w:rPr>
              <w:t xml:space="preserve"> </w:t>
            </w:r>
            <w:r>
              <w:rPr>
                <w:rFonts w:ascii="Times New Roman" w:hAnsi="Times New Roman" w:eastAsia="仿宋_GB2312"/>
                <w:b/>
                <w:bCs/>
                <w:color w:val="000000"/>
                <w:spacing w:val="-5"/>
                <w:kern w:val="0"/>
                <w:sz w:val="28"/>
                <w:szCs w:val="28"/>
              </w:rPr>
              <w:t>废环氧树脂粉进料流程图</w:t>
            </w:r>
          </w:p>
          <w:p w14:paraId="6F732590">
            <w:pPr>
              <w:keepNext w:val="0"/>
              <w:keepLines w:val="0"/>
              <w:pageBreakBefore w:val="0"/>
              <w:widowControl/>
              <w:kinsoku w:val="0"/>
              <w:wordWrap/>
              <w:overflowPunct/>
              <w:topLinePunct/>
              <w:autoSpaceDE w:val="0"/>
              <w:autoSpaceDN w:val="0"/>
              <w:bidi w:val="0"/>
              <w:adjustRightInd w:val="0"/>
              <w:snapToGrid w:val="0"/>
              <w:spacing w:line="400" w:lineRule="exact"/>
              <w:ind w:firstLine="546" w:firstLineChars="200"/>
              <w:jc w:val="both"/>
              <w:textAlignment w:val="baseline"/>
              <w:rPr>
                <w:rFonts w:ascii="Times New Roman" w:hAnsi="Times New Roman" w:eastAsia="仿宋_GB2312"/>
                <w:color w:val="000000"/>
                <w:kern w:val="0"/>
                <w:sz w:val="28"/>
                <w:szCs w:val="28"/>
              </w:rPr>
            </w:pPr>
            <w:r>
              <w:rPr>
                <w:rFonts w:ascii="Times New Roman" w:hAnsi="Times New Roman" w:eastAsia="仿宋_GB2312"/>
                <w:b/>
                <w:bCs/>
                <w:color w:val="000000"/>
                <w:spacing w:val="-4"/>
                <w:kern w:val="0"/>
                <w:sz w:val="28"/>
                <w:szCs w:val="28"/>
              </w:rPr>
              <w:t>生产工艺流程说明：</w:t>
            </w:r>
          </w:p>
          <w:p w14:paraId="5B2AB1CE">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4" w:firstLineChars="200"/>
              <w:jc w:val="both"/>
              <w:textAlignment w:val="baseline"/>
              <w:rPr>
                <w:rFonts w:hint="eastAsia" w:ascii="Times New Roman" w:hAnsi="Times New Roman" w:eastAsia="仿宋_GB2312"/>
                <w:color w:val="000000"/>
                <w:spacing w:val="1"/>
                <w:kern w:val="0"/>
                <w:sz w:val="28"/>
                <w:szCs w:val="28"/>
              </w:rPr>
            </w:pPr>
            <w:r>
              <w:rPr>
                <w:rFonts w:ascii="Times New Roman" w:hAnsi="Times New Roman" w:eastAsia="仿宋_GB2312"/>
                <w:color w:val="000000"/>
                <w:spacing w:val="1"/>
                <w:kern w:val="0"/>
                <w:sz w:val="28"/>
                <w:szCs w:val="28"/>
              </w:rPr>
              <w:t>首先将密封好的整包废环氧树脂粉通过吊装葫芦提入浸泡池，池中注满水，由于项目吨袋为PP材质的编织袋，可以透水，在池内经过一段时间浸泡后，废环氧树脂粉变为湿料，随后由吊装葫芦提出浸泡池。由于此时废环氧</w:t>
            </w:r>
            <w:r>
              <w:rPr>
                <w:rFonts w:hint="eastAsia" w:ascii="Times New Roman" w:hAnsi="Times New Roman" w:eastAsia="仿宋_GB2312"/>
                <w:color w:val="000000"/>
                <w:spacing w:val="1"/>
                <w:kern w:val="0"/>
                <w:sz w:val="28"/>
                <w:szCs w:val="28"/>
                <w:lang w:val="en-US" w:eastAsia="zh-CN"/>
              </w:rPr>
              <w:t>树脂</w:t>
            </w:r>
            <w:r>
              <w:rPr>
                <w:rFonts w:ascii="Times New Roman" w:hAnsi="Times New Roman" w:eastAsia="仿宋_GB2312"/>
                <w:color w:val="000000"/>
                <w:spacing w:val="1"/>
                <w:kern w:val="0"/>
                <w:sz w:val="28"/>
                <w:szCs w:val="28"/>
              </w:rPr>
              <w:t>粉吨包会有少量水滴出，故在浸泡池旁建设一座晾干平台，平台上方设有支架，经水浸泡后的</w:t>
            </w:r>
            <w:r>
              <w:rPr>
                <w:rFonts w:ascii="Times New Roman" w:hAnsi="Times New Roman" w:eastAsia="仿宋_GB2312"/>
                <w:color w:val="000000"/>
                <w:spacing w:val="1"/>
                <w:kern w:val="0"/>
                <w:sz w:val="28"/>
                <w:szCs w:val="28"/>
              </w:rPr>
              <w:t>废环氧</w:t>
            </w:r>
            <w:r>
              <w:rPr>
                <w:rFonts w:hint="eastAsia" w:ascii="Times New Roman" w:hAnsi="Times New Roman" w:eastAsia="仿宋_GB2312"/>
                <w:color w:val="000000"/>
                <w:spacing w:val="1"/>
                <w:kern w:val="0"/>
                <w:sz w:val="28"/>
                <w:szCs w:val="28"/>
                <w:lang w:val="en-US" w:eastAsia="zh-CN"/>
              </w:rPr>
              <w:t>树脂</w:t>
            </w:r>
            <w:r>
              <w:rPr>
                <w:rFonts w:ascii="Times New Roman" w:hAnsi="Times New Roman" w:eastAsia="仿宋_GB2312"/>
                <w:color w:val="000000"/>
                <w:spacing w:val="1"/>
                <w:kern w:val="0"/>
                <w:sz w:val="28"/>
                <w:szCs w:val="28"/>
              </w:rPr>
              <w:t>粉</w:t>
            </w:r>
            <w:r>
              <w:rPr>
                <w:rFonts w:ascii="Times New Roman" w:hAnsi="Times New Roman" w:eastAsia="仿宋_GB2312"/>
                <w:color w:val="000000"/>
                <w:spacing w:val="1"/>
                <w:kern w:val="0"/>
                <w:sz w:val="28"/>
                <w:szCs w:val="28"/>
              </w:rPr>
              <w:t>吨包放在支架上进行自然晾干，平台周围设有围堰和截水沟，晾干过程中滴落的水经截水沟自流入浸泡池，循环利用。待</w:t>
            </w:r>
            <w:r>
              <w:rPr>
                <w:rFonts w:ascii="Times New Roman" w:hAnsi="Times New Roman" w:eastAsia="仿宋_GB2312"/>
                <w:color w:val="000000"/>
                <w:spacing w:val="1"/>
                <w:kern w:val="0"/>
                <w:sz w:val="28"/>
                <w:szCs w:val="28"/>
              </w:rPr>
              <w:t>废环氧</w:t>
            </w:r>
            <w:r>
              <w:rPr>
                <w:rFonts w:hint="eastAsia" w:ascii="Times New Roman" w:hAnsi="Times New Roman" w:eastAsia="仿宋_GB2312"/>
                <w:color w:val="000000"/>
                <w:spacing w:val="1"/>
                <w:kern w:val="0"/>
                <w:sz w:val="28"/>
                <w:szCs w:val="28"/>
                <w:lang w:val="en-US" w:eastAsia="zh-CN"/>
              </w:rPr>
              <w:t>树脂</w:t>
            </w:r>
            <w:r>
              <w:rPr>
                <w:rFonts w:ascii="Times New Roman" w:hAnsi="Times New Roman" w:eastAsia="仿宋_GB2312"/>
                <w:color w:val="000000"/>
                <w:spacing w:val="1"/>
                <w:kern w:val="0"/>
                <w:sz w:val="28"/>
                <w:szCs w:val="28"/>
              </w:rPr>
              <w:t>粉</w:t>
            </w:r>
            <w:r>
              <w:rPr>
                <w:rFonts w:ascii="Times New Roman" w:hAnsi="Times New Roman" w:eastAsia="仿宋_GB2312"/>
                <w:color w:val="000000"/>
                <w:spacing w:val="1"/>
                <w:kern w:val="0"/>
                <w:sz w:val="28"/>
                <w:szCs w:val="28"/>
              </w:rPr>
              <w:t>吨包基本不再有水自然滴出时，将废环氧树粉提入进料斗中，打开吨包，随后由输送机送入混料机中。</w:t>
            </w:r>
          </w:p>
          <w:p w14:paraId="7B301D5A">
            <w:pPr>
              <w:keepNext w:val="0"/>
              <w:keepLines w:val="0"/>
              <w:pageBreakBefore w:val="0"/>
              <w:wordWrap/>
              <w:overflowPunct/>
              <w:bidi w:val="0"/>
              <w:spacing w:line="400" w:lineRule="exact"/>
              <w:ind w:firstLine="560" w:firstLineChars="200"/>
              <w:jc w:val="both"/>
              <w:rPr>
                <w:rFonts w:ascii="Times New Roman" w:hAnsi="Times New Roman" w:eastAsia="方正小标宋_GBK"/>
                <w:sz w:val="28"/>
                <w:szCs w:val="28"/>
              </w:rPr>
            </w:pPr>
            <w:r>
              <w:rPr>
                <w:rFonts w:hint="eastAsia" w:ascii="Times New Roman" w:hAnsi="Times New Roman" w:eastAsia="方正小标宋_GBK"/>
                <w:sz w:val="28"/>
                <w:szCs w:val="28"/>
              </w:rPr>
              <w:t>2</w:t>
            </w:r>
            <w:r>
              <w:rPr>
                <w:rFonts w:hint="eastAsia" w:ascii="Times New Roman" w:hAnsi="Times New Roman" w:eastAsia="方正小标宋_GBK"/>
                <w:sz w:val="28"/>
                <w:szCs w:val="28"/>
                <w:lang w:val="en-US" w:eastAsia="zh-CN"/>
              </w:rPr>
              <w:t>.</w:t>
            </w:r>
            <w:r>
              <w:rPr>
                <w:rFonts w:hint="eastAsia" w:ascii="Times New Roman" w:hAnsi="Times New Roman" w:eastAsia="方正小标宋_GBK"/>
                <w:sz w:val="28"/>
                <w:szCs w:val="28"/>
              </w:rPr>
              <w:t>废物预处理设施、设备</w:t>
            </w:r>
          </w:p>
          <w:p w14:paraId="0CDDC38B">
            <w:pPr>
              <w:keepNext w:val="0"/>
              <w:keepLines w:val="0"/>
              <w:pageBreakBefore w:val="0"/>
              <w:widowControl/>
              <w:kinsoku w:val="0"/>
              <w:wordWrap/>
              <w:overflowPunct/>
              <w:topLinePunct/>
              <w:autoSpaceDE w:val="0"/>
              <w:autoSpaceDN w:val="0"/>
              <w:bidi w:val="0"/>
              <w:adjustRightInd w:val="0"/>
              <w:snapToGrid w:val="0"/>
              <w:spacing w:line="400" w:lineRule="exact"/>
              <w:ind w:left="120" w:right="106" w:firstLine="544" w:firstLineChars="200"/>
              <w:jc w:val="both"/>
              <w:textAlignment w:val="baseline"/>
              <w:rPr>
                <w:rFonts w:hint="eastAsia" w:ascii="Times New Roman" w:hAnsi="Times New Roman" w:eastAsia="仿宋"/>
                <w:color w:val="000000"/>
                <w:kern w:val="0"/>
                <w:sz w:val="28"/>
                <w:szCs w:val="28"/>
              </w:rPr>
            </w:pPr>
            <w:r>
              <w:rPr>
                <w:rFonts w:ascii="Times New Roman" w:hAnsi="Times New Roman" w:eastAsia="仿宋"/>
                <w:color w:val="000000"/>
                <w:spacing w:val="-4"/>
                <w:kern w:val="0"/>
                <w:sz w:val="28"/>
                <w:szCs w:val="28"/>
              </w:rPr>
              <w:t>（1）主要预处理设备：吊装葫芦、浸泡池、晾干平台</w:t>
            </w:r>
            <w:r>
              <w:rPr>
                <w:rFonts w:ascii="Times New Roman" w:hAnsi="Times New Roman" w:eastAsia="仿宋"/>
                <w:color w:val="000000"/>
                <w:spacing w:val="-1"/>
                <w:kern w:val="0"/>
                <w:sz w:val="28"/>
                <w:szCs w:val="28"/>
              </w:rPr>
              <w:t>。</w:t>
            </w:r>
          </w:p>
          <w:p w14:paraId="38BB5217">
            <w:pPr>
              <w:widowControl/>
              <w:kinsoku w:val="0"/>
              <w:topLinePunct/>
              <w:autoSpaceDE w:val="0"/>
              <w:autoSpaceDN w:val="0"/>
              <w:adjustRightInd w:val="0"/>
              <w:snapToGrid w:val="0"/>
              <w:spacing w:before="42" w:line="240" w:lineRule="auto"/>
              <w:ind w:left="2831"/>
              <w:jc w:val="left"/>
              <w:textAlignment w:val="baseline"/>
              <w:rPr>
                <w:rFonts w:ascii="Times New Roman" w:hAnsi="Times New Roman" w:eastAsia="仿宋"/>
                <w:color w:val="000000"/>
                <w:kern w:val="0"/>
                <w:sz w:val="28"/>
                <w:szCs w:val="28"/>
              </w:rPr>
            </w:pPr>
            <w:r>
              <w:rPr>
                <w:rFonts w:ascii="Times New Roman" w:hAnsi="Times New Roman" w:eastAsia="仿宋"/>
                <w:b/>
                <w:bCs/>
                <w:color w:val="000000"/>
                <w:spacing w:val="-4"/>
                <w:kern w:val="0"/>
                <w:sz w:val="28"/>
                <w:szCs w:val="28"/>
              </w:rPr>
              <w:t xml:space="preserve">表1 </w:t>
            </w:r>
            <w:r>
              <w:rPr>
                <w:rFonts w:hint="eastAsia" w:ascii="Times New Roman" w:hAnsi="Times New Roman" w:eastAsia="仿宋"/>
                <w:b/>
                <w:bCs/>
                <w:color w:val="000000"/>
                <w:spacing w:val="-4"/>
                <w:kern w:val="0"/>
                <w:sz w:val="28"/>
                <w:szCs w:val="28"/>
                <w:lang w:val="en-US" w:eastAsia="zh-CN"/>
              </w:rPr>
              <w:t xml:space="preserve"> </w:t>
            </w:r>
            <w:r>
              <w:rPr>
                <w:rFonts w:ascii="Times New Roman" w:hAnsi="Times New Roman" w:eastAsia="仿宋"/>
                <w:b/>
                <w:bCs/>
                <w:color w:val="000000"/>
                <w:spacing w:val="-4"/>
                <w:kern w:val="0"/>
                <w:sz w:val="28"/>
                <w:szCs w:val="28"/>
              </w:rPr>
              <w:t>废物</w:t>
            </w:r>
            <w:r>
              <w:rPr>
                <w:rFonts w:hint="eastAsia" w:ascii="Times New Roman" w:hAnsi="Times New Roman" w:eastAsia="仿宋"/>
                <w:b/>
                <w:bCs/>
                <w:color w:val="000000"/>
                <w:spacing w:val="-4"/>
                <w:kern w:val="0"/>
                <w:sz w:val="28"/>
                <w:szCs w:val="28"/>
              </w:rPr>
              <w:t>利用</w:t>
            </w:r>
            <w:r>
              <w:rPr>
                <w:rFonts w:ascii="Times New Roman" w:hAnsi="Times New Roman" w:eastAsia="仿宋"/>
                <w:b/>
                <w:bCs/>
                <w:color w:val="000000"/>
                <w:spacing w:val="-4"/>
                <w:kern w:val="0"/>
                <w:sz w:val="28"/>
                <w:szCs w:val="28"/>
              </w:rPr>
              <w:t>设备一览表</w:t>
            </w:r>
          </w:p>
          <w:tbl>
            <w:tblPr>
              <w:tblStyle w:val="4"/>
              <w:tblW w:w="4993"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0"/>
              <w:gridCol w:w="1767"/>
              <w:gridCol w:w="1205"/>
              <w:gridCol w:w="1267"/>
              <w:gridCol w:w="2784"/>
            </w:tblGrid>
            <w:tr w14:paraId="5B225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51" w:type="pct"/>
                  <w:tcBorders>
                    <w:top w:val="single" w:color="auto" w:sz="4" w:space="0"/>
                    <w:left w:val="single" w:color="000000" w:sz="2" w:space="0"/>
                    <w:bottom w:val="single" w:color="auto" w:sz="4" w:space="0"/>
                    <w:right w:val="single" w:color="auto" w:sz="4" w:space="0"/>
                  </w:tcBorders>
                  <w:noWrap w:val="0"/>
                  <w:vAlign w:val="center"/>
                </w:tcPr>
                <w:p w14:paraId="71A37D0A">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b/>
                      <w:bCs/>
                      <w:sz w:val="24"/>
                      <w:szCs w:val="24"/>
                    </w:rPr>
                  </w:pPr>
                  <w:r>
                    <w:rPr>
                      <w:rFonts w:ascii="Times New Roman" w:hAnsi="Times New Roman" w:eastAsia="仿宋"/>
                      <w:b/>
                      <w:bCs/>
                      <w:sz w:val="24"/>
                      <w:szCs w:val="24"/>
                    </w:rPr>
                    <w:t>产品名称</w:t>
                  </w:r>
                </w:p>
              </w:tc>
              <w:tc>
                <w:tcPr>
                  <w:tcW w:w="1018" w:type="pct"/>
                  <w:tcBorders>
                    <w:top w:val="single" w:color="auto" w:sz="4" w:space="0"/>
                    <w:left w:val="single" w:color="auto" w:sz="4" w:space="0"/>
                    <w:bottom w:val="single" w:color="auto" w:sz="4" w:space="0"/>
                    <w:right w:val="single" w:color="auto" w:sz="4" w:space="0"/>
                  </w:tcBorders>
                  <w:noWrap w:val="0"/>
                  <w:vAlign w:val="center"/>
                </w:tcPr>
                <w:p w14:paraId="31F68477">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b/>
                      <w:bCs/>
                      <w:sz w:val="24"/>
                      <w:szCs w:val="24"/>
                    </w:rPr>
                  </w:pPr>
                  <w:r>
                    <w:rPr>
                      <w:rFonts w:ascii="Times New Roman" w:hAnsi="Times New Roman" w:eastAsia="仿宋"/>
                      <w:b/>
                      <w:bCs/>
                      <w:sz w:val="24"/>
                      <w:szCs w:val="24"/>
                    </w:rPr>
                    <w:t>设备名称</w:t>
                  </w:r>
                </w:p>
              </w:tc>
              <w:tc>
                <w:tcPr>
                  <w:tcW w:w="694" w:type="pct"/>
                  <w:tcBorders>
                    <w:top w:val="single" w:color="000000" w:sz="2" w:space="0"/>
                    <w:left w:val="single" w:color="auto" w:sz="4" w:space="0"/>
                    <w:bottom w:val="single" w:color="000000" w:sz="2" w:space="0"/>
                    <w:right w:val="single" w:color="000000" w:sz="2" w:space="0"/>
                  </w:tcBorders>
                  <w:noWrap w:val="0"/>
                  <w:vAlign w:val="center"/>
                </w:tcPr>
                <w:p w14:paraId="68AAE9F2">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b/>
                      <w:bCs/>
                      <w:sz w:val="24"/>
                      <w:szCs w:val="24"/>
                    </w:rPr>
                  </w:pPr>
                  <w:r>
                    <w:rPr>
                      <w:rFonts w:ascii="Times New Roman" w:hAnsi="Times New Roman" w:eastAsia="仿宋"/>
                      <w:b/>
                      <w:bCs/>
                      <w:sz w:val="24"/>
                      <w:szCs w:val="24"/>
                    </w:rPr>
                    <w:t>规格</w:t>
                  </w:r>
                </w:p>
              </w:tc>
              <w:tc>
                <w:tcPr>
                  <w:tcW w:w="730" w:type="pct"/>
                  <w:tcBorders>
                    <w:top w:val="single" w:color="000000" w:sz="2" w:space="0"/>
                    <w:left w:val="single" w:color="000000" w:sz="2" w:space="0"/>
                    <w:bottom w:val="single" w:color="000000" w:sz="2" w:space="0"/>
                    <w:right w:val="single" w:color="000000" w:sz="2" w:space="0"/>
                  </w:tcBorders>
                  <w:noWrap w:val="0"/>
                  <w:vAlign w:val="center"/>
                </w:tcPr>
                <w:p w14:paraId="19209D30">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b/>
                      <w:bCs/>
                      <w:sz w:val="24"/>
                      <w:szCs w:val="24"/>
                    </w:rPr>
                  </w:pPr>
                  <w:r>
                    <w:rPr>
                      <w:rFonts w:ascii="Times New Roman" w:hAnsi="Times New Roman" w:eastAsia="仿宋"/>
                      <w:b/>
                      <w:bCs/>
                      <w:sz w:val="24"/>
                      <w:szCs w:val="24"/>
                    </w:rPr>
                    <w:t>数量</w:t>
                  </w:r>
                </w:p>
              </w:tc>
              <w:tc>
                <w:tcPr>
                  <w:tcW w:w="1604" w:type="pct"/>
                  <w:tcBorders>
                    <w:top w:val="single" w:color="000000" w:sz="2" w:space="0"/>
                    <w:left w:val="single" w:color="000000" w:sz="2" w:space="0"/>
                    <w:bottom w:val="single" w:color="000000" w:sz="2" w:space="0"/>
                    <w:right w:val="single" w:color="000000" w:sz="2" w:space="0"/>
                  </w:tcBorders>
                  <w:noWrap w:val="0"/>
                  <w:vAlign w:val="center"/>
                </w:tcPr>
                <w:p w14:paraId="230AE10A">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b/>
                      <w:bCs/>
                      <w:sz w:val="24"/>
                      <w:szCs w:val="24"/>
                    </w:rPr>
                  </w:pPr>
                  <w:r>
                    <w:rPr>
                      <w:rFonts w:ascii="Times New Roman" w:hAnsi="Times New Roman" w:eastAsia="仿宋"/>
                      <w:b/>
                      <w:bCs/>
                      <w:sz w:val="24"/>
                      <w:szCs w:val="24"/>
                    </w:rPr>
                    <w:t>备注</w:t>
                  </w:r>
                </w:p>
              </w:tc>
            </w:tr>
            <w:tr w14:paraId="546DF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951" w:type="pct"/>
                  <w:vMerge w:val="restart"/>
                  <w:tcBorders>
                    <w:top w:val="single" w:color="auto" w:sz="4" w:space="0"/>
                    <w:left w:val="single" w:color="auto" w:sz="4" w:space="0"/>
                    <w:bottom w:val="single" w:color="auto" w:sz="4" w:space="0"/>
                    <w:right w:val="single" w:color="auto" w:sz="4" w:space="0"/>
                  </w:tcBorders>
                  <w:noWrap w:val="0"/>
                  <w:vAlign w:val="center"/>
                </w:tcPr>
                <w:p w14:paraId="2FE2086F">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树脂砖</w:t>
                  </w:r>
                </w:p>
                <w:p w14:paraId="0C9AA3B4">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（一期工程）</w:t>
                  </w:r>
                </w:p>
              </w:tc>
              <w:tc>
                <w:tcPr>
                  <w:tcW w:w="1018" w:type="pct"/>
                  <w:tcBorders>
                    <w:top w:val="single" w:color="auto" w:sz="4" w:space="0"/>
                    <w:left w:val="single" w:color="auto" w:sz="4" w:space="0"/>
                    <w:bottom w:val="single" w:color="auto" w:sz="4" w:space="0"/>
                    <w:right w:val="single" w:color="auto" w:sz="4" w:space="0"/>
                  </w:tcBorders>
                  <w:noWrap w:val="0"/>
                  <w:vAlign w:val="center"/>
                </w:tcPr>
                <w:p w14:paraId="17DF2519">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吊装葫芦</w:t>
                  </w:r>
                </w:p>
              </w:tc>
              <w:tc>
                <w:tcPr>
                  <w:tcW w:w="694" w:type="pct"/>
                  <w:tcBorders>
                    <w:top w:val="single" w:color="000000" w:sz="2" w:space="0"/>
                    <w:left w:val="single" w:color="auto" w:sz="4" w:space="0"/>
                    <w:bottom w:val="single" w:color="000000" w:sz="2" w:space="0"/>
                    <w:right w:val="single" w:color="000000" w:sz="2" w:space="0"/>
                  </w:tcBorders>
                  <w:noWrap w:val="0"/>
                  <w:vAlign w:val="center"/>
                </w:tcPr>
                <w:p w14:paraId="1D1ACA3B">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3kw</w:t>
                  </w:r>
                </w:p>
              </w:tc>
              <w:tc>
                <w:tcPr>
                  <w:tcW w:w="730" w:type="pct"/>
                  <w:tcBorders>
                    <w:top w:val="single" w:color="000000" w:sz="2" w:space="0"/>
                    <w:left w:val="single" w:color="000000" w:sz="2" w:space="0"/>
                    <w:bottom w:val="single" w:color="000000" w:sz="2" w:space="0"/>
                    <w:right w:val="single" w:color="000000" w:sz="2" w:space="0"/>
                  </w:tcBorders>
                  <w:noWrap w:val="0"/>
                  <w:vAlign w:val="center"/>
                </w:tcPr>
                <w:p w14:paraId="2F081899">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w:t>
                  </w:r>
                </w:p>
              </w:tc>
              <w:tc>
                <w:tcPr>
                  <w:tcW w:w="1604" w:type="pct"/>
                  <w:tcBorders>
                    <w:top w:val="single" w:color="000000" w:sz="2" w:space="0"/>
                    <w:left w:val="single" w:color="000000" w:sz="2" w:space="0"/>
                    <w:bottom w:val="single" w:color="000000" w:sz="2" w:space="0"/>
                    <w:right w:val="single" w:color="000000" w:sz="2" w:space="0"/>
                  </w:tcBorders>
                  <w:noWrap w:val="0"/>
                  <w:vAlign w:val="center"/>
                </w:tcPr>
                <w:p w14:paraId="0DA10C5B">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废环氧树脂粉转运设施</w:t>
                  </w:r>
                </w:p>
              </w:tc>
            </w:tr>
            <w:tr w14:paraId="3C123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951" w:type="pct"/>
                  <w:vMerge w:val="continue"/>
                  <w:tcBorders>
                    <w:top w:val="single" w:color="auto" w:sz="4" w:space="0"/>
                    <w:left w:val="single" w:color="auto" w:sz="4" w:space="0"/>
                    <w:bottom w:val="single" w:color="000000" w:sz="2" w:space="0"/>
                    <w:right w:val="single" w:color="000000" w:sz="2" w:space="0"/>
                  </w:tcBorders>
                  <w:noWrap w:val="0"/>
                  <w:vAlign w:val="center"/>
                </w:tcPr>
                <w:p w14:paraId="63A45862">
                  <w:pPr>
                    <w:keepNext w:val="0"/>
                    <w:keepLines w:val="0"/>
                    <w:pageBreakBefore w:val="0"/>
                    <w:widowControl/>
                    <w:kinsoku/>
                    <w:wordWrap/>
                    <w:overflowPunct/>
                    <w:autoSpaceDE/>
                    <w:autoSpaceDN/>
                    <w:bidi w:val="0"/>
                    <w:adjustRightInd/>
                    <w:snapToGrid/>
                    <w:spacing w:line="300" w:lineRule="exact"/>
                    <w:jc w:val="left"/>
                    <w:textAlignment w:val="auto"/>
                    <w:rPr>
                      <w:rFonts w:ascii="Times New Roman" w:hAnsi="Times New Roman" w:eastAsia="仿宋"/>
                      <w:sz w:val="24"/>
                      <w:szCs w:val="24"/>
                    </w:rPr>
                  </w:pPr>
                </w:p>
              </w:tc>
              <w:tc>
                <w:tcPr>
                  <w:tcW w:w="1018" w:type="pct"/>
                  <w:tcBorders>
                    <w:top w:val="single" w:color="auto" w:sz="4" w:space="0"/>
                    <w:left w:val="single" w:color="000000" w:sz="2" w:space="0"/>
                    <w:bottom w:val="single" w:color="000000" w:sz="2" w:space="0"/>
                    <w:right w:val="single" w:color="000000" w:sz="2" w:space="0"/>
                  </w:tcBorders>
                  <w:noWrap w:val="0"/>
                  <w:vAlign w:val="center"/>
                </w:tcPr>
                <w:p w14:paraId="68E8C726">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浸泡池</w:t>
                  </w:r>
                </w:p>
              </w:tc>
              <w:tc>
                <w:tcPr>
                  <w:tcW w:w="694" w:type="pct"/>
                  <w:tcBorders>
                    <w:top w:val="single" w:color="000000" w:sz="2" w:space="0"/>
                    <w:left w:val="single" w:color="000000" w:sz="2" w:space="0"/>
                    <w:bottom w:val="single" w:color="000000" w:sz="2" w:space="0"/>
                    <w:right w:val="single" w:color="000000" w:sz="2" w:space="0"/>
                  </w:tcBorders>
                  <w:noWrap w:val="0"/>
                  <w:vAlign w:val="center"/>
                </w:tcPr>
                <w:p w14:paraId="0EF611E8">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10m</w:t>
                  </w:r>
                  <w:r>
                    <w:rPr>
                      <w:rFonts w:ascii="Times New Roman" w:hAnsi="Times New Roman" w:eastAsia="仿宋"/>
                      <w:sz w:val="24"/>
                      <w:szCs w:val="24"/>
                      <w:vertAlign w:val="superscript"/>
                    </w:rPr>
                    <w:t>2</w:t>
                  </w:r>
                </w:p>
              </w:tc>
              <w:tc>
                <w:tcPr>
                  <w:tcW w:w="730" w:type="pct"/>
                  <w:tcBorders>
                    <w:top w:val="single" w:color="000000" w:sz="2" w:space="0"/>
                    <w:left w:val="single" w:color="000000" w:sz="2" w:space="0"/>
                    <w:bottom w:val="single" w:color="000000" w:sz="2" w:space="0"/>
                    <w:right w:val="single" w:color="000000" w:sz="2" w:space="0"/>
                  </w:tcBorders>
                  <w:noWrap w:val="0"/>
                  <w:vAlign w:val="center"/>
                </w:tcPr>
                <w:p w14:paraId="44281545">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w:t>
                  </w:r>
                </w:p>
              </w:tc>
              <w:tc>
                <w:tcPr>
                  <w:tcW w:w="1604" w:type="pct"/>
                  <w:tcBorders>
                    <w:top w:val="single" w:color="000000" w:sz="2" w:space="0"/>
                    <w:left w:val="single" w:color="000000" w:sz="2" w:space="0"/>
                    <w:bottom w:val="single" w:color="000000" w:sz="2" w:space="0"/>
                    <w:right w:val="single" w:color="000000" w:sz="2" w:space="0"/>
                  </w:tcBorders>
                  <w:noWrap w:val="0"/>
                  <w:vAlign w:val="center"/>
                </w:tcPr>
                <w:p w14:paraId="14E6FACE">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用于废环氧树脂粉浸泡</w:t>
                  </w:r>
                </w:p>
              </w:tc>
            </w:tr>
            <w:tr w14:paraId="69DD9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951" w:type="pct"/>
                  <w:vMerge w:val="continue"/>
                  <w:tcBorders>
                    <w:top w:val="nil"/>
                    <w:left w:val="single" w:color="auto" w:sz="4" w:space="0"/>
                    <w:bottom w:val="single" w:color="000000" w:sz="2" w:space="0"/>
                    <w:right w:val="single" w:color="000000" w:sz="2" w:space="0"/>
                  </w:tcBorders>
                  <w:noWrap w:val="0"/>
                  <w:vAlign w:val="center"/>
                </w:tcPr>
                <w:p w14:paraId="7D7F5BAE">
                  <w:pPr>
                    <w:keepNext w:val="0"/>
                    <w:keepLines w:val="0"/>
                    <w:pageBreakBefore w:val="0"/>
                    <w:widowControl/>
                    <w:kinsoku/>
                    <w:wordWrap/>
                    <w:overflowPunct/>
                    <w:autoSpaceDE/>
                    <w:autoSpaceDN/>
                    <w:bidi w:val="0"/>
                    <w:adjustRightInd/>
                    <w:snapToGrid/>
                    <w:spacing w:line="300" w:lineRule="exact"/>
                    <w:jc w:val="left"/>
                    <w:textAlignment w:val="auto"/>
                    <w:rPr>
                      <w:rFonts w:ascii="Times New Roman" w:hAnsi="Times New Roman" w:eastAsia="仿宋"/>
                      <w:sz w:val="24"/>
                      <w:szCs w:val="24"/>
                    </w:rPr>
                  </w:pPr>
                </w:p>
              </w:tc>
              <w:tc>
                <w:tcPr>
                  <w:tcW w:w="1018" w:type="pct"/>
                  <w:tcBorders>
                    <w:top w:val="single" w:color="000000" w:sz="2" w:space="0"/>
                    <w:left w:val="single" w:color="000000" w:sz="2" w:space="0"/>
                    <w:bottom w:val="single" w:color="000000" w:sz="2" w:space="0"/>
                    <w:right w:val="single" w:color="000000" w:sz="2" w:space="0"/>
                  </w:tcBorders>
                  <w:noWrap w:val="0"/>
                  <w:vAlign w:val="center"/>
                </w:tcPr>
                <w:p w14:paraId="0197F1FC">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晾干平台</w:t>
                  </w:r>
                </w:p>
              </w:tc>
              <w:tc>
                <w:tcPr>
                  <w:tcW w:w="694" w:type="pct"/>
                  <w:tcBorders>
                    <w:top w:val="single" w:color="000000" w:sz="2" w:space="0"/>
                    <w:left w:val="single" w:color="000000" w:sz="2" w:space="0"/>
                    <w:bottom w:val="single" w:color="000000" w:sz="2" w:space="0"/>
                    <w:right w:val="single" w:color="000000" w:sz="2" w:space="0"/>
                  </w:tcBorders>
                  <w:noWrap w:val="0"/>
                  <w:vAlign w:val="center"/>
                </w:tcPr>
                <w:p w14:paraId="02667383">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3m</w:t>
                  </w:r>
                  <w:r>
                    <w:rPr>
                      <w:rFonts w:ascii="Times New Roman" w:hAnsi="Times New Roman" w:eastAsia="仿宋"/>
                      <w:sz w:val="24"/>
                      <w:szCs w:val="24"/>
                      <w:vertAlign w:val="superscript"/>
                    </w:rPr>
                    <w:t>2</w:t>
                  </w:r>
                </w:p>
              </w:tc>
              <w:tc>
                <w:tcPr>
                  <w:tcW w:w="730" w:type="pct"/>
                  <w:tcBorders>
                    <w:top w:val="single" w:color="000000" w:sz="2" w:space="0"/>
                    <w:left w:val="single" w:color="000000" w:sz="2" w:space="0"/>
                    <w:bottom w:val="single" w:color="000000" w:sz="2" w:space="0"/>
                    <w:right w:val="single" w:color="000000" w:sz="2" w:space="0"/>
                  </w:tcBorders>
                  <w:noWrap w:val="0"/>
                  <w:vAlign w:val="center"/>
                </w:tcPr>
                <w:p w14:paraId="37308711">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w:t>
                  </w:r>
                </w:p>
              </w:tc>
              <w:tc>
                <w:tcPr>
                  <w:tcW w:w="1604" w:type="pct"/>
                  <w:tcBorders>
                    <w:top w:val="single" w:color="000000" w:sz="2" w:space="0"/>
                    <w:left w:val="single" w:color="000000" w:sz="2" w:space="0"/>
                    <w:bottom w:val="single" w:color="000000" w:sz="2" w:space="0"/>
                    <w:right w:val="single" w:color="000000" w:sz="2" w:space="0"/>
                  </w:tcBorders>
                  <w:noWrap w:val="0"/>
                  <w:vAlign w:val="center"/>
                </w:tcPr>
                <w:p w14:paraId="39A551D7">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用于废环氧树脂粉晾干</w:t>
                  </w:r>
                </w:p>
              </w:tc>
            </w:tr>
          </w:tbl>
          <w:p w14:paraId="233543AC">
            <w:pPr>
              <w:spacing w:line="500" w:lineRule="exact"/>
              <w:jc w:val="left"/>
              <w:rPr>
                <w:rFonts w:hint="eastAsia" w:ascii="Times New Roman" w:hAnsi="Times New Roman" w:eastAsia="方正小标宋_GBK"/>
                <w:sz w:val="30"/>
                <w:szCs w:val="30"/>
              </w:rPr>
            </w:pPr>
          </w:p>
        </w:tc>
      </w:tr>
      <w:tr w14:paraId="49BE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3" w:hRule="atLeast"/>
          <w:jc w:val="center"/>
        </w:trPr>
        <w:tc>
          <w:tcPr>
            <w:tcW w:w="8906" w:type="dxa"/>
            <w:gridSpan w:val="2"/>
            <w:noWrap w:val="0"/>
            <w:vAlign w:val="top"/>
          </w:tcPr>
          <w:p w14:paraId="2BE50E58">
            <w:pPr>
              <w:keepNext w:val="0"/>
              <w:keepLines w:val="0"/>
              <w:pageBreakBefore w:val="0"/>
              <w:wordWrap/>
              <w:overflowPunct/>
              <w:bidi w:val="0"/>
              <w:spacing w:line="400" w:lineRule="exact"/>
              <w:rPr>
                <w:rFonts w:ascii="Times New Roman" w:hAnsi="Times New Roman" w:eastAsia="方正小标宋_GBK"/>
                <w:sz w:val="30"/>
                <w:szCs w:val="30"/>
              </w:rPr>
            </w:pPr>
            <w:r>
              <w:rPr>
                <w:rFonts w:hint="eastAsia" w:ascii="Times New Roman" w:hAnsi="Times New Roman" w:eastAsia="方正小标宋_GBK"/>
                <w:sz w:val="30"/>
                <w:szCs w:val="30"/>
              </w:rPr>
              <w:t>废物利用工艺及设备、设施</w:t>
            </w:r>
          </w:p>
          <w:p w14:paraId="4FFD71C5">
            <w:pPr>
              <w:keepNext w:val="0"/>
              <w:keepLines w:val="0"/>
              <w:pageBreakBefore w:val="0"/>
              <w:wordWrap/>
              <w:overflowPunct/>
              <w:bidi w:val="0"/>
              <w:spacing w:line="400" w:lineRule="exact"/>
              <w:ind w:firstLine="560" w:firstLineChars="200"/>
              <w:rPr>
                <w:rFonts w:ascii="Times New Roman" w:hAnsi="Times New Roman" w:eastAsia="方正小标宋_GBK"/>
                <w:sz w:val="28"/>
                <w:szCs w:val="28"/>
              </w:rPr>
            </w:pPr>
            <w:r>
              <w:rPr>
                <w:rFonts w:hint="eastAsia" w:ascii="Times New Roman" w:hAnsi="Times New Roman" w:eastAsia="方正小标宋_GBK"/>
                <w:sz w:val="28"/>
                <w:szCs w:val="28"/>
              </w:rPr>
              <w:t>1</w:t>
            </w:r>
            <w:r>
              <w:rPr>
                <w:rFonts w:hint="eastAsia" w:ascii="Times New Roman" w:hAnsi="Times New Roman" w:eastAsia="方正小标宋_GBK"/>
                <w:sz w:val="28"/>
                <w:szCs w:val="28"/>
                <w:lang w:val="en-US" w:eastAsia="zh-CN"/>
              </w:rPr>
              <w:t>.</w:t>
            </w:r>
            <w:r>
              <w:rPr>
                <w:rFonts w:hint="eastAsia" w:ascii="Times New Roman" w:hAnsi="Times New Roman" w:eastAsia="方正小标宋_GBK"/>
                <w:sz w:val="28"/>
                <w:szCs w:val="28"/>
              </w:rPr>
              <w:t>废物利用工艺</w:t>
            </w:r>
          </w:p>
          <w:p w14:paraId="1E106F51">
            <w:pPr>
              <w:keepNext w:val="0"/>
              <w:keepLines w:val="0"/>
              <w:pageBreakBefore w:val="0"/>
              <w:widowControl/>
              <w:kinsoku w:val="0"/>
              <w:wordWrap/>
              <w:overflowPunct/>
              <w:topLinePunct/>
              <w:autoSpaceDE w:val="0"/>
              <w:autoSpaceDN w:val="0"/>
              <w:bidi w:val="0"/>
              <w:adjustRightInd w:val="0"/>
              <w:snapToGrid w:val="0"/>
              <w:spacing w:line="400" w:lineRule="exact"/>
              <w:ind w:left="119" w:right="108" w:firstLine="564" w:firstLineChars="200"/>
              <w:jc w:val="left"/>
              <w:textAlignment w:val="baseline"/>
              <w:rPr>
                <w:rFonts w:ascii="Times New Roman" w:hAnsi="Times New Roman" w:eastAsia="仿宋_GB2312"/>
                <w:color w:val="000000"/>
                <w:kern w:val="0"/>
                <w:sz w:val="28"/>
                <w:szCs w:val="28"/>
              </w:rPr>
            </w:pPr>
            <w:r>
              <w:rPr>
                <w:rFonts w:ascii="Times New Roman" w:hAnsi="Times New Roman" w:eastAsia="仿宋_GB2312"/>
                <w:color w:val="000000"/>
                <w:spacing w:val="1"/>
                <w:kern w:val="0"/>
                <w:sz w:val="28"/>
                <w:szCs w:val="28"/>
              </w:rPr>
              <w:t>本项目树脂砖分为混凝土实心砖及路面砖，路面砖分为小规格和大</w:t>
            </w:r>
            <w:r>
              <w:rPr>
                <w:rFonts w:ascii="Times New Roman" w:hAnsi="Times New Roman" w:eastAsia="仿宋_GB2312"/>
                <w:color w:val="000000"/>
                <w:spacing w:val="-2"/>
                <w:kern w:val="0"/>
                <w:sz w:val="28"/>
                <w:szCs w:val="28"/>
              </w:rPr>
              <w:t>规格两种类型。</w:t>
            </w:r>
          </w:p>
          <w:p w14:paraId="4F6D7345">
            <w:pPr>
              <w:keepNext w:val="0"/>
              <w:keepLines w:val="0"/>
              <w:pageBreakBefore w:val="0"/>
              <w:widowControl/>
              <w:kinsoku w:val="0"/>
              <w:wordWrap/>
              <w:overflowPunct/>
              <w:topLinePunct/>
              <w:autoSpaceDE w:val="0"/>
              <w:autoSpaceDN w:val="0"/>
              <w:bidi w:val="0"/>
              <w:adjustRightInd w:val="0"/>
              <w:snapToGrid w:val="0"/>
              <w:spacing w:line="400" w:lineRule="exact"/>
              <w:ind w:left="115" w:right="106" w:firstLine="564" w:firstLineChars="200"/>
              <w:textAlignment w:val="baseline"/>
              <w:rPr>
                <w:rFonts w:ascii="Times New Roman" w:hAnsi="Times New Roman" w:eastAsia="仿宋_GB2312"/>
                <w:color w:val="000000"/>
                <w:spacing w:val="-2"/>
                <w:kern w:val="0"/>
                <w:sz w:val="28"/>
                <w:szCs w:val="28"/>
              </w:rPr>
            </w:pPr>
            <w:r>
              <w:rPr>
                <w:rFonts w:ascii="Times New Roman" w:hAnsi="Times New Roman" w:eastAsia="仿宋_GB2312"/>
                <w:color w:val="000000"/>
                <w:spacing w:val="1"/>
                <w:kern w:val="0"/>
                <w:sz w:val="28"/>
                <w:szCs w:val="28"/>
              </w:rPr>
              <w:t>混凝土实心砖采用混合料直接压制成型；小规格路面砖分为面层料及基层料，首先基层料通过砌块成型机预压制成型，随后再打入面层料</w:t>
            </w:r>
            <w:r>
              <w:rPr>
                <w:rFonts w:ascii="Times New Roman" w:hAnsi="Times New Roman" w:eastAsia="仿宋_GB2312"/>
                <w:color w:val="000000"/>
                <w:spacing w:val="12"/>
                <w:kern w:val="0"/>
                <w:sz w:val="28"/>
                <w:szCs w:val="28"/>
              </w:rPr>
              <w:t xml:space="preserve"> </w:t>
            </w:r>
            <w:r>
              <w:rPr>
                <w:rFonts w:ascii="Times New Roman" w:hAnsi="Times New Roman" w:eastAsia="仿宋_GB2312"/>
                <w:color w:val="000000"/>
                <w:spacing w:val="1"/>
                <w:kern w:val="0"/>
                <w:sz w:val="28"/>
                <w:szCs w:val="28"/>
              </w:rPr>
              <w:t>进行压制成型；大规格路面砖采用混合料搅拌后通过预制成型机进行震</w:t>
            </w:r>
            <w:r>
              <w:rPr>
                <w:rFonts w:ascii="Times New Roman" w:hAnsi="Times New Roman" w:eastAsia="仿宋_GB2312"/>
                <w:color w:val="000000"/>
                <w:spacing w:val="-2"/>
                <w:kern w:val="0"/>
                <w:sz w:val="28"/>
                <w:szCs w:val="28"/>
              </w:rPr>
              <w:t>动预制成型。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5"/>
            </w:tblGrid>
            <w:tr w14:paraId="0303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5" w:type="dxa"/>
                  <w:noWrap w:val="0"/>
                  <w:vAlign w:val="top"/>
                </w:tcPr>
                <w:p w14:paraId="56AFA53B">
                  <w:pPr>
                    <w:widowControl/>
                    <w:kinsoku w:val="0"/>
                    <w:topLinePunct/>
                    <w:autoSpaceDE w:val="0"/>
                    <w:autoSpaceDN w:val="0"/>
                    <w:adjustRightInd w:val="0"/>
                    <w:snapToGrid w:val="0"/>
                    <w:spacing w:before="40" w:line="309" w:lineRule="auto"/>
                    <w:ind w:right="106"/>
                    <w:jc w:val="center"/>
                    <w:textAlignment w:val="baseline"/>
                    <w:rPr>
                      <w:rFonts w:ascii="Times New Roman" w:hAnsi="Times New Roman" w:eastAsia="仿宋_GB2312"/>
                      <w:color w:val="000000"/>
                      <w:kern w:val="0"/>
                      <w:sz w:val="28"/>
                      <w:szCs w:val="28"/>
                    </w:rPr>
                  </w:pPr>
                  <w:r>
                    <w:rPr>
                      <w:rFonts w:ascii="Times New Roman" w:hAnsi="Times New Roman" w:eastAsia="宋体" w:cs="宋体"/>
                      <w:color w:val="000000"/>
                      <w:kern w:val="0"/>
                      <w:sz w:val="24"/>
                      <w:szCs w:val="24"/>
                    </w:rPr>
                    <w:drawing>
                      <wp:inline distT="0" distB="0" distL="114300" distR="114300">
                        <wp:extent cx="3165475" cy="385254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3165475" cy="3852545"/>
                                </a:xfrm>
                                <a:prstGeom prst="rect">
                                  <a:avLst/>
                                </a:prstGeom>
                                <a:noFill/>
                                <a:ln>
                                  <a:noFill/>
                                </a:ln>
                              </pic:spPr>
                            </pic:pic>
                          </a:graphicData>
                        </a:graphic>
                      </wp:inline>
                    </w:drawing>
                  </w:r>
                </w:p>
              </w:tc>
            </w:tr>
          </w:tbl>
          <w:p w14:paraId="70CC76CC">
            <w:pPr>
              <w:jc w:val="center"/>
              <w:rPr>
                <w:rFonts w:ascii="Times New Roman" w:hAnsi="Times New Roman" w:eastAsia="仿宋"/>
                <w:sz w:val="28"/>
                <w:szCs w:val="28"/>
              </w:rPr>
            </w:pPr>
            <w:r>
              <w:rPr>
                <w:rFonts w:ascii="Times New Roman" w:hAnsi="Times New Roman" w:eastAsia="仿宋_GB2312"/>
                <w:b/>
                <w:bCs/>
                <w:spacing w:val="-4"/>
                <w:sz w:val="28"/>
                <w:szCs w:val="28"/>
              </w:rPr>
              <w:t>图</w:t>
            </w:r>
            <w:r>
              <w:rPr>
                <w:rFonts w:hint="eastAsia" w:ascii="Times New Roman" w:hAnsi="Times New Roman" w:eastAsia="仿宋_GB2312"/>
                <w:b/>
                <w:bCs/>
                <w:spacing w:val="-4"/>
                <w:sz w:val="28"/>
                <w:szCs w:val="28"/>
              </w:rPr>
              <w:t>2</w:t>
            </w:r>
            <w:r>
              <w:rPr>
                <w:rFonts w:ascii="Times New Roman" w:hAnsi="Times New Roman" w:eastAsia="仿宋_GB2312"/>
                <w:b/>
                <w:bCs/>
                <w:spacing w:val="-4"/>
                <w:sz w:val="28"/>
                <w:szCs w:val="28"/>
              </w:rPr>
              <w:t xml:space="preserve"> </w:t>
            </w:r>
            <w:r>
              <w:rPr>
                <w:rFonts w:hint="eastAsia" w:ascii="Times New Roman" w:hAnsi="Times New Roman" w:eastAsia="仿宋_GB2312"/>
                <w:b/>
                <w:bCs/>
                <w:spacing w:val="-4"/>
                <w:sz w:val="28"/>
                <w:szCs w:val="28"/>
                <w:lang w:val="en-US" w:eastAsia="zh-CN"/>
              </w:rPr>
              <w:t xml:space="preserve"> </w:t>
            </w:r>
            <w:r>
              <w:rPr>
                <w:rFonts w:ascii="Times New Roman" w:hAnsi="Times New Roman" w:eastAsia="仿宋_GB2312"/>
                <w:b/>
                <w:bCs/>
                <w:spacing w:val="-4"/>
                <w:sz w:val="28"/>
                <w:szCs w:val="28"/>
              </w:rPr>
              <w:t>混凝土实心砖生产工艺流程图</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0"/>
            </w:tblGrid>
            <w:tr w14:paraId="30BF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noWrap w:val="0"/>
                  <w:vAlign w:val="center"/>
                </w:tcPr>
                <w:p w14:paraId="1AC169E9">
                  <w:pPr>
                    <w:widowControl/>
                    <w:kinsoku w:val="0"/>
                    <w:topLinePunct/>
                    <w:autoSpaceDE w:val="0"/>
                    <w:autoSpaceDN w:val="0"/>
                    <w:adjustRightInd w:val="0"/>
                    <w:snapToGrid w:val="0"/>
                    <w:spacing w:before="93" w:line="240" w:lineRule="auto"/>
                    <w:jc w:val="center"/>
                    <w:textAlignment w:val="baseline"/>
                    <w:rPr>
                      <w:rFonts w:ascii="Times New Roman" w:hAnsi="Times New Roman" w:eastAsia="仿宋_GB2312"/>
                      <w:szCs w:val="32"/>
                    </w:rPr>
                  </w:pPr>
                  <w:r>
                    <w:rPr>
                      <w:rFonts w:ascii="Times New Roman" w:hAnsi="Times New Roman" w:cs="Calibri"/>
                      <w:szCs w:val="32"/>
                    </w:rPr>
                    <w:drawing>
                      <wp:inline distT="0" distB="0" distL="114300" distR="114300">
                        <wp:extent cx="4530090" cy="37242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530090" cy="3724275"/>
                                </a:xfrm>
                                <a:prstGeom prst="rect">
                                  <a:avLst/>
                                </a:prstGeom>
                                <a:noFill/>
                                <a:ln>
                                  <a:noFill/>
                                </a:ln>
                              </pic:spPr>
                            </pic:pic>
                          </a:graphicData>
                        </a:graphic>
                      </wp:inline>
                    </w:drawing>
                  </w:r>
                </w:p>
              </w:tc>
            </w:tr>
          </w:tbl>
          <w:p w14:paraId="1F6B0C6B">
            <w:pPr>
              <w:widowControl/>
              <w:kinsoku w:val="0"/>
              <w:topLinePunct/>
              <w:autoSpaceDE w:val="0"/>
              <w:autoSpaceDN w:val="0"/>
              <w:adjustRightInd w:val="0"/>
              <w:snapToGrid w:val="0"/>
              <w:spacing w:before="93" w:line="240" w:lineRule="auto"/>
              <w:ind w:left="2720"/>
              <w:jc w:val="left"/>
              <w:textAlignment w:val="baseline"/>
              <w:rPr>
                <w:rFonts w:ascii="Times New Roman" w:hAnsi="Times New Roman" w:eastAsia="仿宋_GB2312"/>
                <w:b/>
                <w:bCs/>
                <w:color w:val="000000"/>
                <w:spacing w:val="-4"/>
                <w:kern w:val="0"/>
                <w:sz w:val="28"/>
                <w:szCs w:val="28"/>
              </w:rPr>
            </w:pPr>
            <w:r>
              <w:rPr>
                <w:rFonts w:ascii="Times New Roman" w:hAnsi="Times New Roman" w:eastAsia="仿宋_GB2312"/>
                <w:b/>
                <w:bCs/>
                <w:color w:val="000000"/>
                <w:spacing w:val="-4"/>
                <w:kern w:val="0"/>
                <w:sz w:val="28"/>
                <w:szCs w:val="28"/>
              </w:rPr>
              <w:t>图</w:t>
            </w:r>
            <w:r>
              <w:rPr>
                <w:rFonts w:hint="eastAsia" w:ascii="Times New Roman" w:hAnsi="Times New Roman" w:eastAsia="仿宋_GB2312"/>
                <w:b/>
                <w:bCs/>
                <w:color w:val="000000"/>
                <w:spacing w:val="-4"/>
                <w:kern w:val="0"/>
                <w:sz w:val="28"/>
                <w:szCs w:val="28"/>
              </w:rPr>
              <w:t>3</w:t>
            </w:r>
            <w:r>
              <w:rPr>
                <w:rFonts w:ascii="Times New Roman" w:hAnsi="Times New Roman" w:eastAsia="仿宋_GB2312"/>
                <w:b/>
                <w:bCs/>
                <w:color w:val="000000"/>
                <w:spacing w:val="-4"/>
                <w:kern w:val="0"/>
                <w:sz w:val="28"/>
                <w:szCs w:val="28"/>
              </w:rPr>
              <w:t xml:space="preserve"> </w:t>
            </w:r>
            <w:r>
              <w:rPr>
                <w:rFonts w:hint="eastAsia" w:ascii="Times New Roman" w:hAnsi="Times New Roman" w:eastAsia="仿宋_GB2312"/>
                <w:b/>
                <w:bCs/>
                <w:color w:val="000000"/>
                <w:spacing w:val="-4"/>
                <w:kern w:val="0"/>
                <w:sz w:val="28"/>
                <w:szCs w:val="28"/>
                <w:lang w:val="en-US" w:eastAsia="zh-CN"/>
              </w:rPr>
              <w:t xml:space="preserve"> </w:t>
            </w:r>
            <w:r>
              <w:rPr>
                <w:rFonts w:ascii="Times New Roman" w:hAnsi="Times New Roman" w:eastAsia="仿宋_GB2312"/>
                <w:b/>
                <w:bCs/>
                <w:color w:val="000000"/>
                <w:spacing w:val="-4"/>
                <w:kern w:val="0"/>
                <w:sz w:val="28"/>
                <w:szCs w:val="28"/>
              </w:rPr>
              <w:t>路面砖生产工艺流程图</w:t>
            </w:r>
          </w:p>
          <w:p w14:paraId="66012973">
            <w:pPr>
              <w:keepNext w:val="0"/>
              <w:keepLines w:val="0"/>
              <w:pageBreakBefore w:val="0"/>
              <w:widowControl/>
              <w:kinsoku w:val="0"/>
              <w:wordWrap/>
              <w:overflowPunct/>
              <w:topLinePunct/>
              <w:autoSpaceDE w:val="0"/>
              <w:autoSpaceDN w:val="0"/>
              <w:bidi w:val="0"/>
              <w:adjustRightInd w:val="0"/>
              <w:snapToGrid w:val="0"/>
              <w:spacing w:line="400" w:lineRule="exact"/>
              <w:ind w:firstLine="546" w:firstLineChars="200"/>
              <w:jc w:val="both"/>
              <w:textAlignment w:val="baseline"/>
              <w:rPr>
                <w:rFonts w:ascii="Times New Roman" w:hAnsi="Times New Roman" w:eastAsia="仿宋_GB2312"/>
                <w:color w:val="000000"/>
                <w:kern w:val="0"/>
                <w:sz w:val="28"/>
                <w:szCs w:val="28"/>
              </w:rPr>
            </w:pPr>
            <w:r>
              <w:rPr>
                <w:rFonts w:ascii="Times New Roman" w:hAnsi="Times New Roman" w:eastAsia="仿宋_GB2312"/>
                <w:b/>
                <w:bCs/>
                <w:color w:val="000000"/>
                <w:spacing w:val="-4"/>
                <w:kern w:val="0"/>
                <w:sz w:val="28"/>
                <w:szCs w:val="28"/>
              </w:rPr>
              <w:t>生产工艺流程说明：</w:t>
            </w:r>
          </w:p>
          <w:p w14:paraId="04E5A413">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4" w:firstLineChars="200"/>
              <w:jc w:val="both"/>
              <w:textAlignment w:val="baseline"/>
              <w:rPr>
                <w:rFonts w:ascii="Times New Roman" w:hAnsi="Times New Roman" w:eastAsia="仿宋_GB2312"/>
                <w:color w:val="000000"/>
                <w:kern w:val="0"/>
                <w:sz w:val="28"/>
                <w:szCs w:val="28"/>
              </w:rPr>
            </w:pPr>
            <w:r>
              <w:rPr>
                <w:rFonts w:ascii="Times New Roman" w:hAnsi="Times New Roman" w:eastAsia="仿宋_GB2312"/>
                <w:color w:val="000000"/>
                <w:spacing w:val="1"/>
                <w:kern w:val="0"/>
                <w:sz w:val="28"/>
                <w:szCs w:val="28"/>
              </w:rPr>
              <w:t>本项目路面砖的面层料配制系统单独设置，其余生产设施混凝土实心砖与路面砖均共用，两种类型砖生产工艺大体相同，故此处不分开进</w:t>
            </w:r>
            <w:r>
              <w:rPr>
                <w:rFonts w:ascii="Times New Roman" w:hAnsi="Times New Roman" w:eastAsia="仿宋_GB2312"/>
                <w:color w:val="000000"/>
                <w:spacing w:val="-4"/>
                <w:kern w:val="0"/>
                <w:sz w:val="28"/>
                <w:szCs w:val="28"/>
              </w:rPr>
              <w:t>行叙述。</w:t>
            </w:r>
          </w:p>
          <w:p w14:paraId="23B15C6B">
            <w:pPr>
              <w:keepNext w:val="0"/>
              <w:keepLines w:val="0"/>
              <w:pageBreakBefore w:val="0"/>
              <w:widowControl/>
              <w:kinsoku w:val="0"/>
              <w:wordWrap/>
              <w:overflowPunct/>
              <w:topLinePunct/>
              <w:autoSpaceDE w:val="0"/>
              <w:autoSpaceDN w:val="0"/>
              <w:bidi w:val="0"/>
              <w:adjustRightInd w:val="0"/>
              <w:snapToGrid w:val="0"/>
              <w:spacing w:line="400" w:lineRule="exact"/>
              <w:ind w:firstLine="552" w:firstLineChars="200"/>
              <w:jc w:val="both"/>
              <w:textAlignment w:val="baseline"/>
              <w:rPr>
                <w:rFonts w:ascii="Times New Roman" w:hAnsi="Times New Roman" w:eastAsia="仿宋_GB2312"/>
                <w:color w:val="000000"/>
                <w:kern w:val="0"/>
                <w:sz w:val="28"/>
                <w:szCs w:val="28"/>
              </w:rPr>
            </w:pPr>
            <w:r>
              <w:rPr>
                <w:rFonts w:ascii="Times New Roman" w:hAnsi="Times New Roman" w:eastAsia="仿宋_GB2312"/>
                <w:color w:val="000000"/>
                <w:spacing w:val="-2"/>
                <w:kern w:val="0"/>
                <w:sz w:val="28"/>
                <w:szCs w:val="28"/>
              </w:rPr>
              <w:t>（</w:t>
            </w:r>
            <w:r>
              <w:rPr>
                <w:rFonts w:hint="eastAsia" w:ascii="Times New Roman" w:hAnsi="Times New Roman" w:eastAsia="仿宋_GB2312"/>
                <w:color w:val="000000"/>
                <w:spacing w:val="-2"/>
                <w:kern w:val="0"/>
                <w:sz w:val="28"/>
                <w:szCs w:val="28"/>
              </w:rPr>
              <w:t>1</w:t>
            </w:r>
            <w:r>
              <w:rPr>
                <w:rFonts w:ascii="Times New Roman" w:hAnsi="Times New Roman" w:eastAsia="仿宋_GB2312"/>
                <w:color w:val="000000"/>
                <w:spacing w:val="-2"/>
                <w:kern w:val="0"/>
                <w:sz w:val="28"/>
                <w:szCs w:val="28"/>
              </w:rPr>
              <w:t>）</w:t>
            </w:r>
            <w:r>
              <w:rPr>
                <w:rFonts w:hint="eastAsia" w:ascii="Times New Roman" w:hAnsi="Times New Roman" w:eastAsia="仿宋_GB2312"/>
                <w:color w:val="000000"/>
                <w:spacing w:val="-2"/>
                <w:kern w:val="0"/>
                <w:sz w:val="28"/>
                <w:szCs w:val="28"/>
              </w:rPr>
              <w:t>废环氧树脂粉、</w:t>
            </w:r>
            <w:r>
              <w:rPr>
                <w:rFonts w:ascii="Times New Roman" w:hAnsi="Times New Roman" w:eastAsia="仿宋_GB2312"/>
                <w:color w:val="000000"/>
                <w:spacing w:val="-2"/>
                <w:kern w:val="0"/>
                <w:sz w:val="28"/>
                <w:szCs w:val="28"/>
              </w:rPr>
              <w:t>石子、河砂、颜料进料</w:t>
            </w:r>
          </w:p>
          <w:p w14:paraId="485E9131">
            <w:pPr>
              <w:keepNext w:val="0"/>
              <w:keepLines w:val="0"/>
              <w:pageBreakBefore w:val="0"/>
              <w:widowControl/>
              <w:kinsoku w:val="0"/>
              <w:wordWrap/>
              <w:overflowPunct/>
              <w:topLinePunct/>
              <w:autoSpaceDE w:val="0"/>
              <w:autoSpaceDN w:val="0"/>
              <w:bidi w:val="0"/>
              <w:adjustRightInd w:val="0"/>
              <w:snapToGrid w:val="0"/>
              <w:spacing w:line="400" w:lineRule="exact"/>
              <w:ind w:right="8" w:firstLine="564" w:firstLineChars="200"/>
              <w:jc w:val="both"/>
              <w:textAlignment w:val="baseline"/>
              <w:rPr>
                <w:rFonts w:ascii="Times New Roman" w:hAnsi="Times New Roman" w:eastAsia="仿宋_GB2312"/>
                <w:color w:val="000000"/>
                <w:kern w:val="0"/>
                <w:sz w:val="28"/>
                <w:szCs w:val="28"/>
              </w:rPr>
            </w:pPr>
            <w:r>
              <w:rPr>
                <w:rFonts w:hint="eastAsia" w:ascii="Times New Roman" w:hAnsi="Times New Roman" w:eastAsia="仿宋_GB2312"/>
                <w:color w:val="000000"/>
                <w:spacing w:val="1"/>
                <w:kern w:val="0"/>
                <w:sz w:val="28"/>
                <w:szCs w:val="28"/>
              </w:rPr>
              <w:t>废环氧树脂粉经人工拆包后由输送机送入混料机中，</w:t>
            </w:r>
            <w:r>
              <w:rPr>
                <w:rFonts w:ascii="Times New Roman" w:hAnsi="Times New Roman" w:eastAsia="仿宋_GB2312"/>
                <w:color w:val="000000"/>
                <w:spacing w:val="1"/>
                <w:kern w:val="0"/>
                <w:sz w:val="28"/>
                <w:szCs w:val="28"/>
              </w:rPr>
              <w:t>石子、河砂及颜料由人工或抓铲机倒入各自的进料斗中，随后通过</w:t>
            </w:r>
            <w:r>
              <w:rPr>
                <w:rFonts w:ascii="Times New Roman" w:hAnsi="Times New Roman" w:eastAsia="仿宋_GB2312"/>
                <w:color w:val="000000"/>
                <w:spacing w:val="-2"/>
                <w:kern w:val="0"/>
                <w:sz w:val="28"/>
                <w:szCs w:val="28"/>
              </w:rPr>
              <w:t>螺旋输送机送入混合搅拌罐。本项目所用石子为</w:t>
            </w:r>
            <w:r>
              <w:rPr>
                <w:rFonts w:ascii="Times New Roman" w:hAnsi="Times New Roman" w:eastAsia="仿宋_GB2312"/>
                <w:color w:val="000000"/>
                <w:spacing w:val="-52"/>
                <w:kern w:val="0"/>
                <w:sz w:val="28"/>
                <w:szCs w:val="28"/>
              </w:rPr>
              <w:t xml:space="preserve"> </w:t>
            </w:r>
            <w:r>
              <w:rPr>
                <w:rFonts w:ascii="Times New Roman" w:hAnsi="Times New Roman" w:eastAsia="仿宋_GB2312"/>
                <w:color w:val="000000"/>
                <w:spacing w:val="-2"/>
                <w:kern w:val="0"/>
                <w:sz w:val="28"/>
                <w:szCs w:val="28"/>
              </w:rPr>
              <w:t>5～10mm瓜子片，砂石</w:t>
            </w:r>
            <w:r>
              <w:rPr>
                <w:rFonts w:ascii="Times New Roman" w:hAnsi="Times New Roman" w:eastAsia="仿宋_GB2312"/>
                <w:color w:val="000000"/>
                <w:spacing w:val="-6"/>
                <w:kern w:val="0"/>
                <w:sz w:val="28"/>
                <w:szCs w:val="28"/>
              </w:rPr>
              <w:t>暂存过程中为了抑尘，设置了喷淋装置，控制河砂的含水率在15%左</w:t>
            </w:r>
            <w:r>
              <w:rPr>
                <w:rFonts w:ascii="Times New Roman" w:hAnsi="Times New Roman" w:eastAsia="仿宋_GB2312"/>
                <w:color w:val="000000"/>
                <w:spacing w:val="-7"/>
                <w:kern w:val="0"/>
                <w:sz w:val="28"/>
                <w:szCs w:val="28"/>
              </w:rPr>
              <w:t>右。</w:t>
            </w:r>
            <w:r>
              <w:rPr>
                <w:rFonts w:ascii="Times New Roman" w:hAnsi="Times New Roman" w:eastAsia="仿宋_GB2312"/>
                <w:color w:val="000000"/>
                <w:spacing w:val="-1"/>
                <w:kern w:val="0"/>
                <w:sz w:val="28"/>
                <w:szCs w:val="28"/>
              </w:rPr>
              <w:t>因此，石子及河砂在投料过程中基本无粉尘产生。</w:t>
            </w:r>
          </w:p>
          <w:p w14:paraId="5226067A">
            <w:pPr>
              <w:keepNext w:val="0"/>
              <w:keepLines w:val="0"/>
              <w:pageBreakBefore w:val="0"/>
              <w:widowControl/>
              <w:kinsoku w:val="0"/>
              <w:wordWrap/>
              <w:overflowPunct/>
              <w:topLinePunct/>
              <w:autoSpaceDE w:val="0"/>
              <w:autoSpaceDN w:val="0"/>
              <w:bidi w:val="0"/>
              <w:adjustRightInd w:val="0"/>
              <w:snapToGrid w:val="0"/>
              <w:spacing w:line="400" w:lineRule="exact"/>
              <w:ind w:firstLine="548" w:firstLineChars="200"/>
              <w:jc w:val="both"/>
              <w:textAlignment w:val="baseline"/>
              <w:rPr>
                <w:rFonts w:ascii="Times New Roman" w:hAnsi="Times New Roman" w:eastAsia="仿宋_GB2312"/>
                <w:color w:val="000000"/>
                <w:kern w:val="0"/>
                <w:sz w:val="28"/>
                <w:szCs w:val="28"/>
              </w:rPr>
            </w:pPr>
            <w:r>
              <w:rPr>
                <w:rFonts w:ascii="Times New Roman" w:hAnsi="Times New Roman" w:eastAsia="仿宋_GB2312"/>
                <w:color w:val="000000"/>
                <w:spacing w:val="-3"/>
                <w:kern w:val="0"/>
                <w:sz w:val="28"/>
                <w:szCs w:val="28"/>
              </w:rPr>
              <w:t>（</w:t>
            </w:r>
            <w:r>
              <w:rPr>
                <w:rFonts w:hint="eastAsia" w:ascii="Times New Roman" w:hAnsi="Times New Roman" w:eastAsia="仿宋_GB2312"/>
                <w:color w:val="000000"/>
                <w:spacing w:val="-3"/>
                <w:kern w:val="0"/>
                <w:sz w:val="28"/>
                <w:szCs w:val="28"/>
              </w:rPr>
              <w:t>2</w:t>
            </w:r>
            <w:r>
              <w:rPr>
                <w:rFonts w:ascii="Times New Roman" w:hAnsi="Times New Roman" w:eastAsia="仿宋_GB2312"/>
                <w:color w:val="000000"/>
                <w:spacing w:val="-3"/>
                <w:kern w:val="0"/>
                <w:sz w:val="28"/>
                <w:szCs w:val="28"/>
              </w:rPr>
              <w:t>）搅拌混合</w:t>
            </w:r>
          </w:p>
          <w:p w14:paraId="191DD074">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4" w:firstLineChars="200"/>
              <w:jc w:val="both"/>
              <w:textAlignment w:val="baseline"/>
              <w:rPr>
                <w:rFonts w:ascii="Times New Roman" w:hAnsi="Times New Roman" w:eastAsia="仿宋_GB2312"/>
                <w:color w:val="000000"/>
                <w:kern w:val="0"/>
                <w:sz w:val="28"/>
                <w:szCs w:val="28"/>
              </w:rPr>
            </w:pPr>
            <w:r>
              <w:rPr>
                <w:rFonts w:ascii="Times New Roman" w:hAnsi="Times New Roman" w:eastAsia="仿宋_GB2312"/>
                <w:color w:val="000000"/>
                <w:spacing w:val="1"/>
                <w:kern w:val="0"/>
                <w:sz w:val="28"/>
                <w:szCs w:val="28"/>
              </w:rPr>
              <w:t>水泥、废环氧树脂粉、河砂、石子、颜料以及水按一定比例进入混合搅拌罐后，开启搅拌机，使其均匀混合。混凝土实心砖与路面砖的基</w:t>
            </w:r>
            <w:r>
              <w:rPr>
                <w:rFonts w:ascii="Times New Roman" w:hAnsi="Times New Roman" w:eastAsia="仿宋_GB2312"/>
                <w:color w:val="000000"/>
                <w:spacing w:val="-2"/>
                <w:kern w:val="0"/>
                <w:sz w:val="28"/>
                <w:szCs w:val="28"/>
              </w:rPr>
              <w:t>层料共用1套搅拌系统，路面砖的面层料单独设置搅拌系统。</w:t>
            </w:r>
          </w:p>
          <w:p w14:paraId="1DFD570D">
            <w:pPr>
              <w:keepNext w:val="0"/>
              <w:keepLines w:val="0"/>
              <w:pageBreakBefore w:val="0"/>
              <w:widowControl/>
              <w:kinsoku w:val="0"/>
              <w:wordWrap/>
              <w:overflowPunct/>
              <w:topLinePunct/>
              <w:autoSpaceDE w:val="0"/>
              <w:autoSpaceDN w:val="0"/>
              <w:bidi w:val="0"/>
              <w:adjustRightInd w:val="0"/>
              <w:snapToGrid w:val="0"/>
              <w:spacing w:line="400" w:lineRule="exact"/>
              <w:ind w:firstLine="548" w:firstLineChars="200"/>
              <w:jc w:val="both"/>
              <w:textAlignment w:val="baseline"/>
              <w:rPr>
                <w:rFonts w:ascii="Times New Roman" w:hAnsi="Times New Roman" w:eastAsia="仿宋_GB2312"/>
                <w:color w:val="000000"/>
                <w:kern w:val="0"/>
                <w:sz w:val="28"/>
                <w:szCs w:val="28"/>
              </w:rPr>
            </w:pPr>
            <w:r>
              <w:rPr>
                <w:rFonts w:ascii="Times New Roman" w:hAnsi="Times New Roman" w:eastAsia="仿宋_GB2312"/>
                <w:color w:val="000000"/>
                <w:spacing w:val="-3"/>
                <w:kern w:val="0"/>
                <w:sz w:val="28"/>
                <w:szCs w:val="28"/>
              </w:rPr>
              <w:t>（</w:t>
            </w:r>
            <w:r>
              <w:rPr>
                <w:rFonts w:hint="eastAsia" w:ascii="Times New Roman" w:hAnsi="Times New Roman" w:eastAsia="仿宋_GB2312"/>
                <w:color w:val="000000"/>
                <w:spacing w:val="-3"/>
                <w:kern w:val="0"/>
                <w:sz w:val="28"/>
                <w:szCs w:val="28"/>
              </w:rPr>
              <w:t>3</w:t>
            </w:r>
            <w:r>
              <w:rPr>
                <w:rFonts w:ascii="Times New Roman" w:hAnsi="Times New Roman" w:eastAsia="仿宋_GB2312"/>
                <w:color w:val="000000"/>
                <w:spacing w:val="-3"/>
                <w:kern w:val="0"/>
                <w:sz w:val="28"/>
                <w:szCs w:val="28"/>
              </w:rPr>
              <w:t>）压制成型</w:t>
            </w:r>
          </w:p>
          <w:p w14:paraId="130FED71">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4" w:firstLineChars="200"/>
              <w:jc w:val="both"/>
              <w:textAlignment w:val="baseline"/>
              <w:rPr>
                <w:rFonts w:ascii="Times New Roman" w:hAnsi="Times New Roman" w:eastAsia="仿宋_GB2312"/>
                <w:color w:val="000000"/>
                <w:kern w:val="0"/>
                <w:sz w:val="28"/>
                <w:szCs w:val="28"/>
              </w:rPr>
            </w:pPr>
            <w:r>
              <w:rPr>
                <w:rFonts w:ascii="Times New Roman" w:hAnsi="Times New Roman" w:eastAsia="仿宋_GB2312"/>
                <w:color w:val="000000"/>
                <w:spacing w:val="1"/>
                <w:kern w:val="0"/>
                <w:sz w:val="28"/>
                <w:szCs w:val="28"/>
              </w:rPr>
              <w:t>搅拌好的原料进入砌块成型机内进行压制成型。其中混凝土实心砖采用混合料直接压制成型（一次成型</w:t>
            </w:r>
            <w:r>
              <w:rPr>
                <w:rFonts w:ascii="Times New Roman" w:hAnsi="Times New Roman" w:eastAsia="仿宋_GB2312"/>
                <w:color w:val="000000"/>
                <w:spacing w:val="8"/>
                <w:kern w:val="0"/>
                <w:sz w:val="28"/>
                <w:szCs w:val="28"/>
              </w:rPr>
              <w:t>）；</w:t>
            </w:r>
            <w:r>
              <w:rPr>
                <w:rFonts w:ascii="Times New Roman" w:hAnsi="Times New Roman" w:eastAsia="仿宋_GB2312"/>
                <w:color w:val="000000"/>
                <w:spacing w:val="1"/>
                <w:kern w:val="0"/>
                <w:sz w:val="28"/>
                <w:szCs w:val="28"/>
              </w:rPr>
              <w:t>路面砖分为面层料及</w:t>
            </w:r>
            <w:r>
              <w:rPr>
                <w:rFonts w:ascii="Times New Roman" w:hAnsi="Times New Roman" w:eastAsia="仿宋_GB2312"/>
                <w:color w:val="000000"/>
                <w:kern w:val="0"/>
                <w:sz w:val="28"/>
                <w:szCs w:val="28"/>
              </w:rPr>
              <w:t>基层料，</w:t>
            </w:r>
            <w:r>
              <w:rPr>
                <w:rFonts w:ascii="Times New Roman" w:hAnsi="Times New Roman" w:eastAsia="仿宋_GB2312"/>
                <w:color w:val="000000"/>
                <w:spacing w:val="1"/>
                <w:kern w:val="0"/>
                <w:sz w:val="28"/>
                <w:szCs w:val="28"/>
              </w:rPr>
              <w:t>首先基层料通过砌块成型机预压制成型，随后再打入面层料进行压制成</w:t>
            </w:r>
            <w:r>
              <w:rPr>
                <w:rFonts w:ascii="Times New Roman" w:hAnsi="Times New Roman" w:eastAsia="仿宋_GB2312"/>
                <w:color w:val="000000"/>
                <w:spacing w:val="-2"/>
                <w:kern w:val="0"/>
                <w:sz w:val="28"/>
                <w:szCs w:val="28"/>
              </w:rPr>
              <w:t>型（二次成型）。</w:t>
            </w:r>
          </w:p>
          <w:p w14:paraId="13245391">
            <w:pPr>
              <w:keepNext w:val="0"/>
              <w:keepLines w:val="0"/>
              <w:pageBreakBefore w:val="0"/>
              <w:widowControl/>
              <w:kinsoku w:val="0"/>
              <w:wordWrap/>
              <w:overflowPunct/>
              <w:topLinePunct/>
              <w:autoSpaceDE w:val="0"/>
              <w:autoSpaceDN w:val="0"/>
              <w:bidi w:val="0"/>
              <w:adjustRightInd w:val="0"/>
              <w:snapToGrid w:val="0"/>
              <w:spacing w:line="400" w:lineRule="exact"/>
              <w:ind w:firstLine="544" w:firstLineChars="200"/>
              <w:jc w:val="both"/>
              <w:textAlignment w:val="baseline"/>
              <w:rPr>
                <w:rFonts w:ascii="Times New Roman" w:hAnsi="Times New Roman" w:eastAsia="仿宋_GB2312"/>
                <w:color w:val="000000"/>
                <w:kern w:val="0"/>
                <w:sz w:val="28"/>
                <w:szCs w:val="28"/>
              </w:rPr>
            </w:pPr>
            <w:r>
              <w:rPr>
                <w:rFonts w:ascii="Times New Roman" w:hAnsi="Times New Roman" w:eastAsia="仿宋_GB2312"/>
                <w:color w:val="000000"/>
                <w:spacing w:val="-4"/>
                <w:kern w:val="0"/>
                <w:sz w:val="28"/>
                <w:szCs w:val="28"/>
              </w:rPr>
              <w:t>（</w:t>
            </w:r>
            <w:r>
              <w:rPr>
                <w:rFonts w:hint="eastAsia" w:ascii="Times New Roman" w:hAnsi="Times New Roman" w:eastAsia="仿宋_GB2312"/>
                <w:color w:val="000000"/>
                <w:spacing w:val="-4"/>
                <w:kern w:val="0"/>
                <w:sz w:val="28"/>
                <w:szCs w:val="28"/>
              </w:rPr>
              <w:t>4</w:t>
            </w:r>
            <w:r>
              <w:rPr>
                <w:rFonts w:ascii="Times New Roman" w:hAnsi="Times New Roman" w:eastAsia="仿宋_GB2312"/>
                <w:color w:val="000000"/>
                <w:spacing w:val="-4"/>
                <w:kern w:val="0"/>
                <w:sz w:val="28"/>
                <w:szCs w:val="28"/>
              </w:rPr>
              <w:t>）养护</w:t>
            </w:r>
          </w:p>
          <w:p w14:paraId="49D04886">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4" w:firstLineChars="200"/>
              <w:jc w:val="both"/>
              <w:textAlignment w:val="baseline"/>
              <w:rPr>
                <w:rFonts w:ascii="Times New Roman" w:hAnsi="Times New Roman" w:eastAsia="仿宋_GB2312"/>
                <w:color w:val="000000"/>
                <w:spacing w:val="1"/>
                <w:kern w:val="0"/>
                <w:sz w:val="28"/>
                <w:szCs w:val="28"/>
              </w:rPr>
            </w:pPr>
            <w:r>
              <w:rPr>
                <w:rFonts w:ascii="Times New Roman" w:hAnsi="Times New Roman" w:eastAsia="仿宋_GB2312"/>
                <w:color w:val="000000"/>
                <w:spacing w:val="1"/>
                <w:kern w:val="0"/>
                <w:sz w:val="28"/>
                <w:szCs w:val="28"/>
              </w:rPr>
              <w:t>成型好的砖块在车间内进行常温洒水养护，养护时间为4～7d左右。养护过程中产生的少量废水经截留沟收集后，再经沉淀处理后，全部回 用于制砖配料，不外排。</w:t>
            </w:r>
          </w:p>
          <w:p w14:paraId="7CEDB7AC">
            <w:pPr>
              <w:keepNext w:val="0"/>
              <w:keepLines w:val="0"/>
              <w:pageBreakBefore w:val="0"/>
              <w:widowControl/>
              <w:kinsoku w:val="0"/>
              <w:wordWrap/>
              <w:overflowPunct/>
              <w:topLinePunct/>
              <w:autoSpaceDE w:val="0"/>
              <w:autoSpaceDN w:val="0"/>
              <w:bidi w:val="0"/>
              <w:adjustRightInd w:val="0"/>
              <w:snapToGrid w:val="0"/>
              <w:spacing w:line="400" w:lineRule="exact"/>
              <w:ind w:firstLine="544" w:firstLineChars="200"/>
              <w:jc w:val="both"/>
              <w:textAlignment w:val="baseline"/>
              <w:rPr>
                <w:rFonts w:ascii="Times New Roman" w:hAnsi="Times New Roman" w:eastAsia="仿宋_GB2312"/>
                <w:color w:val="000000"/>
                <w:kern w:val="0"/>
                <w:sz w:val="28"/>
                <w:szCs w:val="28"/>
              </w:rPr>
            </w:pPr>
            <w:r>
              <w:rPr>
                <w:rFonts w:ascii="Times New Roman" w:hAnsi="Times New Roman" w:eastAsia="仿宋_GB2312"/>
                <w:color w:val="000000"/>
                <w:spacing w:val="-4"/>
                <w:kern w:val="0"/>
                <w:sz w:val="28"/>
                <w:szCs w:val="28"/>
              </w:rPr>
              <w:t>（</w:t>
            </w:r>
            <w:r>
              <w:rPr>
                <w:rFonts w:hint="eastAsia" w:ascii="Times New Roman" w:hAnsi="Times New Roman" w:eastAsia="仿宋_GB2312"/>
                <w:color w:val="000000"/>
                <w:spacing w:val="-4"/>
                <w:kern w:val="0"/>
                <w:sz w:val="28"/>
                <w:szCs w:val="28"/>
              </w:rPr>
              <w:t>5</w:t>
            </w:r>
            <w:r>
              <w:rPr>
                <w:rFonts w:ascii="Times New Roman" w:hAnsi="Times New Roman" w:eastAsia="仿宋_GB2312"/>
                <w:color w:val="000000"/>
                <w:spacing w:val="-4"/>
                <w:kern w:val="0"/>
                <w:sz w:val="28"/>
                <w:szCs w:val="28"/>
              </w:rPr>
              <w:t>）检验</w:t>
            </w:r>
          </w:p>
          <w:p w14:paraId="742D030F">
            <w:pPr>
              <w:keepNext w:val="0"/>
              <w:keepLines w:val="0"/>
              <w:pageBreakBefore w:val="0"/>
              <w:tabs>
                <w:tab w:val="left" w:pos="3233"/>
              </w:tabs>
              <w:wordWrap/>
              <w:overflowPunct/>
              <w:bidi w:val="0"/>
              <w:spacing w:line="400" w:lineRule="exact"/>
              <w:ind w:firstLine="564" w:firstLineChars="200"/>
              <w:jc w:val="both"/>
              <w:rPr>
                <w:rFonts w:hint="eastAsia" w:ascii="Times New Roman" w:hAnsi="Times New Roman" w:eastAsia="方正小标宋_GBK"/>
                <w:sz w:val="28"/>
                <w:szCs w:val="28"/>
              </w:rPr>
            </w:pPr>
            <w:r>
              <w:rPr>
                <w:rFonts w:ascii="Times New Roman" w:hAnsi="Times New Roman" w:eastAsia="仿宋_GB2312"/>
                <w:color w:val="000000"/>
                <w:spacing w:val="1"/>
                <w:kern w:val="0"/>
                <w:sz w:val="28"/>
                <w:szCs w:val="28"/>
              </w:rPr>
              <w:t>养护成型的砖经尺寸允许偏差、外观质量、密度等级、抗压强度等指标检验后，符合要求的砖入库待售，不合格的废砖经破碎后回用于生产。本项目路面砖的面层料配制系统单独设置，其余生产设施混凝土实心砖与小规格路面砖和大规格路砖均共用，三种类型砖生产工艺大体相同。</w:t>
            </w:r>
          </w:p>
          <w:p w14:paraId="1D573E27">
            <w:pPr>
              <w:keepNext w:val="0"/>
              <w:keepLines w:val="0"/>
              <w:pageBreakBefore w:val="0"/>
              <w:tabs>
                <w:tab w:val="left" w:pos="3233"/>
              </w:tabs>
              <w:wordWrap/>
              <w:overflowPunct/>
              <w:bidi w:val="0"/>
              <w:spacing w:line="400" w:lineRule="exact"/>
              <w:ind w:firstLine="560" w:firstLineChars="200"/>
              <w:jc w:val="both"/>
              <w:rPr>
                <w:rFonts w:ascii="Times New Roman" w:hAnsi="Times New Roman" w:eastAsia="方正小标宋_GBK"/>
                <w:sz w:val="28"/>
                <w:szCs w:val="28"/>
              </w:rPr>
            </w:pPr>
            <w:r>
              <w:rPr>
                <w:rFonts w:hint="eastAsia" w:ascii="Times New Roman" w:hAnsi="Times New Roman" w:eastAsia="方正小标宋_GBK"/>
                <w:sz w:val="28"/>
                <w:szCs w:val="28"/>
              </w:rPr>
              <w:t>2</w:t>
            </w:r>
            <w:r>
              <w:rPr>
                <w:rFonts w:hint="eastAsia" w:ascii="Times New Roman" w:hAnsi="Times New Roman" w:eastAsia="方正小标宋_GBK"/>
                <w:sz w:val="28"/>
                <w:szCs w:val="28"/>
                <w:lang w:val="en-US" w:eastAsia="zh-CN"/>
              </w:rPr>
              <w:t>.</w:t>
            </w:r>
            <w:r>
              <w:rPr>
                <w:rFonts w:hint="eastAsia" w:ascii="Times New Roman" w:hAnsi="Times New Roman" w:eastAsia="方正小标宋_GBK"/>
                <w:sz w:val="28"/>
                <w:szCs w:val="28"/>
              </w:rPr>
              <w:t>废物利用设备、设施</w:t>
            </w:r>
          </w:p>
          <w:p w14:paraId="332AB4A6">
            <w:pPr>
              <w:keepNext w:val="0"/>
              <w:keepLines w:val="0"/>
              <w:pageBreakBefore w:val="0"/>
              <w:widowControl/>
              <w:kinsoku w:val="0"/>
              <w:wordWrap/>
              <w:overflowPunct/>
              <w:topLinePunct/>
              <w:autoSpaceDE w:val="0"/>
              <w:autoSpaceDN w:val="0"/>
              <w:bidi w:val="0"/>
              <w:adjustRightInd w:val="0"/>
              <w:snapToGrid w:val="0"/>
              <w:spacing w:line="400" w:lineRule="exact"/>
              <w:ind w:left="120" w:right="106" w:firstLine="544" w:firstLineChars="200"/>
              <w:jc w:val="both"/>
              <w:textAlignment w:val="baseline"/>
              <w:rPr>
                <w:rFonts w:ascii="Times New Roman" w:hAnsi="Times New Roman" w:eastAsia="仿宋"/>
                <w:color w:val="000000"/>
                <w:kern w:val="0"/>
                <w:sz w:val="28"/>
                <w:szCs w:val="28"/>
              </w:rPr>
            </w:pPr>
            <w:r>
              <w:rPr>
                <w:rFonts w:ascii="Times New Roman" w:hAnsi="Times New Roman" w:eastAsia="仿宋"/>
                <w:color w:val="000000"/>
                <w:spacing w:val="-4"/>
                <w:kern w:val="0"/>
                <w:sz w:val="28"/>
                <w:szCs w:val="28"/>
              </w:rPr>
              <w:t>（1）主要</w:t>
            </w:r>
            <w:r>
              <w:rPr>
                <w:rFonts w:hint="eastAsia" w:ascii="Times New Roman" w:hAnsi="Times New Roman" w:eastAsia="仿宋"/>
                <w:color w:val="000000"/>
                <w:spacing w:val="-4"/>
                <w:kern w:val="0"/>
                <w:sz w:val="28"/>
                <w:szCs w:val="28"/>
              </w:rPr>
              <w:t>利用</w:t>
            </w:r>
            <w:r>
              <w:rPr>
                <w:rFonts w:ascii="Times New Roman" w:hAnsi="Times New Roman" w:eastAsia="仿宋"/>
                <w:color w:val="000000"/>
                <w:spacing w:val="-4"/>
                <w:kern w:val="0"/>
                <w:sz w:val="28"/>
                <w:szCs w:val="28"/>
              </w:rPr>
              <w:t>设备：进料斗、混料机、砌块成型机、自动化预制砖</w:t>
            </w:r>
            <w:r>
              <w:rPr>
                <w:rFonts w:ascii="Times New Roman" w:hAnsi="Times New Roman" w:eastAsia="仿宋"/>
                <w:color w:val="000000"/>
                <w:spacing w:val="12"/>
                <w:kern w:val="0"/>
                <w:sz w:val="28"/>
                <w:szCs w:val="28"/>
              </w:rPr>
              <w:t xml:space="preserve"> </w:t>
            </w:r>
            <w:r>
              <w:rPr>
                <w:rFonts w:ascii="Times New Roman" w:hAnsi="Times New Roman" w:eastAsia="仿宋"/>
                <w:color w:val="000000"/>
                <w:spacing w:val="-1"/>
                <w:kern w:val="0"/>
                <w:sz w:val="28"/>
                <w:szCs w:val="28"/>
              </w:rPr>
              <w:t>成型机皮带输送机、破碎机等。</w:t>
            </w:r>
          </w:p>
          <w:p w14:paraId="63D7D2C2">
            <w:pPr>
              <w:widowControl/>
              <w:kinsoku w:val="0"/>
              <w:topLinePunct/>
              <w:autoSpaceDE w:val="0"/>
              <w:autoSpaceDN w:val="0"/>
              <w:adjustRightInd w:val="0"/>
              <w:snapToGrid w:val="0"/>
              <w:spacing w:before="42" w:line="240" w:lineRule="auto"/>
              <w:ind w:left="2831"/>
              <w:jc w:val="left"/>
              <w:textAlignment w:val="baseline"/>
              <w:rPr>
                <w:rFonts w:ascii="Times New Roman" w:hAnsi="Times New Roman" w:eastAsia="仿宋"/>
                <w:color w:val="000000"/>
                <w:kern w:val="0"/>
                <w:sz w:val="28"/>
                <w:szCs w:val="28"/>
              </w:rPr>
            </w:pPr>
            <w:r>
              <w:rPr>
                <w:rFonts w:ascii="Times New Roman" w:hAnsi="Times New Roman" w:eastAsia="仿宋"/>
                <w:b/>
                <w:bCs/>
                <w:color w:val="000000"/>
                <w:spacing w:val="-4"/>
                <w:kern w:val="0"/>
                <w:sz w:val="28"/>
                <w:szCs w:val="28"/>
              </w:rPr>
              <w:t>表</w:t>
            </w:r>
            <w:r>
              <w:rPr>
                <w:rFonts w:hint="eastAsia" w:ascii="Times New Roman" w:hAnsi="Times New Roman" w:eastAsia="仿宋"/>
                <w:b/>
                <w:bCs/>
                <w:color w:val="000000"/>
                <w:spacing w:val="-4"/>
                <w:kern w:val="0"/>
                <w:sz w:val="28"/>
                <w:szCs w:val="28"/>
              </w:rPr>
              <w:t>2</w:t>
            </w:r>
            <w:r>
              <w:rPr>
                <w:rFonts w:ascii="Times New Roman" w:hAnsi="Times New Roman" w:eastAsia="仿宋"/>
                <w:b/>
                <w:bCs/>
                <w:color w:val="000000"/>
                <w:spacing w:val="-4"/>
                <w:kern w:val="0"/>
                <w:sz w:val="28"/>
                <w:szCs w:val="28"/>
              </w:rPr>
              <w:t xml:space="preserve">  废物</w:t>
            </w:r>
            <w:r>
              <w:rPr>
                <w:rFonts w:hint="eastAsia" w:ascii="Times New Roman" w:hAnsi="Times New Roman" w:eastAsia="仿宋"/>
                <w:b/>
                <w:bCs/>
                <w:color w:val="000000"/>
                <w:spacing w:val="-4"/>
                <w:kern w:val="0"/>
                <w:sz w:val="28"/>
                <w:szCs w:val="28"/>
              </w:rPr>
              <w:t>利用</w:t>
            </w:r>
            <w:r>
              <w:rPr>
                <w:rFonts w:ascii="Times New Roman" w:hAnsi="Times New Roman" w:eastAsia="仿宋"/>
                <w:b/>
                <w:bCs/>
                <w:color w:val="000000"/>
                <w:spacing w:val="-4"/>
                <w:kern w:val="0"/>
                <w:sz w:val="28"/>
                <w:szCs w:val="28"/>
              </w:rPr>
              <w:t>设备一览表</w:t>
            </w:r>
          </w:p>
          <w:tbl>
            <w:tblPr>
              <w:tblStyle w:val="4"/>
              <w:tblW w:w="4989"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3"/>
              <w:gridCol w:w="2301"/>
              <w:gridCol w:w="913"/>
              <w:gridCol w:w="584"/>
              <w:gridCol w:w="3335"/>
            </w:tblGrid>
            <w:tr w14:paraId="6685D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trPr>
              <w:tc>
                <w:tcPr>
                  <w:tcW w:w="887" w:type="pct"/>
                  <w:noWrap w:val="0"/>
                  <w:vAlign w:val="center"/>
                </w:tcPr>
                <w:p w14:paraId="7FFD2B9A">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b/>
                      <w:bCs/>
                      <w:sz w:val="24"/>
                      <w:szCs w:val="24"/>
                    </w:rPr>
                  </w:pPr>
                  <w:r>
                    <w:rPr>
                      <w:rFonts w:ascii="Times New Roman" w:hAnsi="Times New Roman" w:eastAsia="仿宋"/>
                      <w:b/>
                      <w:bCs/>
                      <w:sz w:val="24"/>
                      <w:szCs w:val="24"/>
                    </w:rPr>
                    <w:t>产品名称</w:t>
                  </w:r>
                </w:p>
              </w:tc>
              <w:tc>
                <w:tcPr>
                  <w:tcW w:w="1330" w:type="pct"/>
                  <w:noWrap w:val="0"/>
                  <w:vAlign w:val="center"/>
                </w:tcPr>
                <w:p w14:paraId="7D7947C7">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b/>
                      <w:bCs/>
                      <w:sz w:val="24"/>
                      <w:szCs w:val="24"/>
                    </w:rPr>
                  </w:pPr>
                  <w:r>
                    <w:rPr>
                      <w:rFonts w:ascii="Times New Roman" w:hAnsi="Times New Roman" w:eastAsia="仿宋"/>
                      <w:b/>
                      <w:bCs/>
                      <w:sz w:val="24"/>
                      <w:szCs w:val="24"/>
                    </w:rPr>
                    <w:t>设备名称</w:t>
                  </w:r>
                </w:p>
              </w:tc>
              <w:tc>
                <w:tcPr>
                  <w:tcW w:w="517" w:type="pct"/>
                  <w:noWrap w:val="0"/>
                  <w:vAlign w:val="center"/>
                </w:tcPr>
                <w:p w14:paraId="2AADB54C">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b/>
                      <w:bCs/>
                      <w:sz w:val="24"/>
                      <w:szCs w:val="24"/>
                    </w:rPr>
                  </w:pPr>
                  <w:r>
                    <w:rPr>
                      <w:rFonts w:ascii="Times New Roman" w:hAnsi="Times New Roman" w:eastAsia="仿宋"/>
                      <w:b/>
                      <w:bCs/>
                      <w:sz w:val="24"/>
                      <w:szCs w:val="24"/>
                    </w:rPr>
                    <w:t>规格</w:t>
                  </w:r>
                </w:p>
              </w:tc>
              <w:tc>
                <w:tcPr>
                  <w:tcW w:w="339" w:type="pct"/>
                  <w:noWrap w:val="0"/>
                  <w:vAlign w:val="center"/>
                </w:tcPr>
                <w:p w14:paraId="290F465B">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b/>
                      <w:bCs/>
                      <w:sz w:val="24"/>
                      <w:szCs w:val="24"/>
                    </w:rPr>
                  </w:pPr>
                  <w:r>
                    <w:rPr>
                      <w:rFonts w:ascii="Times New Roman" w:hAnsi="Times New Roman" w:eastAsia="仿宋"/>
                      <w:b/>
                      <w:bCs/>
                      <w:sz w:val="24"/>
                      <w:szCs w:val="24"/>
                    </w:rPr>
                    <w:t>数量</w:t>
                  </w:r>
                </w:p>
              </w:tc>
              <w:tc>
                <w:tcPr>
                  <w:tcW w:w="1926" w:type="pct"/>
                  <w:noWrap w:val="0"/>
                  <w:vAlign w:val="center"/>
                </w:tcPr>
                <w:p w14:paraId="57B41E0D">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b/>
                      <w:bCs/>
                      <w:sz w:val="24"/>
                      <w:szCs w:val="24"/>
                    </w:rPr>
                  </w:pPr>
                  <w:r>
                    <w:rPr>
                      <w:rFonts w:ascii="Times New Roman" w:hAnsi="Times New Roman" w:eastAsia="仿宋"/>
                      <w:b/>
                      <w:bCs/>
                      <w:sz w:val="24"/>
                      <w:szCs w:val="24"/>
                    </w:rPr>
                    <w:t>备注</w:t>
                  </w:r>
                </w:p>
              </w:tc>
            </w:tr>
            <w:tr w14:paraId="265B5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887" w:type="pct"/>
                  <w:vMerge w:val="restart"/>
                  <w:noWrap w:val="0"/>
                  <w:vAlign w:val="center"/>
                </w:tcPr>
                <w:p w14:paraId="3E661764">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树脂砖</w:t>
                  </w:r>
                </w:p>
                <w:p w14:paraId="7285F22E">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（一期工程）</w:t>
                  </w:r>
                </w:p>
              </w:tc>
              <w:tc>
                <w:tcPr>
                  <w:tcW w:w="1330" w:type="pct"/>
                  <w:noWrap w:val="0"/>
                  <w:vAlign w:val="center"/>
                </w:tcPr>
                <w:p w14:paraId="34601ACC">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行星式混料机</w:t>
                  </w:r>
                </w:p>
              </w:tc>
              <w:tc>
                <w:tcPr>
                  <w:tcW w:w="517" w:type="pct"/>
                  <w:noWrap w:val="0"/>
                  <w:vAlign w:val="center"/>
                </w:tcPr>
                <w:p w14:paraId="35DAD740">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MP-1000</w:t>
                  </w:r>
                </w:p>
              </w:tc>
              <w:tc>
                <w:tcPr>
                  <w:tcW w:w="339" w:type="pct"/>
                  <w:noWrap w:val="0"/>
                  <w:vAlign w:val="center"/>
                </w:tcPr>
                <w:p w14:paraId="1629E6C2">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w:t>
                  </w:r>
                </w:p>
              </w:tc>
              <w:tc>
                <w:tcPr>
                  <w:tcW w:w="1926" w:type="pct"/>
                  <w:noWrap w:val="0"/>
                  <w:vAlign w:val="center"/>
                </w:tcPr>
                <w:p w14:paraId="647BF8D4">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实心砖及路面砖基层料混料</w:t>
                  </w:r>
                </w:p>
              </w:tc>
            </w:tr>
            <w:tr w14:paraId="04C32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887" w:type="pct"/>
                  <w:vMerge w:val="continue"/>
                  <w:noWrap w:val="0"/>
                  <w:vAlign w:val="center"/>
                </w:tcPr>
                <w:p w14:paraId="70DA5119">
                  <w:pPr>
                    <w:keepNext w:val="0"/>
                    <w:keepLines w:val="0"/>
                    <w:pageBreakBefore w:val="0"/>
                    <w:widowControl/>
                    <w:kinsoku/>
                    <w:wordWrap/>
                    <w:overflowPunct/>
                    <w:autoSpaceDE/>
                    <w:autoSpaceDN/>
                    <w:bidi w:val="0"/>
                    <w:adjustRightInd/>
                    <w:snapToGrid/>
                    <w:spacing w:line="300" w:lineRule="exact"/>
                    <w:jc w:val="left"/>
                    <w:textAlignment w:val="auto"/>
                    <w:rPr>
                      <w:rFonts w:ascii="Times New Roman" w:hAnsi="Times New Roman" w:eastAsia="仿宋"/>
                      <w:sz w:val="24"/>
                      <w:szCs w:val="24"/>
                    </w:rPr>
                  </w:pPr>
                </w:p>
              </w:tc>
              <w:tc>
                <w:tcPr>
                  <w:tcW w:w="1330" w:type="pct"/>
                  <w:noWrap w:val="0"/>
                  <w:vAlign w:val="center"/>
                </w:tcPr>
                <w:p w14:paraId="4F613853">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行星式混料机</w:t>
                  </w:r>
                </w:p>
              </w:tc>
              <w:tc>
                <w:tcPr>
                  <w:tcW w:w="517" w:type="pct"/>
                  <w:noWrap w:val="0"/>
                  <w:vAlign w:val="center"/>
                </w:tcPr>
                <w:p w14:paraId="4C716488">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MP-330</w:t>
                  </w:r>
                </w:p>
              </w:tc>
              <w:tc>
                <w:tcPr>
                  <w:tcW w:w="339" w:type="pct"/>
                  <w:noWrap w:val="0"/>
                  <w:vAlign w:val="center"/>
                </w:tcPr>
                <w:p w14:paraId="500674FD">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w:t>
                  </w:r>
                </w:p>
              </w:tc>
              <w:tc>
                <w:tcPr>
                  <w:tcW w:w="1926" w:type="pct"/>
                  <w:noWrap w:val="0"/>
                  <w:vAlign w:val="center"/>
                </w:tcPr>
                <w:p w14:paraId="108B902A">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路面砖面料混料</w:t>
                  </w:r>
                </w:p>
              </w:tc>
            </w:tr>
            <w:tr w14:paraId="53230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87" w:type="pct"/>
                  <w:vMerge w:val="continue"/>
                  <w:noWrap w:val="0"/>
                  <w:vAlign w:val="center"/>
                </w:tcPr>
                <w:p w14:paraId="7EA10157">
                  <w:pPr>
                    <w:keepNext w:val="0"/>
                    <w:keepLines w:val="0"/>
                    <w:pageBreakBefore w:val="0"/>
                    <w:widowControl/>
                    <w:kinsoku/>
                    <w:wordWrap/>
                    <w:overflowPunct/>
                    <w:autoSpaceDE/>
                    <w:autoSpaceDN/>
                    <w:bidi w:val="0"/>
                    <w:adjustRightInd/>
                    <w:snapToGrid/>
                    <w:spacing w:line="300" w:lineRule="exact"/>
                    <w:jc w:val="left"/>
                    <w:textAlignment w:val="auto"/>
                    <w:rPr>
                      <w:rFonts w:ascii="Times New Roman" w:hAnsi="Times New Roman" w:eastAsia="仿宋"/>
                      <w:sz w:val="24"/>
                      <w:szCs w:val="24"/>
                    </w:rPr>
                  </w:pPr>
                </w:p>
              </w:tc>
              <w:tc>
                <w:tcPr>
                  <w:tcW w:w="1330" w:type="pct"/>
                  <w:noWrap w:val="0"/>
                  <w:vAlign w:val="center"/>
                </w:tcPr>
                <w:p w14:paraId="512BF285">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砌块成型机</w:t>
                  </w:r>
                </w:p>
              </w:tc>
              <w:tc>
                <w:tcPr>
                  <w:tcW w:w="517" w:type="pct"/>
                  <w:noWrap w:val="0"/>
                  <w:vAlign w:val="center"/>
                </w:tcPr>
                <w:p w14:paraId="5D312299">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QT12S</w:t>
                  </w:r>
                </w:p>
              </w:tc>
              <w:tc>
                <w:tcPr>
                  <w:tcW w:w="339" w:type="pct"/>
                  <w:noWrap w:val="0"/>
                  <w:vAlign w:val="center"/>
                </w:tcPr>
                <w:p w14:paraId="55279822">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w:t>
                  </w:r>
                </w:p>
              </w:tc>
              <w:tc>
                <w:tcPr>
                  <w:tcW w:w="1926" w:type="pct"/>
                  <w:noWrap w:val="0"/>
                  <w:vAlign w:val="center"/>
                </w:tcPr>
                <w:p w14:paraId="374A2FB1">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实心砖及路面砖共用</w:t>
                  </w:r>
                </w:p>
              </w:tc>
            </w:tr>
            <w:tr w14:paraId="28EE5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887" w:type="pct"/>
                  <w:vMerge w:val="continue"/>
                  <w:noWrap w:val="0"/>
                  <w:vAlign w:val="center"/>
                </w:tcPr>
                <w:p w14:paraId="2F3BA214">
                  <w:pPr>
                    <w:keepNext w:val="0"/>
                    <w:keepLines w:val="0"/>
                    <w:pageBreakBefore w:val="0"/>
                    <w:widowControl/>
                    <w:kinsoku/>
                    <w:wordWrap/>
                    <w:overflowPunct/>
                    <w:autoSpaceDE/>
                    <w:autoSpaceDN/>
                    <w:bidi w:val="0"/>
                    <w:adjustRightInd/>
                    <w:snapToGrid/>
                    <w:spacing w:line="300" w:lineRule="exact"/>
                    <w:jc w:val="left"/>
                    <w:textAlignment w:val="auto"/>
                    <w:rPr>
                      <w:rFonts w:ascii="Times New Roman" w:hAnsi="Times New Roman" w:eastAsia="仿宋"/>
                      <w:sz w:val="24"/>
                      <w:szCs w:val="24"/>
                    </w:rPr>
                  </w:pPr>
                </w:p>
              </w:tc>
              <w:tc>
                <w:tcPr>
                  <w:tcW w:w="1330" w:type="pct"/>
                  <w:noWrap w:val="0"/>
                  <w:vAlign w:val="center"/>
                </w:tcPr>
                <w:p w14:paraId="46D9E578">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破碎机</w:t>
                  </w:r>
                </w:p>
              </w:tc>
              <w:tc>
                <w:tcPr>
                  <w:tcW w:w="517" w:type="pct"/>
                  <w:noWrap w:val="0"/>
                  <w:vAlign w:val="center"/>
                </w:tcPr>
                <w:p w14:paraId="682BF78B">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w:t>
                  </w:r>
                </w:p>
              </w:tc>
              <w:tc>
                <w:tcPr>
                  <w:tcW w:w="339" w:type="pct"/>
                  <w:noWrap w:val="0"/>
                  <w:vAlign w:val="center"/>
                </w:tcPr>
                <w:p w14:paraId="48AC7268">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w:t>
                  </w:r>
                </w:p>
              </w:tc>
              <w:tc>
                <w:tcPr>
                  <w:tcW w:w="1926" w:type="pct"/>
                  <w:noWrap w:val="0"/>
                  <w:vAlign w:val="center"/>
                </w:tcPr>
                <w:p w14:paraId="6A32B40D">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废砖破碎</w:t>
                  </w:r>
                </w:p>
              </w:tc>
            </w:tr>
            <w:tr w14:paraId="6AB1C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887" w:type="pct"/>
                  <w:vMerge w:val="continue"/>
                  <w:noWrap w:val="0"/>
                  <w:vAlign w:val="center"/>
                </w:tcPr>
                <w:p w14:paraId="7BDD3F27">
                  <w:pPr>
                    <w:keepNext w:val="0"/>
                    <w:keepLines w:val="0"/>
                    <w:pageBreakBefore w:val="0"/>
                    <w:widowControl/>
                    <w:kinsoku/>
                    <w:wordWrap/>
                    <w:overflowPunct/>
                    <w:autoSpaceDE/>
                    <w:autoSpaceDN/>
                    <w:bidi w:val="0"/>
                    <w:adjustRightInd/>
                    <w:snapToGrid/>
                    <w:spacing w:line="300" w:lineRule="exact"/>
                    <w:jc w:val="left"/>
                    <w:textAlignment w:val="auto"/>
                    <w:rPr>
                      <w:rFonts w:ascii="Times New Roman" w:hAnsi="Times New Roman" w:eastAsia="仿宋"/>
                      <w:sz w:val="24"/>
                      <w:szCs w:val="24"/>
                    </w:rPr>
                  </w:pPr>
                </w:p>
              </w:tc>
              <w:tc>
                <w:tcPr>
                  <w:tcW w:w="1330" w:type="pct"/>
                  <w:noWrap w:val="0"/>
                  <w:vAlign w:val="center"/>
                </w:tcPr>
                <w:p w14:paraId="7F2BF4CA">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自动化预制砖成型机</w:t>
                  </w:r>
                </w:p>
              </w:tc>
              <w:tc>
                <w:tcPr>
                  <w:tcW w:w="517" w:type="pct"/>
                  <w:noWrap w:val="0"/>
                  <w:vAlign w:val="center"/>
                </w:tcPr>
                <w:p w14:paraId="667FF941">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w:t>
                  </w:r>
                </w:p>
              </w:tc>
              <w:tc>
                <w:tcPr>
                  <w:tcW w:w="339" w:type="pct"/>
                  <w:noWrap w:val="0"/>
                  <w:vAlign w:val="center"/>
                </w:tcPr>
                <w:p w14:paraId="7FDE20FA">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w:t>
                  </w:r>
                </w:p>
              </w:tc>
              <w:tc>
                <w:tcPr>
                  <w:tcW w:w="1926" w:type="pct"/>
                  <w:noWrap w:val="0"/>
                  <w:vAlign w:val="center"/>
                </w:tcPr>
                <w:p w14:paraId="1FD25083">
                  <w:pPr>
                    <w:keepNext w:val="0"/>
                    <w:keepLines w:val="0"/>
                    <w:pageBreakBefore w:val="0"/>
                    <w:kinsoku/>
                    <w:wordWrap/>
                    <w:overflowPunct/>
                    <w:topLinePunct/>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较大规格尺寸路面砖预制</w:t>
                  </w:r>
                </w:p>
              </w:tc>
            </w:tr>
          </w:tbl>
          <w:p w14:paraId="00D43F1C">
            <w:pPr>
              <w:keepNext w:val="0"/>
              <w:keepLines w:val="0"/>
              <w:pageBreakBefore w:val="0"/>
              <w:widowControl w:val="0"/>
              <w:kinsoku/>
              <w:wordWrap/>
              <w:overflowPunct/>
              <w:topLinePunct w:val="0"/>
              <w:autoSpaceDE/>
              <w:autoSpaceDN/>
              <w:bidi w:val="0"/>
              <w:adjustRightInd/>
              <w:snapToGrid/>
              <w:spacing w:line="400" w:lineRule="exact"/>
              <w:ind w:firstLine="544" w:firstLineChars="200"/>
              <w:textAlignment w:val="auto"/>
              <w:rPr>
                <w:rFonts w:hint="eastAsia" w:ascii="Times New Roman" w:hAnsi="Times New Roman" w:cs="Calibri"/>
                <w:szCs w:val="32"/>
              </w:rPr>
            </w:pPr>
            <w:r>
              <w:rPr>
                <w:rFonts w:ascii="Times New Roman" w:hAnsi="Times New Roman" w:eastAsia="仿宋"/>
                <w:spacing w:val="-4"/>
                <w:sz w:val="28"/>
                <w:szCs w:val="28"/>
              </w:rPr>
              <w:t>（2）主要设施：生产装置区、养护房、废树脂粉贮存区、河砂及石</w:t>
            </w:r>
            <w:r>
              <w:rPr>
                <w:rFonts w:ascii="Times New Roman" w:hAnsi="Times New Roman" w:eastAsia="仿宋"/>
                <w:spacing w:val="-2"/>
                <w:sz w:val="28"/>
                <w:szCs w:val="28"/>
              </w:rPr>
              <w:t>子贮存区、次生危废库。</w:t>
            </w:r>
          </w:p>
        </w:tc>
      </w:tr>
      <w:tr w14:paraId="4458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8906" w:type="dxa"/>
            <w:gridSpan w:val="2"/>
            <w:tcBorders>
              <w:bottom w:val="single" w:color="auto" w:sz="4" w:space="0"/>
            </w:tcBorders>
            <w:noWrap w:val="0"/>
            <w:vAlign w:val="top"/>
          </w:tcPr>
          <w:p w14:paraId="1196E493">
            <w:pPr>
              <w:keepNext w:val="0"/>
              <w:keepLines w:val="0"/>
              <w:pageBreakBefore w:val="0"/>
              <w:wordWrap/>
              <w:overflowPunct/>
              <w:bidi w:val="0"/>
              <w:spacing w:line="400" w:lineRule="exact"/>
              <w:jc w:val="both"/>
              <w:rPr>
                <w:rFonts w:ascii="Times New Roman" w:hAnsi="Times New Roman" w:eastAsia="方正小标宋_GBK"/>
                <w:sz w:val="30"/>
                <w:szCs w:val="30"/>
              </w:rPr>
            </w:pPr>
            <w:r>
              <w:rPr>
                <w:rFonts w:hint="eastAsia" w:ascii="Times New Roman" w:hAnsi="Times New Roman" w:eastAsia="方正小标宋_GBK"/>
                <w:sz w:val="30"/>
                <w:szCs w:val="30"/>
              </w:rPr>
              <w:t>污染防治措施及防治效果</w:t>
            </w:r>
          </w:p>
          <w:p w14:paraId="6D0EF345">
            <w:pPr>
              <w:keepNext w:val="0"/>
              <w:keepLines w:val="0"/>
              <w:pageBreakBefore w:val="0"/>
              <w:wordWrap/>
              <w:overflowPunct/>
              <w:bidi w:val="0"/>
              <w:spacing w:line="400" w:lineRule="exact"/>
              <w:ind w:firstLine="560" w:firstLine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rPr>
              <w:t>1</w:t>
            </w:r>
            <w:r>
              <w:rPr>
                <w:rFonts w:hint="default" w:ascii="Times New Roman" w:hAnsi="Times New Roman" w:eastAsia="方正小标宋_GBK" w:cs="Times New Roman"/>
                <w:sz w:val="28"/>
                <w:szCs w:val="28"/>
                <w:lang w:val="en-US" w:eastAsia="zh-CN"/>
              </w:rPr>
              <w:t>.</w:t>
            </w:r>
            <w:r>
              <w:rPr>
                <w:rFonts w:hint="default" w:ascii="Times New Roman" w:hAnsi="Times New Roman" w:eastAsia="方正小标宋_GBK" w:cs="Times New Roman"/>
                <w:sz w:val="28"/>
                <w:szCs w:val="28"/>
              </w:rPr>
              <w:t>污染物产生情况</w:t>
            </w:r>
          </w:p>
          <w:p w14:paraId="1D115000">
            <w:pPr>
              <w:keepNext w:val="0"/>
              <w:keepLines w:val="0"/>
              <w:pageBreakBefore w:val="0"/>
              <w:widowControl/>
              <w:kinsoku w:val="0"/>
              <w:wordWrap/>
              <w:overflowPunct/>
              <w:topLinePunct/>
              <w:autoSpaceDE w:val="0"/>
              <w:autoSpaceDN w:val="0"/>
              <w:bidi w:val="0"/>
              <w:adjustRightInd w:val="0"/>
              <w:snapToGrid w:val="0"/>
              <w:spacing w:line="400" w:lineRule="exact"/>
              <w:ind w:left="119" w:right="106" w:firstLine="558" w:firstLineChars="200"/>
              <w:jc w:val="both"/>
              <w:textAlignment w:val="baseline"/>
              <w:rPr>
                <w:rFonts w:hint="default" w:ascii="Times New Roman" w:hAnsi="Times New Roman" w:eastAsia="仿宋" w:cs="Times New Roman"/>
                <w:color w:val="000000"/>
                <w:spacing w:val="-1"/>
                <w:kern w:val="0"/>
                <w:sz w:val="28"/>
                <w:szCs w:val="28"/>
              </w:rPr>
            </w:pPr>
            <w:r>
              <w:rPr>
                <w:rFonts w:hint="default" w:ascii="Times New Roman" w:hAnsi="Times New Roman" w:eastAsia="仿宋" w:cs="Times New Roman"/>
                <w:b/>
                <w:bCs/>
                <w:color w:val="000000"/>
                <w:spacing w:val="-1"/>
                <w:kern w:val="0"/>
                <w:sz w:val="28"/>
                <w:szCs w:val="28"/>
              </w:rPr>
              <w:t>（1）废水：</w:t>
            </w:r>
            <w:r>
              <w:rPr>
                <w:rFonts w:hint="default" w:ascii="Times New Roman" w:hAnsi="Times New Roman" w:eastAsia="仿宋" w:cs="Times New Roman"/>
                <w:color w:val="000000"/>
                <w:spacing w:val="-1"/>
                <w:kern w:val="0"/>
                <w:sz w:val="28"/>
                <w:szCs w:val="28"/>
              </w:rPr>
              <w:t>本项目产生的废水主要为设备及地面冲洗废水、初期雨 水以及职工生活污水。</w:t>
            </w:r>
          </w:p>
          <w:p w14:paraId="1A3BB95D">
            <w:pPr>
              <w:keepNext w:val="0"/>
              <w:keepLines w:val="0"/>
              <w:pageBreakBefore w:val="0"/>
              <w:widowControl/>
              <w:kinsoku w:val="0"/>
              <w:wordWrap/>
              <w:overflowPunct/>
              <w:topLinePunct/>
              <w:autoSpaceDE w:val="0"/>
              <w:autoSpaceDN w:val="0"/>
              <w:bidi w:val="0"/>
              <w:adjustRightInd w:val="0"/>
              <w:snapToGrid w:val="0"/>
              <w:spacing w:line="400" w:lineRule="exact"/>
              <w:ind w:left="119" w:right="106" w:firstLine="558" w:firstLineChars="200"/>
              <w:jc w:val="both"/>
              <w:textAlignment w:val="baseline"/>
              <w:rPr>
                <w:rFonts w:hint="default" w:ascii="Times New Roman" w:hAnsi="Times New Roman" w:eastAsia="仿宋" w:cs="Times New Roman"/>
                <w:color w:val="000000"/>
                <w:spacing w:val="-1"/>
                <w:kern w:val="0"/>
                <w:sz w:val="28"/>
                <w:szCs w:val="28"/>
              </w:rPr>
            </w:pPr>
            <w:r>
              <w:rPr>
                <w:rFonts w:hint="default" w:ascii="Times New Roman" w:hAnsi="Times New Roman" w:eastAsia="仿宋" w:cs="Times New Roman"/>
                <w:b/>
                <w:bCs/>
                <w:color w:val="000000"/>
                <w:spacing w:val="-1"/>
                <w:kern w:val="0"/>
                <w:sz w:val="28"/>
                <w:szCs w:val="28"/>
              </w:rPr>
              <w:t>（2）废气：</w:t>
            </w:r>
            <w:r>
              <w:rPr>
                <w:rFonts w:hint="default" w:ascii="Times New Roman" w:hAnsi="Times New Roman" w:eastAsia="仿宋" w:cs="Times New Roman"/>
                <w:color w:val="000000"/>
                <w:spacing w:val="-1"/>
                <w:kern w:val="0"/>
                <w:sz w:val="28"/>
                <w:szCs w:val="28"/>
              </w:rPr>
              <w:t>本项目废气主要为水泥仓废气以及搅拌混合破碎等生产过程中产生的废气，污染因子为粉尘、铜及其化合物、锡及其化合物。</w:t>
            </w:r>
          </w:p>
          <w:p w14:paraId="42AE5C2E">
            <w:pPr>
              <w:keepNext w:val="0"/>
              <w:keepLines w:val="0"/>
              <w:pageBreakBefore w:val="0"/>
              <w:widowControl/>
              <w:kinsoku w:val="0"/>
              <w:wordWrap/>
              <w:overflowPunct/>
              <w:topLinePunct/>
              <w:autoSpaceDE w:val="0"/>
              <w:autoSpaceDN w:val="0"/>
              <w:bidi w:val="0"/>
              <w:adjustRightInd w:val="0"/>
              <w:snapToGrid w:val="0"/>
              <w:spacing w:line="400" w:lineRule="exact"/>
              <w:ind w:left="119" w:right="106" w:firstLine="558" w:firstLineChars="200"/>
              <w:jc w:val="both"/>
              <w:textAlignment w:val="baseline"/>
              <w:rPr>
                <w:rFonts w:hint="default" w:ascii="Times New Roman" w:hAnsi="Times New Roman" w:eastAsia="仿宋" w:cs="Times New Roman"/>
                <w:color w:val="000000"/>
                <w:spacing w:val="-1"/>
                <w:kern w:val="0"/>
                <w:sz w:val="28"/>
                <w:szCs w:val="28"/>
              </w:rPr>
            </w:pPr>
            <w:r>
              <w:rPr>
                <w:rFonts w:hint="default" w:ascii="Times New Roman" w:hAnsi="Times New Roman" w:eastAsia="仿宋" w:cs="Times New Roman"/>
                <w:b/>
                <w:bCs/>
                <w:color w:val="000000"/>
                <w:spacing w:val="-1"/>
                <w:kern w:val="0"/>
                <w:sz w:val="28"/>
                <w:szCs w:val="28"/>
              </w:rPr>
              <w:t>（3）噪声：</w:t>
            </w:r>
            <w:r>
              <w:rPr>
                <w:rFonts w:hint="default" w:ascii="Times New Roman" w:hAnsi="Times New Roman" w:eastAsia="仿宋" w:cs="Times New Roman"/>
                <w:color w:val="000000"/>
                <w:spacing w:val="-1"/>
                <w:kern w:val="0"/>
                <w:sz w:val="28"/>
                <w:szCs w:val="28"/>
              </w:rPr>
              <w:t>项目主要噪声源有混料机、破碎机、风机等设备。</w:t>
            </w:r>
          </w:p>
          <w:p w14:paraId="733F60C1">
            <w:pPr>
              <w:keepNext w:val="0"/>
              <w:keepLines w:val="0"/>
              <w:pageBreakBefore w:val="0"/>
              <w:widowControl/>
              <w:kinsoku w:val="0"/>
              <w:wordWrap/>
              <w:overflowPunct/>
              <w:topLinePunct/>
              <w:autoSpaceDE w:val="0"/>
              <w:autoSpaceDN w:val="0"/>
              <w:bidi w:val="0"/>
              <w:adjustRightInd w:val="0"/>
              <w:snapToGrid w:val="0"/>
              <w:spacing w:line="400" w:lineRule="exact"/>
              <w:ind w:left="119" w:right="106" w:firstLine="558" w:firstLineChars="200"/>
              <w:jc w:val="both"/>
              <w:textAlignment w:val="baseline"/>
              <w:rPr>
                <w:rFonts w:hint="default" w:ascii="Times New Roman" w:hAnsi="Times New Roman" w:eastAsia="仿宋" w:cs="Times New Roman"/>
                <w:color w:val="000000"/>
                <w:spacing w:val="-1"/>
                <w:kern w:val="0"/>
                <w:sz w:val="28"/>
                <w:szCs w:val="28"/>
              </w:rPr>
            </w:pPr>
            <w:r>
              <w:rPr>
                <w:rFonts w:hint="default" w:ascii="Times New Roman" w:hAnsi="Times New Roman" w:eastAsia="仿宋" w:cs="Times New Roman"/>
                <w:b/>
                <w:bCs/>
                <w:color w:val="000000"/>
                <w:spacing w:val="-1"/>
                <w:kern w:val="0"/>
                <w:sz w:val="28"/>
                <w:szCs w:val="28"/>
              </w:rPr>
              <w:t>（4）固体废物：</w:t>
            </w:r>
            <w:r>
              <w:rPr>
                <w:rFonts w:hint="default" w:ascii="Times New Roman" w:hAnsi="Times New Roman" w:eastAsia="仿宋" w:cs="Times New Roman"/>
                <w:color w:val="000000"/>
                <w:spacing w:val="-1"/>
                <w:kern w:val="0"/>
                <w:sz w:val="28"/>
                <w:szCs w:val="28"/>
              </w:rPr>
              <w:t>本项目固体废物主要为废包装袋、废包装桶、废模具、生活垃圾等。</w:t>
            </w:r>
          </w:p>
          <w:p w14:paraId="714D2A9F">
            <w:pPr>
              <w:keepNext w:val="0"/>
              <w:keepLines w:val="0"/>
              <w:pageBreakBefore w:val="0"/>
              <w:wordWrap/>
              <w:overflowPunct/>
              <w:bidi w:val="0"/>
              <w:spacing w:line="400" w:lineRule="exact"/>
              <w:ind w:firstLine="560" w:firstLine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rPr>
              <w:t>2</w:t>
            </w:r>
            <w:r>
              <w:rPr>
                <w:rFonts w:hint="default" w:ascii="Times New Roman" w:hAnsi="Times New Roman" w:eastAsia="方正小标宋_GBK" w:cs="Times New Roman"/>
                <w:sz w:val="28"/>
                <w:szCs w:val="28"/>
                <w:lang w:val="en-US" w:eastAsia="zh-CN"/>
              </w:rPr>
              <w:t>.</w:t>
            </w:r>
            <w:r>
              <w:rPr>
                <w:rFonts w:hint="default" w:ascii="Times New Roman" w:hAnsi="Times New Roman" w:eastAsia="方正小标宋_GBK" w:cs="Times New Roman"/>
                <w:sz w:val="28"/>
                <w:szCs w:val="28"/>
              </w:rPr>
              <w:t>污染防治设施及工作原理</w:t>
            </w:r>
          </w:p>
          <w:p w14:paraId="0FB982A8">
            <w:pPr>
              <w:keepNext w:val="0"/>
              <w:keepLines w:val="0"/>
              <w:pageBreakBefore w:val="0"/>
              <w:widowControl/>
              <w:kinsoku w:val="0"/>
              <w:wordWrap/>
              <w:overflowPunct/>
              <w:topLinePunct/>
              <w:autoSpaceDE w:val="0"/>
              <w:autoSpaceDN w:val="0"/>
              <w:bidi w:val="0"/>
              <w:adjustRightInd w:val="0"/>
              <w:snapToGrid w:val="0"/>
              <w:spacing w:line="400" w:lineRule="exact"/>
              <w:ind w:left="118" w:right="106" w:firstLine="546" w:firstLineChars="200"/>
              <w:jc w:val="both"/>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
                <w:bCs/>
                <w:color w:val="000000"/>
                <w:spacing w:val="-4"/>
                <w:kern w:val="0"/>
                <w:sz w:val="28"/>
                <w:szCs w:val="28"/>
              </w:rPr>
              <w:t>（1）废水：</w:t>
            </w:r>
            <w:r>
              <w:rPr>
                <w:rFonts w:hint="default" w:ascii="Times New Roman" w:hAnsi="Times New Roman" w:eastAsia="仿宋" w:cs="Times New Roman"/>
                <w:color w:val="000000"/>
                <w:spacing w:val="-4"/>
                <w:kern w:val="0"/>
                <w:sz w:val="28"/>
                <w:szCs w:val="28"/>
              </w:rPr>
              <w:t>设备及地面冲洗废水经沉淀后回用于生产；初期</w:t>
            </w:r>
            <w:r>
              <w:rPr>
                <w:rFonts w:hint="default" w:ascii="Times New Roman" w:hAnsi="Times New Roman" w:eastAsia="仿宋" w:cs="Times New Roman"/>
                <w:color w:val="000000"/>
                <w:spacing w:val="-5"/>
                <w:kern w:val="0"/>
                <w:sz w:val="28"/>
                <w:szCs w:val="28"/>
              </w:rPr>
              <w:t>雨水经</w:t>
            </w:r>
            <w:r>
              <w:rPr>
                <w:rFonts w:hint="default" w:ascii="Times New Roman" w:hAnsi="Times New Roman" w:eastAsia="仿宋" w:cs="Times New Roman"/>
                <w:color w:val="000000"/>
                <w:spacing w:val="1"/>
                <w:kern w:val="0"/>
                <w:sz w:val="28"/>
                <w:szCs w:val="28"/>
              </w:rPr>
              <w:t>收集后直接回用于生产，后期雨水直接接管雨水管网；生活污水经化粪池处理后排入市政污水管网系统，接管淮安市第三污水处理厂，尾水处</w:t>
            </w:r>
            <w:r>
              <w:rPr>
                <w:rFonts w:hint="default" w:ascii="Times New Roman" w:hAnsi="Times New Roman" w:eastAsia="仿宋" w:cs="Times New Roman"/>
                <w:color w:val="000000"/>
                <w:spacing w:val="2"/>
                <w:kern w:val="0"/>
                <w:sz w:val="28"/>
                <w:szCs w:val="28"/>
              </w:rPr>
              <w:t>理达《城镇污水处理厂污染物排放标准》（</w:t>
            </w:r>
            <w:r>
              <w:rPr>
                <w:rFonts w:hint="default" w:ascii="Times New Roman" w:hAnsi="Times New Roman" w:eastAsia="仿宋" w:cs="Times New Roman"/>
                <w:color w:val="000000"/>
                <w:kern w:val="0"/>
                <w:sz w:val="28"/>
                <w:szCs w:val="28"/>
              </w:rPr>
              <w:t>GB</w:t>
            </w:r>
            <w:r>
              <w:rPr>
                <w:rFonts w:hint="default" w:ascii="Times New Roman" w:hAnsi="Times New Roman" w:eastAsia="仿宋" w:cs="Times New Roman"/>
                <w:color w:val="000000"/>
                <w:spacing w:val="2"/>
                <w:kern w:val="0"/>
                <w:sz w:val="28"/>
                <w:szCs w:val="28"/>
              </w:rPr>
              <w:t>18918-2002）一级</w:t>
            </w:r>
            <w:r>
              <w:rPr>
                <w:rFonts w:hint="default" w:ascii="Times New Roman" w:hAnsi="Times New Roman" w:eastAsia="仿宋" w:cs="Times New Roman"/>
                <w:color w:val="000000"/>
                <w:spacing w:val="-64"/>
                <w:kern w:val="0"/>
                <w:sz w:val="28"/>
                <w:szCs w:val="28"/>
              </w:rPr>
              <w:t xml:space="preserve"> </w:t>
            </w:r>
            <w:r>
              <w:rPr>
                <w:rFonts w:hint="default" w:ascii="Times New Roman" w:hAnsi="Times New Roman" w:eastAsia="仿宋" w:cs="Times New Roman"/>
                <w:color w:val="000000"/>
                <w:spacing w:val="2"/>
                <w:kern w:val="0"/>
                <w:sz w:val="28"/>
                <w:szCs w:val="28"/>
              </w:rPr>
              <w:t>A标</w:t>
            </w:r>
            <w:r>
              <w:rPr>
                <w:rFonts w:hint="default" w:ascii="Times New Roman" w:hAnsi="Times New Roman" w:eastAsia="仿宋" w:cs="Times New Roman"/>
                <w:color w:val="000000"/>
                <w:spacing w:val="-2"/>
                <w:kern w:val="0"/>
                <w:sz w:val="28"/>
                <w:szCs w:val="28"/>
              </w:rPr>
              <w:t>准后排入清安河。</w:t>
            </w:r>
          </w:p>
          <w:p w14:paraId="01711E18">
            <w:pPr>
              <w:keepNext w:val="0"/>
              <w:keepLines w:val="0"/>
              <w:pageBreakBefore w:val="0"/>
              <w:widowControl/>
              <w:kinsoku w:val="0"/>
              <w:wordWrap/>
              <w:overflowPunct/>
              <w:topLinePunct/>
              <w:autoSpaceDE w:val="0"/>
              <w:autoSpaceDN w:val="0"/>
              <w:bidi w:val="0"/>
              <w:adjustRightInd w:val="0"/>
              <w:snapToGrid w:val="0"/>
              <w:spacing w:line="400" w:lineRule="exact"/>
              <w:ind w:left="113" w:right="106" w:firstLine="546" w:firstLineChars="200"/>
              <w:jc w:val="both"/>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
                <w:bCs/>
                <w:color w:val="000000"/>
                <w:spacing w:val="-4"/>
                <w:kern w:val="0"/>
                <w:sz w:val="28"/>
                <w:szCs w:val="28"/>
              </w:rPr>
              <w:t>（2）废气</w:t>
            </w:r>
            <w:r>
              <w:rPr>
                <w:rFonts w:hint="default" w:ascii="Times New Roman" w:hAnsi="Times New Roman" w:eastAsia="仿宋" w:cs="Times New Roman"/>
                <w:color w:val="000000"/>
                <w:spacing w:val="-4"/>
                <w:kern w:val="0"/>
                <w:sz w:val="28"/>
                <w:szCs w:val="28"/>
              </w:rPr>
              <w:t>：搅拌混合、破碎等生产工艺中产生的废气经布袋除尘器</w:t>
            </w:r>
            <w:r>
              <w:rPr>
                <w:rFonts w:hint="default" w:ascii="Times New Roman" w:hAnsi="Times New Roman" w:eastAsia="仿宋" w:cs="Times New Roman"/>
                <w:color w:val="000000"/>
                <w:spacing w:val="-2"/>
                <w:kern w:val="0"/>
                <w:sz w:val="28"/>
                <w:szCs w:val="28"/>
              </w:rPr>
              <w:t>处理后由1#排气筒排放（15m</w:t>
            </w:r>
            <w:r>
              <w:rPr>
                <w:rFonts w:hint="default" w:ascii="Times New Roman" w:hAnsi="Times New Roman" w:eastAsia="仿宋" w:cs="Times New Roman"/>
                <w:color w:val="000000"/>
                <w:spacing w:val="11"/>
                <w:kern w:val="0"/>
                <w:sz w:val="28"/>
                <w:szCs w:val="28"/>
              </w:rPr>
              <w:t>），</w:t>
            </w:r>
            <w:r>
              <w:rPr>
                <w:rFonts w:hint="default" w:ascii="Times New Roman" w:hAnsi="Times New Roman" w:eastAsia="仿宋" w:cs="Times New Roman"/>
                <w:color w:val="000000"/>
                <w:spacing w:val="-2"/>
                <w:kern w:val="0"/>
                <w:sz w:val="28"/>
                <w:szCs w:val="28"/>
              </w:rPr>
              <w:t>水泥筒仓废气经布袋除尘器处理后由</w:t>
            </w:r>
            <w:r>
              <w:rPr>
                <w:rFonts w:hint="default" w:ascii="Times New Roman" w:hAnsi="Times New Roman" w:eastAsia="仿宋" w:cs="Times New Roman"/>
                <w:color w:val="000000"/>
                <w:spacing w:val="-1"/>
                <w:kern w:val="0"/>
                <w:sz w:val="28"/>
                <w:szCs w:val="28"/>
              </w:rPr>
              <w:t>2#排气筒排放（15m）。</w:t>
            </w:r>
          </w:p>
          <w:p w14:paraId="04AE4F71">
            <w:pPr>
              <w:keepNext w:val="0"/>
              <w:keepLines w:val="0"/>
              <w:pageBreakBefore w:val="0"/>
              <w:widowControl/>
              <w:kinsoku w:val="0"/>
              <w:wordWrap/>
              <w:overflowPunct/>
              <w:topLinePunct/>
              <w:autoSpaceDE w:val="0"/>
              <w:autoSpaceDN w:val="0"/>
              <w:bidi w:val="0"/>
              <w:adjustRightInd w:val="0"/>
              <w:snapToGrid w:val="0"/>
              <w:spacing w:line="400" w:lineRule="exact"/>
              <w:ind w:left="120" w:right="106" w:firstLine="546" w:firstLineChars="200"/>
              <w:jc w:val="both"/>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
                <w:bCs/>
                <w:color w:val="000000"/>
                <w:spacing w:val="-4"/>
                <w:kern w:val="0"/>
                <w:sz w:val="28"/>
                <w:szCs w:val="28"/>
              </w:rPr>
              <w:t>（3）噪声：</w:t>
            </w:r>
            <w:r>
              <w:rPr>
                <w:rFonts w:hint="default" w:ascii="Times New Roman" w:hAnsi="Times New Roman" w:eastAsia="仿宋" w:cs="Times New Roman"/>
                <w:color w:val="000000"/>
                <w:spacing w:val="-4"/>
                <w:kern w:val="0"/>
                <w:sz w:val="28"/>
                <w:szCs w:val="28"/>
              </w:rPr>
              <w:t>选用低噪声设备。使用减震垫、隔声罩，合理布</w:t>
            </w:r>
            <w:r>
              <w:rPr>
                <w:rFonts w:hint="default" w:ascii="Times New Roman" w:hAnsi="Times New Roman" w:eastAsia="仿宋" w:cs="Times New Roman"/>
                <w:color w:val="000000"/>
                <w:spacing w:val="-5"/>
                <w:kern w:val="0"/>
                <w:sz w:val="28"/>
                <w:szCs w:val="28"/>
              </w:rPr>
              <w:t>局，建</w:t>
            </w:r>
            <w:r>
              <w:rPr>
                <w:rFonts w:hint="default" w:ascii="Times New Roman" w:hAnsi="Times New Roman" w:eastAsia="仿宋" w:cs="Times New Roman"/>
                <w:color w:val="000000"/>
                <w:spacing w:val="-1"/>
                <w:kern w:val="0"/>
                <w:sz w:val="28"/>
                <w:szCs w:val="28"/>
              </w:rPr>
              <w:t>筑隔声，厂区四周种植绿化带等。减少对周边厂界环境的影响。</w:t>
            </w:r>
          </w:p>
          <w:p w14:paraId="348BF87C">
            <w:pPr>
              <w:keepNext w:val="0"/>
              <w:keepLines w:val="0"/>
              <w:pageBreakBefore w:val="0"/>
              <w:widowControl/>
              <w:kinsoku w:val="0"/>
              <w:wordWrap/>
              <w:overflowPunct/>
              <w:topLinePunct/>
              <w:autoSpaceDE w:val="0"/>
              <w:autoSpaceDN w:val="0"/>
              <w:bidi w:val="0"/>
              <w:adjustRightInd w:val="0"/>
              <w:snapToGrid w:val="0"/>
              <w:spacing w:line="400" w:lineRule="exact"/>
              <w:ind w:left="115" w:right="8" w:firstLine="546" w:firstLineChars="200"/>
              <w:jc w:val="both"/>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
                <w:bCs/>
                <w:color w:val="000000"/>
                <w:spacing w:val="-4"/>
                <w:kern w:val="0"/>
                <w:sz w:val="28"/>
                <w:szCs w:val="28"/>
              </w:rPr>
              <w:t>（4）固体废物：</w:t>
            </w:r>
            <w:r>
              <w:rPr>
                <w:rFonts w:hint="default" w:ascii="Times New Roman" w:hAnsi="Times New Roman" w:eastAsia="仿宋" w:cs="Times New Roman"/>
                <w:color w:val="000000"/>
                <w:spacing w:val="-4"/>
                <w:kern w:val="0"/>
                <w:sz w:val="28"/>
                <w:szCs w:val="28"/>
              </w:rPr>
              <w:t>废包装袋、废包装桶、废模具</w:t>
            </w:r>
            <w:r>
              <w:rPr>
                <w:rFonts w:hint="default" w:ascii="Times New Roman" w:hAnsi="Times New Roman" w:eastAsia="仿宋" w:cs="Times New Roman"/>
                <w:color w:val="000000"/>
                <w:spacing w:val="-5"/>
                <w:kern w:val="0"/>
                <w:sz w:val="28"/>
                <w:szCs w:val="28"/>
              </w:rPr>
              <w:t>委托淮安华昌固废处</w:t>
            </w:r>
            <w:r>
              <w:rPr>
                <w:rFonts w:hint="default" w:ascii="Times New Roman" w:hAnsi="Times New Roman" w:eastAsia="仿宋" w:cs="Times New Roman"/>
                <w:color w:val="000000"/>
                <w:spacing w:val="-4"/>
                <w:kern w:val="0"/>
                <w:sz w:val="28"/>
                <w:szCs w:val="28"/>
              </w:rPr>
              <w:t>置有限公司进行处置；生活垃圾委托当地环卫部门</w:t>
            </w:r>
            <w:r>
              <w:rPr>
                <w:rFonts w:hint="default" w:ascii="Times New Roman" w:hAnsi="Times New Roman" w:eastAsia="仿宋" w:cs="Times New Roman"/>
                <w:color w:val="000000"/>
                <w:spacing w:val="-5"/>
                <w:kern w:val="0"/>
                <w:sz w:val="28"/>
                <w:szCs w:val="28"/>
              </w:rPr>
              <w:t>统一收集处理；废砖、</w:t>
            </w:r>
            <w:r>
              <w:rPr>
                <w:rFonts w:hint="default" w:ascii="Times New Roman" w:hAnsi="Times New Roman" w:eastAsia="仿宋" w:cs="Times New Roman"/>
                <w:color w:val="000000"/>
                <w:spacing w:val="-1"/>
                <w:kern w:val="0"/>
                <w:sz w:val="28"/>
                <w:szCs w:val="28"/>
              </w:rPr>
              <w:t>除尘灰以及沉淀沉渣均全部回用于本项目制砖生产。</w:t>
            </w:r>
          </w:p>
          <w:p w14:paraId="49D42878">
            <w:pPr>
              <w:keepNext w:val="0"/>
              <w:keepLines w:val="0"/>
              <w:pageBreakBefore w:val="0"/>
              <w:widowControl/>
              <w:kinsoku w:val="0"/>
              <w:wordWrap/>
              <w:overflowPunct/>
              <w:topLinePunct/>
              <w:autoSpaceDE w:val="0"/>
              <w:autoSpaceDN w:val="0"/>
              <w:bidi w:val="0"/>
              <w:adjustRightInd w:val="0"/>
              <w:snapToGrid w:val="0"/>
              <w:spacing w:line="400" w:lineRule="exact"/>
              <w:ind w:left="118" w:right="106" w:firstLine="542" w:firstLineChars="200"/>
              <w:jc w:val="both"/>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b/>
                <w:bCs/>
                <w:color w:val="000000"/>
                <w:spacing w:val="-5"/>
                <w:kern w:val="0"/>
                <w:sz w:val="28"/>
                <w:szCs w:val="28"/>
              </w:rPr>
              <w:t>（5）土壤及地下水防治措施：</w:t>
            </w:r>
            <w:r>
              <w:rPr>
                <w:rFonts w:hint="default" w:ascii="Times New Roman" w:hAnsi="Times New Roman" w:eastAsia="仿宋" w:cs="Times New Roman"/>
                <w:color w:val="000000"/>
                <w:spacing w:val="-5"/>
                <w:kern w:val="0"/>
                <w:sz w:val="28"/>
                <w:szCs w:val="28"/>
              </w:rPr>
              <w:t>本项目在经营过程中可能出现极少的</w:t>
            </w:r>
            <w:r>
              <w:rPr>
                <w:rFonts w:hint="default" w:ascii="Times New Roman" w:hAnsi="Times New Roman" w:eastAsia="仿宋" w:cs="Times New Roman"/>
                <w:color w:val="000000"/>
                <w:spacing w:val="1"/>
                <w:kern w:val="0"/>
                <w:sz w:val="28"/>
                <w:szCs w:val="28"/>
              </w:rPr>
              <w:t>跑冒滴漏、雨水的浸淋、溢流等情况，会污染土壤及地下水，进而流入周边的河流，同时会影响到土壤和地下水，造成周边区域土壤和地下水</w:t>
            </w:r>
            <w:r>
              <w:rPr>
                <w:rFonts w:hint="default" w:ascii="Times New Roman" w:hAnsi="Times New Roman" w:eastAsia="仿宋" w:cs="Times New Roman"/>
                <w:color w:val="000000"/>
                <w:spacing w:val="-2"/>
                <w:kern w:val="0"/>
                <w:sz w:val="28"/>
                <w:szCs w:val="28"/>
              </w:rPr>
              <w:t>环境的污染。</w:t>
            </w:r>
          </w:p>
          <w:p w14:paraId="6E3952AD">
            <w:pPr>
              <w:keepNext w:val="0"/>
              <w:keepLines w:val="0"/>
              <w:pageBreakBefore w:val="0"/>
              <w:widowControl/>
              <w:kinsoku w:val="0"/>
              <w:wordWrap/>
              <w:overflowPunct/>
              <w:topLinePunct/>
              <w:autoSpaceDE w:val="0"/>
              <w:autoSpaceDN w:val="0"/>
              <w:bidi w:val="0"/>
              <w:adjustRightInd w:val="0"/>
              <w:snapToGrid w:val="0"/>
              <w:spacing w:line="400" w:lineRule="exact"/>
              <w:ind w:left="119" w:right="106" w:firstLine="564" w:firstLineChars="200"/>
              <w:jc w:val="both"/>
              <w:textAlignment w:val="baseline"/>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spacing w:val="1"/>
                <w:kern w:val="0"/>
                <w:sz w:val="28"/>
                <w:szCs w:val="28"/>
              </w:rPr>
              <w:t>措施：①对危险废物暂存库地面及墙裙、危险废物处置利用车间地</w:t>
            </w:r>
            <w:r>
              <w:rPr>
                <w:rFonts w:hint="default" w:ascii="Times New Roman" w:hAnsi="Times New Roman" w:eastAsia="仿宋" w:cs="Times New Roman"/>
                <w:color w:val="000000"/>
                <w:spacing w:val="-1"/>
                <w:kern w:val="0"/>
                <w:sz w:val="28"/>
                <w:szCs w:val="28"/>
              </w:rPr>
              <w:t>面及墙裙进行环氧防渗漏处理；</w:t>
            </w:r>
          </w:p>
          <w:p w14:paraId="370CFD9C">
            <w:pPr>
              <w:keepNext w:val="0"/>
              <w:keepLines w:val="0"/>
              <w:pageBreakBefore w:val="0"/>
              <w:wordWrap/>
              <w:overflowPunct/>
              <w:bidi w:val="0"/>
              <w:spacing w:line="400" w:lineRule="exact"/>
              <w:ind w:firstLine="560" w:firstLineChars="200"/>
              <w:jc w:val="both"/>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②对危险废物储运过程涉及的厂区道路进行环氧防渗漏处理；</w:t>
            </w:r>
          </w:p>
          <w:p w14:paraId="21C7FC91">
            <w:pPr>
              <w:keepNext w:val="0"/>
              <w:keepLines w:val="0"/>
              <w:pageBreakBefore w:val="0"/>
              <w:wordWrap/>
              <w:overflowPunct/>
              <w:bidi w:val="0"/>
              <w:spacing w:line="400" w:lineRule="exact"/>
              <w:ind w:firstLine="560" w:firstLineChars="200"/>
              <w:jc w:val="both"/>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③对废水池、渗滤液池及沟槽进行环氧防渗漏处理；</w:t>
            </w:r>
          </w:p>
          <w:p w14:paraId="07CED83F">
            <w:pPr>
              <w:keepNext w:val="0"/>
              <w:keepLines w:val="0"/>
              <w:pageBreakBefore w:val="0"/>
              <w:wordWrap/>
              <w:overflowPunct/>
              <w:bidi w:val="0"/>
              <w:spacing w:line="400" w:lineRule="exact"/>
              <w:ind w:firstLine="560" w:firstLineChars="200"/>
              <w:jc w:val="both"/>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④对实验室地面及墙裙进行环氧防渗漏处理；</w:t>
            </w:r>
          </w:p>
          <w:p w14:paraId="70D3CA38">
            <w:pPr>
              <w:keepNext w:val="0"/>
              <w:keepLines w:val="0"/>
              <w:pageBreakBefore w:val="0"/>
              <w:wordWrap/>
              <w:overflowPunct/>
              <w:bidi w:val="0"/>
              <w:spacing w:line="400" w:lineRule="exact"/>
              <w:ind w:firstLine="560" w:firstLineChars="200"/>
              <w:jc w:val="both"/>
              <w:rPr>
                <w:rFonts w:hint="default" w:ascii="Times New Roman" w:hAnsi="Times New Roman" w:eastAsia="仿宋" w:cs="Times New Roman"/>
                <w:sz w:val="28"/>
                <w:szCs w:val="28"/>
              </w:rPr>
            </w:pPr>
            <w:r>
              <w:rPr>
                <w:rFonts w:hint="default" w:ascii="Times New Roman" w:hAnsi="Times New Roman" w:eastAsia="仿宋" w:cs="Times New Roman"/>
                <w:sz w:val="28"/>
                <w:szCs w:val="28"/>
              </w:rPr>
              <w:t>⑤按照国家或地方有关法规标准、导则、技术指南委托资质机构完成土壤和地下水自行监测并编制自行监测方案、自行监测报告。</w:t>
            </w:r>
          </w:p>
          <w:p w14:paraId="35FE9239">
            <w:pPr>
              <w:keepNext w:val="0"/>
              <w:keepLines w:val="0"/>
              <w:pageBreakBefore w:val="0"/>
              <w:wordWrap/>
              <w:overflowPunct/>
              <w:bidi w:val="0"/>
              <w:spacing w:line="400" w:lineRule="exact"/>
              <w:ind w:firstLine="560" w:firstLine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rPr>
              <w:t>3</w:t>
            </w:r>
            <w:r>
              <w:rPr>
                <w:rFonts w:hint="eastAsia" w:ascii="Times New Roman" w:hAnsi="Times New Roman" w:eastAsia="方正小标宋_GBK" w:cs="Times New Roman"/>
                <w:sz w:val="28"/>
                <w:szCs w:val="28"/>
                <w:lang w:val="en-US" w:eastAsia="zh-CN"/>
              </w:rPr>
              <w:t>.</w:t>
            </w:r>
            <w:r>
              <w:rPr>
                <w:rFonts w:hint="default" w:ascii="Times New Roman" w:hAnsi="Times New Roman" w:eastAsia="方正小标宋_GBK" w:cs="Times New Roman"/>
                <w:sz w:val="28"/>
                <w:szCs w:val="28"/>
              </w:rPr>
              <w:t>污染防治效果（监测数据）</w:t>
            </w:r>
          </w:p>
          <w:p w14:paraId="108E653F">
            <w:pPr>
              <w:keepNext w:val="0"/>
              <w:keepLines w:val="0"/>
              <w:pageBreakBefore w:val="0"/>
              <w:wordWrap/>
              <w:overflowPunct/>
              <w:bidi w:val="0"/>
              <w:spacing w:line="400" w:lineRule="exact"/>
              <w:ind w:firstLine="562" w:firstLineChars="200"/>
              <w:jc w:val="both"/>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（1）废水：</w:t>
            </w:r>
            <w:r>
              <w:rPr>
                <w:rFonts w:hint="default" w:ascii="Times New Roman" w:hAnsi="Times New Roman" w:eastAsia="仿宋" w:cs="Times New Roman"/>
                <w:sz w:val="28"/>
                <w:szCs w:val="28"/>
              </w:rPr>
              <w:t>公司2025年5月11日委托江苏华研检测技术有限公司对厂区生活污水排口进行了监测，2024年8月24日委托江苏华研检测技术有限公司对雨水排口进行了监测，监测结果厂区生活污水排口满足淮安市第三污水处理厂接管标准要求，雨水满足《地表水环境质量标准》（GB3838-2002）Ⅲ类水质标准。</w:t>
            </w:r>
          </w:p>
          <w:p w14:paraId="199C948A">
            <w:pPr>
              <w:ind w:firstLine="562" w:firstLineChars="200"/>
              <w:jc w:val="center"/>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表</w:t>
            </w:r>
            <w:r>
              <w:rPr>
                <w:rFonts w:hint="eastAsia" w:ascii="Times New Roman" w:hAnsi="Times New Roman" w:eastAsia="仿宋" w:cs="Times New Roman"/>
                <w:b/>
                <w:bCs/>
                <w:sz w:val="28"/>
                <w:szCs w:val="28"/>
                <w:lang w:val="en-US" w:eastAsia="zh-CN"/>
              </w:rPr>
              <w:t>3</w:t>
            </w:r>
            <w:r>
              <w:rPr>
                <w:rFonts w:hint="default" w:ascii="Times New Roman" w:hAnsi="Times New Roman" w:eastAsia="仿宋" w:cs="Times New Roman"/>
                <w:b/>
                <w:bCs/>
                <w:sz w:val="28"/>
                <w:szCs w:val="28"/>
              </w:rPr>
              <w:t xml:space="preserve">  水质检测结果</w:t>
            </w:r>
          </w:p>
          <w:tbl>
            <w:tblPr>
              <w:tblStyle w:val="4"/>
              <w:tblW w:w="5000"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37"/>
              <w:gridCol w:w="1134"/>
              <w:gridCol w:w="1134"/>
              <w:gridCol w:w="1134"/>
              <w:gridCol w:w="1136"/>
              <w:gridCol w:w="1510"/>
            </w:tblGrid>
            <w:tr w14:paraId="4E94B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000" w:type="pct"/>
                  <w:gridSpan w:val="6"/>
                  <w:tcBorders>
                    <w:top w:val="single" w:color="auto" w:sz="4" w:space="0"/>
                    <w:left w:val="single" w:color="000000" w:sz="2" w:space="0"/>
                    <w:bottom w:val="single" w:color="auto" w:sz="4" w:space="0"/>
                    <w:right w:val="single" w:color="auto" w:sz="4" w:space="0"/>
                  </w:tcBorders>
                  <w:noWrap w:val="0"/>
                  <w:vAlign w:val="center"/>
                </w:tcPr>
                <w:p w14:paraId="06CC96E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DW001    污水排口</w:t>
                  </w:r>
                </w:p>
              </w:tc>
            </w:tr>
            <w:tr w14:paraId="67732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18" w:type="pct"/>
                  <w:vMerge w:val="restart"/>
                  <w:tcBorders>
                    <w:top w:val="single" w:color="auto" w:sz="4" w:space="0"/>
                    <w:left w:val="single" w:color="auto" w:sz="4" w:space="0"/>
                    <w:bottom w:val="single" w:color="auto" w:sz="4" w:space="0"/>
                    <w:right w:val="single" w:color="auto" w:sz="4" w:space="0"/>
                  </w:tcBorders>
                  <w:noWrap w:val="0"/>
                  <w:vAlign w:val="center"/>
                </w:tcPr>
                <w:p w14:paraId="2CD5A8FB">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检测项目</w:t>
                  </w:r>
                </w:p>
              </w:tc>
              <w:tc>
                <w:tcPr>
                  <w:tcW w:w="653" w:type="pct"/>
                  <w:vMerge w:val="restart"/>
                  <w:tcBorders>
                    <w:top w:val="single" w:color="auto" w:sz="4" w:space="0"/>
                    <w:left w:val="single" w:color="auto" w:sz="4" w:space="0"/>
                    <w:bottom w:val="single" w:color="auto" w:sz="4" w:space="0"/>
                    <w:right w:val="single" w:color="auto" w:sz="4" w:space="0"/>
                  </w:tcBorders>
                  <w:noWrap w:val="0"/>
                  <w:vAlign w:val="center"/>
                </w:tcPr>
                <w:p w14:paraId="23B9872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单位</w:t>
                  </w:r>
                </w:p>
              </w:tc>
              <w:tc>
                <w:tcPr>
                  <w:tcW w:w="1960" w:type="pct"/>
                  <w:gridSpan w:val="3"/>
                  <w:tcBorders>
                    <w:top w:val="single" w:color="auto" w:sz="4" w:space="0"/>
                    <w:left w:val="single" w:color="auto" w:sz="4" w:space="0"/>
                    <w:bottom w:val="single" w:color="auto" w:sz="4" w:space="0"/>
                    <w:right w:val="single" w:color="auto" w:sz="4" w:space="0"/>
                  </w:tcBorders>
                  <w:noWrap w:val="0"/>
                  <w:vAlign w:val="center"/>
                </w:tcPr>
                <w:p w14:paraId="34B0F4E6">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检测结果</w:t>
                  </w:r>
                </w:p>
              </w:tc>
              <w:tc>
                <w:tcPr>
                  <w:tcW w:w="869" w:type="pct"/>
                  <w:vMerge w:val="restart"/>
                  <w:tcBorders>
                    <w:top w:val="single" w:color="auto" w:sz="4" w:space="0"/>
                    <w:left w:val="single" w:color="auto" w:sz="4" w:space="0"/>
                    <w:bottom w:val="single" w:color="auto" w:sz="4" w:space="0"/>
                    <w:right w:val="single" w:color="auto" w:sz="4" w:space="0"/>
                  </w:tcBorders>
                  <w:noWrap w:val="0"/>
                  <w:vAlign w:val="center"/>
                </w:tcPr>
                <w:p w14:paraId="0CFFEF26">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限值浓度</w:t>
                  </w:r>
                </w:p>
              </w:tc>
            </w:tr>
            <w:tr w14:paraId="4A36E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18" w:type="pct"/>
                  <w:vMerge w:val="continue"/>
                  <w:tcBorders>
                    <w:top w:val="single" w:color="auto" w:sz="4" w:space="0"/>
                    <w:left w:val="single" w:color="auto" w:sz="4" w:space="0"/>
                    <w:bottom w:val="single" w:color="auto" w:sz="4" w:space="0"/>
                    <w:right w:val="single" w:color="auto" w:sz="4" w:space="0"/>
                  </w:tcBorders>
                  <w:noWrap w:val="0"/>
                  <w:vAlign w:val="center"/>
                </w:tcPr>
                <w:p w14:paraId="74AE19E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53" w:type="pct"/>
                  <w:vMerge w:val="continue"/>
                  <w:tcBorders>
                    <w:top w:val="single" w:color="auto" w:sz="4" w:space="0"/>
                    <w:left w:val="single" w:color="auto" w:sz="4" w:space="0"/>
                    <w:bottom w:val="single" w:color="auto" w:sz="4" w:space="0"/>
                    <w:right w:val="single" w:color="auto" w:sz="4" w:space="0"/>
                  </w:tcBorders>
                  <w:noWrap w:val="0"/>
                  <w:vAlign w:val="center"/>
                </w:tcPr>
                <w:p w14:paraId="4168BA8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1960" w:type="pct"/>
                  <w:gridSpan w:val="3"/>
                  <w:tcBorders>
                    <w:top w:val="single" w:color="auto" w:sz="4" w:space="0"/>
                    <w:left w:val="single" w:color="auto" w:sz="4" w:space="0"/>
                    <w:bottom w:val="single" w:color="auto" w:sz="4" w:space="0"/>
                    <w:right w:val="single" w:color="auto" w:sz="4" w:space="0"/>
                  </w:tcBorders>
                  <w:noWrap w:val="0"/>
                  <w:vAlign w:val="center"/>
                </w:tcPr>
                <w:p w14:paraId="38875F0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2025年5月11日</w:t>
                  </w:r>
                </w:p>
              </w:tc>
              <w:tc>
                <w:tcPr>
                  <w:tcW w:w="869" w:type="pct"/>
                  <w:vMerge w:val="continue"/>
                  <w:tcBorders>
                    <w:top w:val="single" w:color="auto" w:sz="4" w:space="0"/>
                    <w:left w:val="single" w:color="auto" w:sz="4" w:space="0"/>
                    <w:bottom w:val="single" w:color="auto" w:sz="4" w:space="0"/>
                    <w:right w:val="single" w:color="auto" w:sz="4" w:space="0"/>
                  </w:tcBorders>
                  <w:noWrap w:val="0"/>
                  <w:vAlign w:val="center"/>
                </w:tcPr>
                <w:p w14:paraId="7B83A1D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48411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518" w:type="pct"/>
                  <w:vMerge w:val="continue"/>
                  <w:tcBorders>
                    <w:top w:val="single" w:color="auto" w:sz="4" w:space="0"/>
                    <w:left w:val="single" w:color="auto" w:sz="4" w:space="0"/>
                    <w:bottom w:val="single" w:color="auto" w:sz="4" w:space="0"/>
                    <w:right w:val="single" w:color="auto" w:sz="4" w:space="0"/>
                  </w:tcBorders>
                  <w:noWrap w:val="0"/>
                  <w:vAlign w:val="center"/>
                </w:tcPr>
                <w:p w14:paraId="0A7D33E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53" w:type="pct"/>
                  <w:vMerge w:val="continue"/>
                  <w:tcBorders>
                    <w:top w:val="single" w:color="auto" w:sz="4" w:space="0"/>
                    <w:left w:val="single" w:color="auto" w:sz="4" w:space="0"/>
                    <w:bottom w:val="single" w:color="auto" w:sz="4" w:space="0"/>
                    <w:right w:val="single" w:color="auto" w:sz="4" w:space="0"/>
                  </w:tcBorders>
                  <w:noWrap w:val="0"/>
                  <w:vAlign w:val="center"/>
                </w:tcPr>
                <w:p w14:paraId="37C5475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53" w:type="pct"/>
                  <w:tcBorders>
                    <w:top w:val="single" w:color="auto" w:sz="4" w:space="0"/>
                    <w:left w:val="single" w:color="auto" w:sz="4" w:space="0"/>
                    <w:bottom w:val="single" w:color="auto" w:sz="4" w:space="0"/>
                    <w:right w:val="single" w:color="auto" w:sz="4" w:space="0"/>
                  </w:tcBorders>
                  <w:noWrap w:val="0"/>
                  <w:vAlign w:val="center"/>
                </w:tcPr>
                <w:p w14:paraId="124A890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第一次</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3AFAEDB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第二次</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2ED34796">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第三次</w:t>
                  </w:r>
                </w:p>
              </w:tc>
              <w:tc>
                <w:tcPr>
                  <w:tcW w:w="869" w:type="pct"/>
                  <w:vMerge w:val="continue"/>
                  <w:tcBorders>
                    <w:top w:val="single" w:color="auto" w:sz="4" w:space="0"/>
                    <w:left w:val="single" w:color="auto" w:sz="4" w:space="0"/>
                    <w:bottom w:val="single" w:color="auto" w:sz="4" w:space="0"/>
                    <w:right w:val="single" w:color="auto" w:sz="4" w:space="0"/>
                  </w:tcBorders>
                  <w:noWrap w:val="0"/>
                  <w:vAlign w:val="center"/>
                </w:tcPr>
                <w:p w14:paraId="2356BCC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541F7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18" w:type="pct"/>
                  <w:tcBorders>
                    <w:top w:val="single" w:color="auto" w:sz="4" w:space="0"/>
                    <w:left w:val="single" w:color="auto" w:sz="4" w:space="0"/>
                    <w:bottom w:val="single" w:color="auto" w:sz="4" w:space="0"/>
                    <w:right w:val="single" w:color="auto" w:sz="4" w:space="0"/>
                  </w:tcBorders>
                  <w:noWrap w:val="0"/>
                  <w:vAlign w:val="center"/>
                </w:tcPr>
                <w:p w14:paraId="138C4A1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pH 值</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1563C38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无量纲</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2486709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6.9</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7105758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7.0</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1E63F6A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7.4</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3940E8B6">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6-9</w:t>
                  </w:r>
                </w:p>
              </w:tc>
            </w:tr>
            <w:tr w14:paraId="793A6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18" w:type="pct"/>
                  <w:tcBorders>
                    <w:top w:val="single" w:color="auto" w:sz="4" w:space="0"/>
                    <w:left w:val="single" w:color="auto" w:sz="4" w:space="0"/>
                    <w:bottom w:val="single" w:color="auto" w:sz="4" w:space="0"/>
                    <w:right w:val="single" w:color="auto" w:sz="4" w:space="0"/>
                  </w:tcBorders>
                  <w:noWrap w:val="0"/>
                  <w:vAlign w:val="center"/>
                </w:tcPr>
                <w:p w14:paraId="3671B36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悬浮物</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35F8C61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mg/L</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3868E02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22</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4327820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21</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2891B42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31</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703150B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200</w:t>
                  </w:r>
                </w:p>
              </w:tc>
            </w:tr>
            <w:tr w14:paraId="74826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518" w:type="pct"/>
                  <w:tcBorders>
                    <w:top w:val="single" w:color="auto" w:sz="4" w:space="0"/>
                    <w:left w:val="single" w:color="auto" w:sz="4" w:space="0"/>
                    <w:bottom w:val="single" w:color="auto" w:sz="4" w:space="0"/>
                    <w:right w:val="single" w:color="auto" w:sz="4" w:space="0"/>
                  </w:tcBorders>
                  <w:noWrap w:val="0"/>
                  <w:vAlign w:val="center"/>
                </w:tcPr>
                <w:p w14:paraId="09A218D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五日生化需氧量</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3DD3000F">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mg/L</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7EC7896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12.1</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5398D41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14.4</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6CFD4D7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13.2</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016BD01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200</w:t>
                  </w:r>
                </w:p>
              </w:tc>
            </w:tr>
            <w:tr w14:paraId="622E3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18" w:type="pct"/>
                  <w:tcBorders>
                    <w:top w:val="single" w:color="auto" w:sz="4" w:space="0"/>
                    <w:left w:val="single" w:color="auto" w:sz="4" w:space="0"/>
                    <w:bottom w:val="single" w:color="auto" w:sz="4" w:space="0"/>
                    <w:right w:val="single" w:color="auto" w:sz="4" w:space="0"/>
                  </w:tcBorders>
                  <w:noWrap w:val="0"/>
                  <w:vAlign w:val="center"/>
                </w:tcPr>
                <w:p w14:paraId="523AB3C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化学需氧量</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357C275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mg/L</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76208AA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23</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31C17CF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32</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16D7D1A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33</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30C6CEE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500</w:t>
                  </w:r>
                </w:p>
              </w:tc>
            </w:tr>
            <w:tr w14:paraId="3BCC8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18" w:type="pct"/>
                  <w:tcBorders>
                    <w:top w:val="single" w:color="auto" w:sz="4" w:space="0"/>
                    <w:left w:val="single" w:color="auto" w:sz="4" w:space="0"/>
                    <w:bottom w:val="single" w:color="auto" w:sz="4" w:space="0"/>
                    <w:right w:val="single" w:color="auto" w:sz="4" w:space="0"/>
                  </w:tcBorders>
                  <w:noWrap w:val="0"/>
                  <w:vAlign w:val="center"/>
                </w:tcPr>
                <w:p w14:paraId="2E967A5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总磷</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0254F32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mg/L</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3E0724F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0.11</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4D9D6E7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0.14</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43B753B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0.11</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4FD9415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5</w:t>
                  </w:r>
                </w:p>
              </w:tc>
            </w:tr>
            <w:tr w14:paraId="384C1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518" w:type="pct"/>
                  <w:tcBorders>
                    <w:top w:val="single" w:color="auto" w:sz="4" w:space="0"/>
                    <w:left w:val="single" w:color="auto" w:sz="4" w:space="0"/>
                    <w:bottom w:val="single" w:color="auto" w:sz="4" w:space="0"/>
                    <w:right w:val="single" w:color="auto" w:sz="4" w:space="0"/>
                  </w:tcBorders>
                  <w:noWrap w:val="0"/>
                  <w:vAlign w:val="center"/>
                </w:tcPr>
                <w:p w14:paraId="4E27991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总氮</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1CB36FC6">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mg/L</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492849DD">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2.48</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046BE1E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3.55</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4E393AC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3.55</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497C1E2D">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45</w:t>
                  </w:r>
                </w:p>
              </w:tc>
            </w:tr>
            <w:tr w14:paraId="528FB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9" w:hRule="atLeast"/>
              </w:trPr>
              <w:tc>
                <w:tcPr>
                  <w:tcW w:w="1518" w:type="pct"/>
                  <w:tcBorders>
                    <w:top w:val="single" w:color="auto" w:sz="4" w:space="0"/>
                    <w:left w:val="single" w:color="auto" w:sz="4" w:space="0"/>
                    <w:bottom w:val="single" w:color="auto" w:sz="4" w:space="0"/>
                    <w:right w:val="single" w:color="auto" w:sz="4" w:space="0"/>
                  </w:tcBorders>
                  <w:noWrap w:val="0"/>
                  <w:vAlign w:val="center"/>
                </w:tcPr>
                <w:p w14:paraId="1B81B396">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氨氮</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0F9CB72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mg/L</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3F48942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0.591</w:t>
                  </w:r>
                </w:p>
              </w:tc>
              <w:tc>
                <w:tcPr>
                  <w:tcW w:w="653" w:type="pct"/>
                  <w:tcBorders>
                    <w:top w:val="single" w:color="auto" w:sz="4" w:space="0"/>
                    <w:left w:val="single" w:color="auto" w:sz="4" w:space="0"/>
                    <w:bottom w:val="single" w:color="auto" w:sz="4" w:space="0"/>
                    <w:right w:val="single" w:color="auto" w:sz="4" w:space="0"/>
                  </w:tcBorders>
                  <w:noWrap w:val="0"/>
                  <w:vAlign w:val="center"/>
                </w:tcPr>
                <w:p w14:paraId="6ABD9DE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0.489</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5C23A69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0.684</w:t>
                  </w:r>
                </w:p>
              </w:tc>
              <w:tc>
                <w:tcPr>
                  <w:tcW w:w="869" w:type="pct"/>
                  <w:tcBorders>
                    <w:top w:val="single" w:color="auto" w:sz="4" w:space="0"/>
                    <w:left w:val="single" w:color="auto" w:sz="4" w:space="0"/>
                    <w:bottom w:val="single" w:color="auto" w:sz="4" w:space="0"/>
                    <w:right w:val="single" w:color="auto" w:sz="4" w:space="0"/>
                  </w:tcBorders>
                  <w:noWrap w:val="0"/>
                  <w:vAlign w:val="center"/>
                </w:tcPr>
                <w:p w14:paraId="51C42E3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35</w:t>
                  </w:r>
                </w:p>
              </w:tc>
            </w:tr>
          </w:tbl>
          <w:p w14:paraId="58A4F506">
            <w:pPr>
              <w:widowControl/>
              <w:kinsoku w:val="0"/>
              <w:topLinePunct/>
              <w:autoSpaceDE w:val="0"/>
              <w:autoSpaceDN w:val="0"/>
              <w:adjustRightInd w:val="0"/>
              <w:snapToGrid w:val="0"/>
              <w:spacing w:before="145" w:line="240" w:lineRule="auto"/>
              <w:jc w:val="center"/>
              <w:textAlignment w:val="baseline"/>
              <w:rPr>
                <w:rFonts w:hint="eastAsia" w:ascii="Times New Roman" w:hAnsi="Times New Roman" w:eastAsia="仿宋"/>
                <w:color w:val="000000"/>
                <w:kern w:val="0"/>
                <w:sz w:val="28"/>
                <w:szCs w:val="28"/>
              </w:rPr>
            </w:pPr>
            <w:r>
              <w:rPr>
                <w:rFonts w:ascii="Times New Roman" w:hAnsi="Times New Roman" w:eastAsia="仿宋"/>
                <w:b/>
                <w:bCs/>
                <w:color w:val="000000"/>
                <w:spacing w:val="-3"/>
                <w:kern w:val="0"/>
                <w:sz w:val="28"/>
                <w:szCs w:val="28"/>
              </w:rPr>
              <w:t>表</w:t>
            </w:r>
            <w:r>
              <w:rPr>
                <w:rFonts w:hint="eastAsia" w:ascii="Times New Roman" w:hAnsi="Times New Roman" w:eastAsia="仿宋"/>
                <w:b/>
                <w:bCs/>
                <w:color w:val="000000"/>
                <w:spacing w:val="-3"/>
                <w:kern w:val="0"/>
                <w:sz w:val="28"/>
                <w:szCs w:val="28"/>
                <w:lang w:val="en-US" w:eastAsia="zh-CN"/>
              </w:rPr>
              <w:t>4</w:t>
            </w:r>
            <w:r>
              <w:rPr>
                <w:rFonts w:ascii="Times New Roman" w:hAnsi="Times New Roman" w:eastAsia="仿宋"/>
                <w:b/>
                <w:bCs/>
                <w:color w:val="000000"/>
                <w:spacing w:val="-3"/>
                <w:kern w:val="0"/>
                <w:sz w:val="28"/>
                <w:szCs w:val="28"/>
              </w:rPr>
              <w:t xml:space="preserve">  水质检测结果</w:t>
            </w:r>
          </w:p>
          <w:tbl>
            <w:tblPr>
              <w:tblStyle w:val="4"/>
              <w:tblW w:w="5000"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2"/>
              <w:gridCol w:w="936"/>
              <w:gridCol w:w="3877"/>
              <w:gridCol w:w="1720"/>
            </w:tblGrid>
            <w:tr w14:paraId="70FCC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000" w:type="pct"/>
                  <w:gridSpan w:val="4"/>
                  <w:tcBorders>
                    <w:top w:val="single" w:color="auto" w:sz="4" w:space="0"/>
                    <w:left w:val="single" w:color="000000" w:sz="2" w:space="0"/>
                    <w:bottom w:val="single" w:color="auto" w:sz="4" w:space="0"/>
                    <w:right w:val="single" w:color="auto" w:sz="4" w:space="0"/>
                  </w:tcBorders>
                  <w:noWrap w:val="0"/>
                  <w:vAlign w:val="center"/>
                </w:tcPr>
                <w:p w14:paraId="15DBD5D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DW002  雨水排口</w:t>
                  </w:r>
                </w:p>
              </w:tc>
            </w:tr>
            <w:tr w14:paraId="0EA7B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239" w:type="pct"/>
                  <w:vMerge w:val="restart"/>
                  <w:tcBorders>
                    <w:top w:val="single" w:color="auto" w:sz="4" w:space="0"/>
                    <w:left w:val="single" w:color="auto" w:sz="4" w:space="0"/>
                    <w:bottom w:val="single" w:color="auto" w:sz="4" w:space="0"/>
                    <w:right w:val="single" w:color="auto" w:sz="4" w:space="0"/>
                  </w:tcBorders>
                  <w:noWrap w:val="0"/>
                  <w:vAlign w:val="center"/>
                </w:tcPr>
                <w:p w14:paraId="6B532FA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检测项目</w:t>
                  </w:r>
                </w:p>
              </w:tc>
              <w:tc>
                <w:tcPr>
                  <w:tcW w:w="539" w:type="pct"/>
                  <w:vMerge w:val="restart"/>
                  <w:tcBorders>
                    <w:top w:val="single" w:color="auto" w:sz="4" w:space="0"/>
                    <w:left w:val="single" w:color="auto" w:sz="4" w:space="0"/>
                    <w:bottom w:val="single" w:color="auto" w:sz="4" w:space="0"/>
                    <w:right w:val="single" w:color="auto" w:sz="4" w:space="0"/>
                  </w:tcBorders>
                  <w:noWrap w:val="0"/>
                  <w:vAlign w:val="center"/>
                </w:tcPr>
                <w:p w14:paraId="0B25858D">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单位</w:t>
                  </w:r>
                </w:p>
              </w:tc>
              <w:tc>
                <w:tcPr>
                  <w:tcW w:w="2232" w:type="pct"/>
                  <w:tcBorders>
                    <w:top w:val="single" w:color="auto" w:sz="4" w:space="0"/>
                    <w:left w:val="single" w:color="auto" w:sz="4" w:space="0"/>
                    <w:bottom w:val="single" w:color="auto" w:sz="4" w:space="0"/>
                    <w:right w:val="single" w:color="auto" w:sz="4" w:space="0"/>
                  </w:tcBorders>
                  <w:noWrap w:val="0"/>
                  <w:vAlign w:val="center"/>
                </w:tcPr>
                <w:p w14:paraId="556C57C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检测结果</w:t>
                  </w:r>
                </w:p>
              </w:tc>
              <w:tc>
                <w:tcPr>
                  <w:tcW w:w="990" w:type="pct"/>
                  <w:vMerge w:val="restart"/>
                  <w:tcBorders>
                    <w:top w:val="single" w:color="auto" w:sz="4" w:space="0"/>
                    <w:left w:val="single" w:color="auto" w:sz="4" w:space="0"/>
                    <w:bottom w:val="single" w:color="auto" w:sz="4" w:space="0"/>
                    <w:right w:val="single" w:color="auto" w:sz="4" w:space="0"/>
                  </w:tcBorders>
                  <w:noWrap w:val="0"/>
                  <w:vAlign w:val="center"/>
                </w:tcPr>
                <w:p w14:paraId="419AAB1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限值浓度</w:t>
                  </w:r>
                </w:p>
              </w:tc>
            </w:tr>
            <w:tr w14:paraId="174C9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239" w:type="pct"/>
                  <w:vMerge w:val="continue"/>
                  <w:tcBorders>
                    <w:top w:val="single" w:color="auto" w:sz="4" w:space="0"/>
                    <w:left w:val="single" w:color="auto" w:sz="4" w:space="0"/>
                    <w:bottom w:val="single" w:color="auto" w:sz="4" w:space="0"/>
                    <w:right w:val="single" w:color="auto" w:sz="4" w:space="0"/>
                  </w:tcBorders>
                  <w:noWrap w:val="0"/>
                  <w:vAlign w:val="center"/>
                </w:tcPr>
                <w:p w14:paraId="76CC83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539" w:type="pct"/>
                  <w:vMerge w:val="continue"/>
                  <w:tcBorders>
                    <w:top w:val="single" w:color="auto" w:sz="4" w:space="0"/>
                    <w:left w:val="single" w:color="auto" w:sz="4" w:space="0"/>
                    <w:bottom w:val="single" w:color="auto" w:sz="4" w:space="0"/>
                    <w:right w:val="single" w:color="auto" w:sz="4" w:space="0"/>
                  </w:tcBorders>
                  <w:noWrap w:val="0"/>
                  <w:vAlign w:val="center"/>
                </w:tcPr>
                <w:p w14:paraId="4B92E99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2232" w:type="pct"/>
                  <w:tcBorders>
                    <w:top w:val="single" w:color="auto" w:sz="4" w:space="0"/>
                    <w:left w:val="single" w:color="auto" w:sz="4" w:space="0"/>
                    <w:bottom w:val="single" w:color="auto" w:sz="4" w:space="0"/>
                    <w:right w:val="single" w:color="auto" w:sz="4" w:space="0"/>
                  </w:tcBorders>
                  <w:noWrap w:val="0"/>
                  <w:vAlign w:val="center"/>
                </w:tcPr>
                <w:p w14:paraId="38843FD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2024年8月24日</w:t>
                  </w:r>
                </w:p>
              </w:tc>
              <w:tc>
                <w:tcPr>
                  <w:tcW w:w="990" w:type="pct"/>
                  <w:vMerge w:val="continue"/>
                  <w:tcBorders>
                    <w:top w:val="single" w:color="auto" w:sz="4" w:space="0"/>
                    <w:left w:val="single" w:color="auto" w:sz="4" w:space="0"/>
                    <w:bottom w:val="single" w:color="auto" w:sz="4" w:space="0"/>
                    <w:right w:val="single" w:color="auto" w:sz="4" w:space="0"/>
                  </w:tcBorders>
                  <w:noWrap w:val="0"/>
                  <w:vAlign w:val="center"/>
                </w:tcPr>
                <w:p w14:paraId="16ABD8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7E84B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239" w:type="pct"/>
                  <w:tcBorders>
                    <w:top w:val="single" w:color="auto" w:sz="4" w:space="0"/>
                    <w:left w:val="single" w:color="auto" w:sz="4" w:space="0"/>
                    <w:bottom w:val="single" w:color="auto" w:sz="4" w:space="0"/>
                    <w:right w:val="single" w:color="auto" w:sz="4" w:space="0"/>
                  </w:tcBorders>
                  <w:noWrap w:val="0"/>
                  <w:vAlign w:val="center"/>
                </w:tcPr>
                <w:p w14:paraId="6032740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悬浮物</w:t>
                  </w:r>
                </w:p>
              </w:tc>
              <w:tc>
                <w:tcPr>
                  <w:tcW w:w="539" w:type="pct"/>
                  <w:tcBorders>
                    <w:top w:val="single" w:color="auto" w:sz="4" w:space="0"/>
                    <w:left w:val="single" w:color="auto" w:sz="4" w:space="0"/>
                    <w:bottom w:val="single" w:color="auto" w:sz="4" w:space="0"/>
                    <w:right w:val="single" w:color="auto" w:sz="4" w:space="0"/>
                  </w:tcBorders>
                  <w:noWrap w:val="0"/>
                  <w:vAlign w:val="center"/>
                </w:tcPr>
                <w:p w14:paraId="7D316F6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mg/L</w:t>
                  </w:r>
                </w:p>
              </w:tc>
              <w:tc>
                <w:tcPr>
                  <w:tcW w:w="2232" w:type="pct"/>
                  <w:tcBorders>
                    <w:top w:val="single" w:color="auto" w:sz="4" w:space="0"/>
                    <w:left w:val="single" w:color="auto" w:sz="4" w:space="0"/>
                    <w:bottom w:val="single" w:color="auto" w:sz="4" w:space="0"/>
                    <w:right w:val="single" w:color="auto" w:sz="4" w:space="0"/>
                  </w:tcBorders>
                  <w:noWrap w:val="0"/>
                  <w:vAlign w:val="center"/>
                </w:tcPr>
                <w:p w14:paraId="5320B69F">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13</w:t>
                  </w:r>
                </w:p>
              </w:tc>
              <w:tc>
                <w:tcPr>
                  <w:tcW w:w="990" w:type="pct"/>
                  <w:tcBorders>
                    <w:top w:val="single" w:color="auto" w:sz="4" w:space="0"/>
                    <w:left w:val="single" w:color="auto" w:sz="4" w:space="0"/>
                    <w:bottom w:val="single" w:color="auto" w:sz="4" w:space="0"/>
                    <w:right w:val="single" w:color="auto" w:sz="4" w:space="0"/>
                  </w:tcBorders>
                  <w:noWrap w:val="0"/>
                  <w:vAlign w:val="center"/>
                </w:tcPr>
                <w:p w14:paraId="2504928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w:t>
                  </w:r>
                </w:p>
              </w:tc>
            </w:tr>
            <w:tr w14:paraId="0ABEE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239" w:type="pct"/>
                  <w:tcBorders>
                    <w:top w:val="single" w:color="auto" w:sz="4" w:space="0"/>
                    <w:left w:val="single" w:color="000000" w:sz="2" w:space="0"/>
                    <w:bottom w:val="single" w:color="000000" w:sz="2" w:space="0"/>
                    <w:right w:val="single" w:color="000000" w:sz="2" w:space="0"/>
                  </w:tcBorders>
                  <w:noWrap w:val="0"/>
                  <w:vAlign w:val="center"/>
                </w:tcPr>
                <w:p w14:paraId="2D53738D">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化学需氧量</w:t>
                  </w:r>
                </w:p>
              </w:tc>
              <w:tc>
                <w:tcPr>
                  <w:tcW w:w="539" w:type="pct"/>
                  <w:tcBorders>
                    <w:top w:val="single" w:color="auto" w:sz="4" w:space="0"/>
                    <w:left w:val="single" w:color="000000" w:sz="2" w:space="0"/>
                    <w:bottom w:val="single" w:color="000000" w:sz="2" w:space="0"/>
                    <w:right w:val="single" w:color="000000" w:sz="2" w:space="0"/>
                  </w:tcBorders>
                  <w:noWrap w:val="0"/>
                  <w:vAlign w:val="center"/>
                </w:tcPr>
                <w:p w14:paraId="33E12E3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mg/L</w:t>
                  </w:r>
                </w:p>
              </w:tc>
              <w:tc>
                <w:tcPr>
                  <w:tcW w:w="2232" w:type="pct"/>
                  <w:tcBorders>
                    <w:top w:val="single" w:color="auto" w:sz="4" w:space="0"/>
                    <w:left w:val="single" w:color="000000" w:sz="2" w:space="0"/>
                    <w:bottom w:val="single" w:color="000000" w:sz="2" w:space="0"/>
                    <w:right w:val="single" w:color="000000" w:sz="2" w:space="0"/>
                  </w:tcBorders>
                  <w:noWrap w:val="0"/>
                  <w:vAlign w:val="center"/>
                </w:tcPr>
                <w:p w14:paraId="7D9A11D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15</w:t>
                  </w:r>
                </w:p>
              </w:tc>
              <w:tc>
                <w:tcPr>
                  <w:tcW w:w="990" w:type="pct"/>
                  <w:tcBorders>
                    <w:top w:val="single" w:color="auto" w:sz="4" w:space="0"/>
                    <w:left w:val="single" w:color="000000" w:sz="2" w:space="0"/>
                    <w:bottom w:val="single" w:color="000000" w:sz="2" w:space="0"/>
                    <w:right w:val="single" w:color="000000" w:sz="2" w:space="0"/>
                  </w:tcBorders>
                  <w:noWrap w:val="0"/>
                  <w:vAlign w:val="center"/>
                </w:tcPr>
                <w:p w14:paraId="7B61CD6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20</w:t>
                  </w:r>
                </w:p>
              </w:tc>
            </w:tr>
          </w:tbl>
          <w:p w14:paraId="46FD8A2E">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（2）废气：</w:t>
            </w:r>
            <w:r>
              <w:rPr>
                <w:rFonts w:hint="default" w:ascii="Times New Roman" w:hAnsi="Times New Roman" w:eastAsia="仿宋" w:cs="Times New Roman"/>
                <w:sz w:val="28"/>
                <w:szCs w:val="28"/>
              </w:rPr>
              <w:t>公司2025年5月11日委托江苏华研检测技术有限公司对厂区废气排口及厂界无组织废气进行了监测，监测结果颗粒物满足《砖瓦工业大气污染物排放标准》（GB29620-2013）表2标准，锡及其化合物满足《大气污染物综合排放标准》（DB32/4041-2021）表1污染物排放限值。</w:t>
            </w:r>
          </w:p>
          <w:p w14:paraId="6983F662">
            <w:pPr>
              <w:widowControl/>
              <w:kinsoku w:val="0"/>
              <w:topLinePunct/>
              <w:autoSpaceDE w:val="0"/>
              <w:autoSpaceDN w:val="0"/>
              <w:adjustRightInd w:val="0"/>
              <w:snapToGrid w:val="0"/>
              <w:spacing w:before="145" w:line="240" w:lineRule="auto"/>
              <w:jc w:val="center"/>
              <w:textAlignment w:val="baseline"/>
              <w:rPr>
                <w:rFonts w:ascii="Times New Roman" w:hAnsi="Times New Roman" w:eastAsia="仿宋" w:cs="Times New Roman"/>
                <w:b/>
                <w:bCs/>
                <w:color w:val="000000"/>
                <w:spacing w:val="-3"/>
                <w:kern w:val="0"/>
                <w:sz w:val="28"/>
                <w:szCs w:val="28"/>
              </w:rPr>
            </w:pPr>
            <w:r>
              <w:rPr>
                <w:rFonts w:ascii="Times New Roman" w:hAnsi="Times New Roman" w:eastAsia="仿宋" w:cs="Times New Roman"/>
                <w:b/>
                <w:bCs/>
                <w:color w:val="000000"/>
                <w:spacing w:val="-3"/>
                <w:kern w:val="0"/>
                <w:sz w:val="28"/>
                <w:szCs w:val="28"/>
              </w:rPr>
              <w:t>表</w:t>
            </w:r>
            <w:r>
              <w:rPr>
                <w:rFonts w:hint="eastAsia" w:ascii="Times New Roman" w:hAnsi="Times New Roman" w:eastAsia="仿宋" w:cs="Times New Roman"/>
                <w:b/>
                <w:bCs/>
                <w:color w:val="000000"/>
                <w:spacing w:val="-3"/>
                <w:kern w:val="0"/>
                <w:sz w:val="28"/>
                <w:szCs w:val="28"/>
                <w:lang w:val="en-US" w:eastAsia="zh-CN"/>
              </w:rPr>
              <w:t>5</w:t>
            </w:r>
            <w:r>
              <w:rPr>
                <w:rFonts w:ascii="Times New Roman" w:hAnsi="Times New Roman" w:eastAsia="仿宋" w:cs="Times New Roman"/>
                <w:b/>
                <w:bCs/>
                <w:color w:val="000000"/>
                <w:spacing w:val="-3"/>
                <w:kern w:val="0"/>
                <w:sz w:val="28"/>
                <w:szCs w:val="28"/>
              </w:rPr>
              <w:t xml:space="preserve">  有组织废气监测结果</w:t>
            </w:r>
          </w:p>
          <w:tbl>
            <w:tblPr>
              <w:tblStyle w:val="4"/>
              <w:tblW w:w="5000"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1329"/>
              <w:gridCol w:w="889"/>
              <w:gridCol w:w="1379"/>
              <w:gridCol w:w="1379"/>
              <w:gridCol w:w="1379"/>
              <w:gridCol w:w="1331"/>
            </w:tblGrid>
            <w:tr w14:paraId="04045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000" w:type="pct"/>
                  <w:gridSpan w:val="7"/>
                  <w:tcBorders>
                    <w:top w:val="single" w:color="000000" w:sz="2" w:space="0"/>
                    <w:left w:val="single" w:color="000000" w:sz="2" w:space="0"/>
                    <w:bottom w:val="single" w:color="000000" w:sz="2" w:space="0"/>
                    <w:right w:val="single" w:color="000000" w:sz="2" w:space="0"/>
                  </w:tcBorders>
                  <w:noWrap w:val="0"/>
                  <w:vAlign w:val="center"/>
                </w:tcPr>
                <w:p w14:paraId="261D84E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DA001    1#排气筒</w:t>
                  </w:r>
                </w:p>
              </w:tc>
            </w:tr>
            <w:tr w14:paraId="47850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5" w:type="pct"/>
                  <w:tcBorders>
                    <w:top w:val="single" w:color="000000" w:sz="2" w:space="0"/>
                    <w:left w:val="single" w:color="000000" w:sz="2" w:space="0"/>
                    <w:bottom w:val="single" w:color="000000" w:sz="2" w:space="0"/>
                    <w:right w:val="single" w:color="000000" w:sz="2" w:space="0"/>
                  </w:tcBorders>
                  <w:noWrap w:val="0"/>
                  <w:vAlign w:val="center"/>
                </w:tcPr>
                <w:p w14:paraId="65B8C1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项目</w:t>
                  </w:r>
                </w:p>
              </w:tc>
              <w:tc>
                <w:tcPr>
                  <w:tcW w:w="765" w:type="pct"/>
                  <w:tcBorders>
                    <w:top w:val="single" w:color="000000" w:sz="2" w:space="0"/>
                    <w:left w:val="single" w:color="000000" w:sz="2" w:space="0"/>
                    <w:bottom w:val="single" w:color="000000" w:sz="2" w:space="0"/>
                    <w:right w:val="single" w:color="000000" w:sz="2" w:space="0"/>
                  </w:tcBorders>
                  <w:noWrap w:val="0"/>
                  <w:vAlign w:val="center"/>
                </w:tcPr>
                <w:p w14:paraId="57A7DD9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指标</w:t>
                  </w:r>
                </w:p>
              </w:tc>
              <w:tc>
                <w:tcPr>
                  <w:tcW w:w="512" w:type="pct"/>
                  <w:tcBorders>
                    <w:top w:val="single" w:color="000000" w:sz="2" w:space="0"/>
                    <w:left w:val="single" w:color="000000" w:sz="2" w:space="0"/>
                    <w:bottom w:val="single" w:color="000000" w:sz="2" w:space="0"/>
                    <w:right w:val="single" w:color="000000" w:sz="2" w:space="0"/>
                  </w:tcBorders>
                  <w:noWrap w:val="0"/>
                  <w:vAlign w:val="center"/>
                </w:tcPr>
                <w:p w14:paraId="30EA85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单位</w:t>
                  </w:r>
                </w:p>
              </w:tc>
              <w:tc>
                <w:tcPr>
                  <w:tcW w:w="2382" w:type="pct"/>
                  <w:gridSpan w:val="3"/>
                  <w:tcBorders>
                    <w:top w:val="single" w:color="000000" w:sz="2" w:space="0"/>
                    <w:left w:val="single" w:color="000000" w:sz="2" w:space="0"/>
                    <w:bottom w:val="single" w:color="000000" w:sz="2" w:space="0"/>
                    <w:right w:val="single" w:color="000000" w:sz="2" w:space="0"/>
                  </w:tcBorders>
                  <w:noWrap w:val="0"/>
                  <w:vAlign w:val="center"/>
                </w:tcPr>
                <w:p w14:paraId="04CEABA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监测结果</w:t>
                  </w:r>
                </w:p>
              </w:tc>
              <w:tc>
                <w:tcPr>
                  <w:tcW w:w="766" w:type="pct"/>
                  <w:tcBorders>
                    <w:top w:val="single" w:color="000000" w:sz="2" w:space="0"/>
                    <w:left w:val="single" w:color="000000" w:sz="2" w:space="0"/>
                    <w:bottom w:val="single" w:color="000000" w:sz="2" w:space="0"/>
                    <w:right w:val="single" w:color="000000" w:sz="2" w:space="0"/>
                  </w:tcBorders>
                  <w:noWrap w:val="0"/>
                  <w:vAlign w:val="center"/>
                </w:tcPr>
                <w:p w14:paraId="2A364A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限值浓度</w:t>
                  </w:r>
                </w:p>
              </w:tc>
            </w:tr>
            <w:tr w14:paraId="5DA4C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5" w:type="pct"/>
                  <w:tcBorders>
                    <w:top w:val="single" w:color="000000" w:sz="2" w:space="0"/>
                    <w:left w:val="single" w:color="000000" w:sz="2" w:space="0"/>
                    <w:bottom w:val="single" w:color="000000" w:sz="2" w:space="0"/>
                    <w:right w:val="single" w:color="000000" w:sz="2" w:space="0"/>
                  </w:tcBorders>
                  <w:noWrap w:val="0"/>
                  <w:vAlign w:val="center"/>
                </w:tcPr>
                <w:p w14:paraId="00312A0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颗粒物</w:t>
                  </w:r>
                </w:p>
              </w:tc>
              <w:tc>
                <w:tcPr>
                  <w:tcW w:w="765" w:type="pct"/>
                  <w:tcBorders>
                    <w:top w:val="single" w:color="000000" w:sz="2" w:space="0"/>
                    <w:left w:val="single" w:color="000000" w:sz="2" w:space="0"/>
                    <w:bottom w:val="single" w:color="000000" w:sz="2" w:space="0"/>
                    <w:right w:val="single" w:color="000000" w:sz="2" w:space="0"/>
                  </w:tcBorders>
                  <w:noWrap w:val="0"/>
                  <w:vAlign w:val="center"/>
                </w:tcPr>
                <w:p w14:paraId="303A985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排放浓度</w:t>
                  </w:r>
                </w:p>
              </w:tc>
              <w:tc>
                <w:tcPr>
                  <w:tcW w:w="512" w:type="pct"/>
                  <w:tcBorders>
                    <w:top w:val="single" w:color="000000" w:sz="2" w:space="0"/>
                    <w:left w:val="single" w:color="000000" w:sz="2" w:space="0"/>
                    <w:bottom w:val="single" w:color="000000" w:sz="2" w:space="0"/>
                    <w:right w:val="single" w:color="000000" w:sz="2" w:space="0"/>
                  </w:tcBorders>
                  <w:noWrap w:val="0"/>
                  <w:vAlign w:val="center"/>
                </w:tcPr>
                <w:p w14:paraId="6581AC2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mg/m</w:t>
                  </w:r>
                  <w:r>
                    <w:rPr>
                      <w:rFonts w:ascii="Times New Roman" w:hAnsi="Times New Roman" w:eastAsia="仿宋"/>
                      <w:color w:val="000000"/>
                      <w:sz w:val="24"/>
                      <w:szCs w:val="24"/>
                      <w:vertAlign w:val="superscript"/>
                    </w:rPr>
                    <w:t>3</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2F44AE8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1.4</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5D7478D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2.0</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0A8A934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1.3</w:t>
                  </w:r>
                </w:p>
              </w:tc>
              <w:tc>
                <w:tcPr>
                  <w:tcW w:w="766" w:type="pct"/>
                  <w:tcBorders>
                    <w:top w:val="single" w:color="000000" w:sz="2" w:space="0"/>
                    <w:left w:val="single" w:color="000000" w:sz="2" w:space="0"/>
                    <w:bottom w:val="single" w:color="000000" w:sz="2" w:space="0"/>
                    <w:right w:val="single" w:color="000000" w:sz="2" w:space="0"/>
                  </w:tcBorders>
                  <w:noWrap w:val="0"/>
                  <w:vAlign w:val="center"/>
                </w:tcPr>
                <w:p w14:paraId="53E7DD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30</w:t>
                  </w:r>
                </w:p>
              </w:tc>
            </w:tr>
            <w:tr w14:paraId="3CCA2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75" w:type="pct"/>
                  <w:tcBorders>
                    <w:top w:val="single" w:color="000000" w:sz="2" w:space="0"/>
                    <w:left w:val="single" w:color="000000" w:sz="2" w:space="0"/>
                    <w:bottom w:val="single" w:color="000000" w:sz="2" w:space="0"/>
                    <w:right w:val="single" w:color="000000" w:sz="2" w:space="0"/>
                  </w:tcBorders>
                  <w:noWrap w:val="0"/>
                  <w:vAlign w:val="center"/>
                </w:tcPr>
                <w:p w14:paraId="49A1DF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锡</w:t>
                  </w:r>
                </w:p>
              </w:tc>
              <w:tc>
                <w:tcPr>
                  <w:tcW w:w="765" w:type="pct"/>
                  <w:tcBorders>
                    <w:top w:val="single" w:color="000000" w:sz="2" w:space="0"/>
                    <w:left w:val="single" w:color="000000" w:sz="2" w:space="0"/>
                    <w:bottom w:val="single" w:color="000000" w:sz="2" w:space="0"/>
                    <w:right w:val="single" w:color="000000" w:sz="2" w:space="0"/>
                  </w:tcBorders>
                  <w:noWrap w:val="0"/>
                  <w:vAlign w:val="center"/>
                </w:tcPr>
                <w:p w14:paraId="156189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排放浓度</w:t>
                  </w:r>
                </w:p>
              </w:tc>
              <w:tc>
                <w:tcPr>
                  <w:tcW w:w="512" w:type="pct"/>
                  <w:tcBorders>
                    <w:top w:val="single" w:color="000000" w:sz="2" w:space="0"/>
                    <w:left w:val="single" w:color="000000" w:sz="2" w:space="0"/>
                    <w:bottom w:val="single" w:color="000000" w:sz="2" w:space="0"/>
                    <w:right w:val="single" w:color="000000" w:sz="2" w:space="0"/>
                  </w:tcBorders>
                  <w:noWrap w:val="0"/>
                  <w:vAlign w:val="center"/>
                </w:tcPr>
                <w:p w14:paraId="1846476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mg/m</w:t>
                  </w:r>
                  <w:r>
                    <w:rPr>
                      <w:rFonts w:ascii="Times New Roman" w:hAnsi="Times New Roman" w:eastAsia="仿宋"/>
                      <w:color w:val="000000"/>
                      <w:sz w:val="24"/>
                      <w:szCs w:val="24"/>
                      <w:vertAlign w:val="superscript"/>
                    </w:rPr>
                    <w:t>3</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179D4B0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1B1A7E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Cs w:val="32"/>
                    </w:rPr>
                  </w:pPr>
                  <w:r>
                    <w:rPr>
                      <w:rFonts w:ascii="Times New Roman" w:hAnsi="Times New Roman" w:eastAsia="仿宋"/>
                      <w:color w:val="000000"/>
                      <w:sz w:val="24"/>
                      <w:szCs w:val="24"/>
                    </w:rPr>
                    <w:t>ND</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345A86E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Cs w:val="32"/>
                    </w:rPr>
                  </w:pPr>
                  <w:r>
                    <w:rPr>
                      <w:rFonts w:ascii="Times New Roman" w:hAnsi="Times New Roman" w:eastAsia="仿宋"/>
                      <w:color w:val="000000"/>
                      <w:sz w:val="24"/>
                      <w:szCs w:val="24"/>
                    </w:rPr>
                    <w:t>ND</w:t>
                  </w:r>
                </w:p>
              </w:tc>
              <w:tc>
                <w:tcPr>
                  <w:tcW w:w="766" w:type="pct"/>
                  <w:tcBorders>
                    <w:top w:val="single" w:color="000000" w:sz="2" w:space="0"/>
                    <w:left w:val="single" w:color="000000" w:sz="2" w:space="0"/>
                    <w:bottom w:val="single" w:color="000000" w:sz="2" w:space="0"/>
                    <w:right w:val="single" w:color="000000" w:sz="2" w:space="0"/>
                  </w:tcBorders>
                  <w:noWrap w:val="0"/>
                  <w:vAlign w:val="center"/>
                </w:tcPr>
                <w:p w14:paraId="28739A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5</w:t>
                  </w:r>
                </w:p>
              </w:tc>
            </w:tr>
            <w:tr w14:paraId="1567D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75" w:type="pct"/>
                  <w:tcBorders>
                    <w:top w:val="single" w:color="000000" w:sz="2" w:space="0"/>
                    <w:left w:val="single" w:color="000000" w:sz="2" w:space="0"/>
                    <w:bottom w:val="single" w:color="000000" w:sz="2" w:space="0"/>
                    <w:right w:val="single" w:color="000000" w:sz="2" w:space="0"/>
                  </w:tcBorders>
                  <w:noWrap w:val="0"/>
                  <w:vAlign w:val="center"/>
                </w:tcPr>
                <w:p w14:paraId="1B1461B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铜</w:t>
                  </w:r>
                </w:p>
              </w:tc>
              <w:tc>
                <w:tcPr>
                  <w:tcW w:w="765" w:type="pct"/>
                  <w:tcBorders>
                    <w:top w:val="single" w:color="000000" w:sz="2" w:space="0"/>
                    <w:left w:val="single" w:color="000000" w:sz="2" w:space="0"/>
                    <w:bottom w:val="single" w:color="000000" w:sz="2" w:space="0"/>
                    <w:right w:val="single" w:color="000000" w:sz="2" w:space="0"/>
                  </w:tcBorders>
                  <w:noWrap w:val="0"/>
                  <w:vAlign w:val="center"/>
                </w:tcPr>
                <w:p w14:paraId="14A2F7B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排放浓度</w:t>
                  </w:r>
                </w:p>
              </w:tc>
              <w:tc>
                <w:tcPr>
                  <w:tcW w:w="512" w:type="pct"/>
                  <w:tcBorders>
                    <w:top w:val="single" w:color="000000" w:sz="2" w:space="0"/>
                    <w:left w:val="single" w:color="000000" w:sz="2" w:space="0"/>
                    <w:bottom w:val="single" w:color="000000" w:sz="2" w:space="0"/>
                    <w:right w:val="single" w:color="000000" w:sz="2" w:space="0"/>
                  </w:tcBorders>
                  <w:noWrap w:val="0"/>
                  <w:vAlign w:val="center"/>
                </w:tcPr>
                <w:p w14:paraId="65DBCD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μg/m</w:t>
                  </w:r>
                  <w:r>
                    <w:rPr>
                      <w:rFonts w:ascii="Times New Roman" w:hAnsi="Times New Roman" w:eastAsia="仿宋"/>
                      <w:color w:val="000000"/>
                      <w:sz w:val="24"/>
                      <w:szCs w:val="24"/>
                      <w:vertAlign w:val="superscript"/>
                    </w:rPr>
                    <w:t>3</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0ABFC41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8.24</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368A1A4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8.54</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63E2ED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11.4</w:t>
                  </w:r>
                </w:p>
              </w:tc>
              <w:tc>
                <w:tcPr>
                  <w:tcW w:w="766" w:type="pct"/>
                  <w:tcBorders>
                    <w:top w:val="single" w:color="000000" w:sz="2" w:space="0"/>
                    <w:left w:val="single" w:color="000000" w:sz="2" w:space="0"/>
                    <w:bottom w:val="single" w:color="000000" w:sz="2" w:space="0"/>
                    <w:right w:val="single" w:color="000000" w:sz="2" w:space="0"/>
                  </w:tcBorders>
                  <w:noWrap w:val="0"/>
                  <w:vAlign w:val="center"/>
                </w:tcPr>
                <w:p w14:paraId="65AF40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w:t>
                  </w:r>
                </w:p>
              </w:tc>
            </w:tr>
            <w:tr w14:paraId="583CA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000" w:type="pct"/>
                  <w:gridSpan w:val="7"/>
                  <w:tcBorders>
                    <w:top w:val="single" w:color="000000" w:sz="2" w:space="0"/>
                    <w:left w:val="single" w:color="000000" w:sz="2" w:space="0"/>
                    <w:bottom w:val="single" w:color="000000" w:sz="2" w:space="0"/>
                    <w:right w:val="single" w:color="000000" w:sz="2" w:space="0"/>
                  </w:tcBorders>
                  <w:noWrap w:val="0"/>
                  <w:vAlign w:val="center"/>
                </w:tcPr>
                <w:p w14:paraId="5B8B812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DA002    2#排气筒</w:t>
                  </w:r>
                </w:p>
              </w:tc>
            </w:tr>
            <w:tr w14:paraId="49B0F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575" w:type="pct"/>
                  <w:tcBorders>
                    <w:top w:val="single" w:color="000000" w:sz="2" w:space="0"/>
                    <w:left w:val="single" w:color="000000" w:sz="2" w:space="0"/>
                    <w:bottom w:val="single" w:color="000000" w:sz="2" w:space="0"/>
                    <w:right w:val="single" w:color="000000" w:sz="2" w:space="0"/>
                  </w:tcBorders>
                  <w:noWrap w:val="0"/>
                  <w:vAlign w:val="center"/>
                </w:tcPr>
                <w:p w14:paraId="458E01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颗粒物</w:t>
                  </w:r>
                </w:p>
              </w:tc>
              <w:tc>
                <w:tcPr>
                  <w:tcW w:w="765" w:type="pct"/>
                  <w:tcBorders>
                    <w:top w:val="single" w:color="000000" w:sz="2" w:space="0"/>
                    <w:left w:val="single" w:color="000000" w:sz="2" w:space="0"/>
                    <w:bottom w:val="single" w:color="000000" w:sz="2" w:space="0"/>
                    <w:right w:val="single" w:color="000000" w:sz="2" w:space="0"/>
                  </w:tcBorders>
                  <w:noWrap w:val="0"/>
                  <w:vAlign w:val="center"/>
                </w:tcPr>
                <w:p w14:paraId="2FF55FC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排放浓度</w:t>
                  </w:r>
                </w:p>
              </w:tc>
              <w:tc>
                <w:tcPr>
                  <w:tcW w:w="512" w:type="pct"/>
                  <w:tcBorders>
                    <w:top w:val="single" w:color="000000" w:sz="2" w:space="0"/>
                    <w:left w:val="single" w:color="000000" w:sz="2" w:space="0"/>
                    <w:bottom w:val="single" w:color="000000" w:sz="2" w:space="0"/>
                    <w:right w:val="single" w:color="000000" w:sz="2" w:space="0"/>
                  </w:tcBorders>
                  <w:noWrap w:val="0"/>
                  <w:vAlign w:val="center"/>
                </w:tcPr>
                <w:p w14:paraId="7ACAA1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mg/m</w:t>
                  </w:r>
                  <w:r>
                    <w:rPr>
                      <w:rFonts w:ascii="Times New Roman" w:hAnsi="Times New Roman" w:eastAsia="仿宋"/>
                      <w:color w:val="000000"/>
                      <w:sz w:val="24"/>
                      <w:szCs w:val="24"/>
                      <w:vertAlign w:val="superscript"/>
                    </w:rPr>
                    <w:t>3</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3C7A12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2.7</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7D50DFA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1.9</w:t>
                  </w:r>
                </w:p>
              </w:tc>
              <w:tc>
                <w:tcPr>
                  <w:tcW w:w="794" w:type="pct"/>
                  <w:tcBorders>
                    <w:top w:val="single" w:color="000000" w:sz="2" w:space="0"/>
                    <w:left w:val="single" w:color="000000" w:sz="2" w:space="0"/>
                    <w:bottom w:val="single" w:color="000000" w:sz="2" w:space="0"/>
                    <w:right w:val="single" w:color="000000" w:sz="2" w:space="0"/>
                  </w:tcBorders>
                  <w:noWrap w:val="0"/>
                  <w:vAlign w:val="center"/>
                </w:tcPr>
                <w:p w14:paraId="1210A2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2.1</w:t>
                  </w:r>
                </w:p>
              </w:tc>
              <w:tc>
                <w:tcPr>
                  <w:tcW w:w="766" w:type="pct"/>
                  <w:tcBorders>
                    <w:top w:val="single" w:color="000000" w:sz="2" w:space="0"/>
                    <w:left w:val="single" w:color="000000" w:sz="2" w:space="0"/>
                    <w:bottom w:val="single" w:color="000000" w:sz="2" w:space="0"/>
                    <w:right w:val="single" w:color="000000" w:sz="2" w:space="0"/>
                  </w:tcBorders>
                  <w:noWrap w:val="0"/>
                  <w:vAlign w:val="center"/>
                </w:tcPr>
                <w:p w14:paraId="1A56A28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30</w:t>
                  </w:r>
                </w:p>
              </w:tc>
            </w:tr>
          </w:tbl>
          <w:p w14:paraId="7F8708FC">
            <w:pPr>
              <w:widowControl/>
              <w:kinsoku w:val="0"/>
              <w:topLinePunct/>
              <w:autoSpaceDE w:val="0"/>
              <w:autoSpaceDN w:val="0"/>
              <w:adjustRightInd w:val="0"/>
              <w:snapToGrid w:val="0"/>
              <w:spacing w:before="144" w:line="240" w:lineRule="auto"/>
              <w:ind w:left="2831"/>
              <w:jc w:val="left"/>
              <w:textAlignment w:val="baseline"/>
              <w:rPr>
                <w:rFonts w:ascii="Times New Roman" w:hAnsi="Times New Roman" w:eastAsia="仿宋"/>
                <w:color w:val="000000"/>
                <w:kern w:val="0"/>
                <w:sz w:val="28"/>
                <w:szCs w:val="28"/>
              </w:rPr>
            </w:pPr>
            <w:r>
              <w:rPr>
                <w:rFonts w:ascii="Times New Roman" w:hAnsi="Times New Roman" w:eastAsia="仿宋"/>
                <w:b/>
                <w:bCs/>
                <w:color w:val="000000"/>
                <w:spacing w:val="-3"/>
                <w:kern w:val="0"/>
                <w:sz w:val="28"/>
                <w:szCs w:val="28"/>
              </w:rPr>
              <w:t>表</w:t>
            </w:r>
            <w:r>
              <w:rPr>
                <w:rFonts w:hint="eastAsia" w:ascii="Times New Roman" w:hAnsi="Times New Roman" w:eastAsia="仿宋"/>
                <w:color w:val="000000"/>
                <w:spacing w:val="-53"/>
                <w:kern w:val="0"/>
                <w:sz w:val="28"/>
                <w:szCs w:val="28"/>
                <w:lang w:val="en-US" w:eastAsia="zh-CN"/>
              </w:rPr>
              <w:t>6</w:t>
            </w:r>
            <w:r>
              <w:rPr>
                <w:rFonts w:ascii="Times New Roman" w:hAnsi="Times New Roman" w:eastAsia="仿宋"/>
                <w:b/>
                <w:bCs/>
                <w:color w:val="000000"/>
                <w:spacing w:val="-3"/>
                <w:kern w:val="0"/>
                <w:sz w:val="28"/>
                <w:szCs w:val="28"/>
              </w:rPr>
              <w:t xml:space="preserve">  无组织废气监测结果</w:t>
            </w:r>
          </w:p>
          <w:tbl>
            <w:tblPr>
              <w:tblStyle w:val="4"/>
              <w:tblW w:w="5000" w:type="pct"/>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0"/>
              <w:gridCol w:w="1207"/>
              <w:gridCol w:w="1282"/>
              <w:gridCol w:w="1271"/>
              <w:gridCol w:w="1271"/>
              <w:gridCol w:w="1275"/>
              <w:gridCol w:w="1179"/>
            </w:tblGrid>
            <w:tr w14:paraId="133FD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pct"/>
                  <w:vMerge w:val="restart"/>
                  <w:noWrap w:val="0"/>
                  <w:vAlign w:val="center"/>
                </w:tcPr>
                <w:p w14:paraId="02CB8B1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项目</w:t>
                  </w:r>
                </w:p>
              </w:tc>
              <w:tc>
                <w:tcPr>
                  <w:tcW w:w="695" w:type="pct"/>
                  <w:vMerge w:val="restart"/>
                  <w:noWrap w:val="0"/>
                  <w:vAlign w:val="center"/>
                </w:tcPr>
                <w:p w14:paraId="4C03D0C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检测点位</w:t>
                  </w:r>
                </w:p>
              </w:tc>
              <w:tc>
                <w:tcPr>
                  <w:tcW w:w="738" w:type="pct"/>
                  <w:vMerge w:val="restart"/>
                  <w:noWrap w:val="0"/>
                  <w:vAlign w:val="center"/>
                </w:tcPr>
                <w:p w14:paraId="3244173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单位</w:t>
                  </w:r>
                </w:p>
              </w:tc>
              <w:tc>
                <w:tcPr>
                  <w:tcW w:w="2198" w:type="pct"/>
                  <w:gridSpan w:val="3"/>
                  <w:noWrap w:val="0"/>
                  <w:vAlign w:val="center"/>
                </w:tcPr>
                <w:p w14:paraId="260A1336">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监测结果</w:t>
                  </w:r>
                </w:p>
              </w:tc>
              <w:tc>
                <w:tcPr>
                  <w:tcW w:w="678" w:type="pct"/>
                  <w:vMerge w:val="restart"/>
                  <w:noWrap w:val="0"/>
                  <w:vAlign w:val="center"/>
                </w:tcPr>
                <w:p w14:paraId="5C7D23A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限值浓度</w:t>
                  </w:r>
                </w:p>
              </w:tc>
            </w:tr>
            <w:tr w14:paraId="13831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pct"/>
                  <w:vMerge w:val="continue"/>
                  <w:noWrap w:val="0"/>
                  <w:vAlign w:val="center"/>
                </w:tcPr>
                <w:p w14:paraId="7A9309C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95" w:type="pct"/>
                  <w:vMerge w:val="continue"/>
                  <w:noWrap w:val="0"/>
                  <w:vAlign w:val="center"/>
                </w:tcPr>
                <w:p w14:paraId="0CE04A5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8" w:type="pct"/>
                  <w:vMerge w:val="continue"/>
                  <w:noWrap w:val="0"/>
                  <w:vAlign w:val="center"/>
                </w:tcPr>
                <w:p w14:paraId="34F68D7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2" w:type="pct"/>
                  <w:noWrap w:val="0"/>
                  <w:vAlign w:val="center"/>
                </w:tcPr>
                <w:p w14:paraId="4EA7029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第一次</w:t>
                  </w:r>
                </w:p>
              </w:tc>
              <w:tc>
                <w:tcPr>
                  <w:tcW w:w="732" w:type="pct"/>
                  <w:noWrap w:val="0"/>
                  <w:vAlign w:val="center"/>
                </w:tcPr>
                <w:p w14:paraId="06E7129F">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第二次</w:t>
                  </w:r>
                </w:p>
              </w:tc>
              <w:tc>
                <w:tcPr>
                  <w:tcW w:w="734" w:type="pct"/>
                  <w:noWrap w:val="0"/>
                  <w:vAlign w:val="center"/>
                </w:tcPr>
                <w:p w14:paraId="23BFF16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第三次</w:t>
                  </w:r>
                </w:p>
              </w:tc>
              <w:tc>
                <w:tcPr>
                  <w:tcW w:w="678" w:type="pct"/>
                  <w:vMerge w:val="continue"/>
                  <w:noWrap w:val="0"/>
                  <w:vAlign w:val="center"/>
                </w:tcPr>
                <w:p w14:paraId="56F5279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286D1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pct"/>
                  <w:vMerge w:val="restart"/>
                  <w:noWrap w:val="0"/>
                  <w:vAlign w:val="center"/>
                </w:tcPr>
                <w:p w14:paraId="4329837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颗粒物</w:t>
                  </w:r>
                </w:p>
              </w:tc>
              <w:tc>
                <w:tcPr>
                  <w:tcW w:w="695" w:type="pct"/>
                  <w:noWrap w:val="0"/>
                  <w:vAlign w:val="center"/>
                </w:tcPr>
                <w:p w14:paraId="304AEA6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上风向G1</w:t>
                  </w:r>
                </w:p>
              </w:tc>
              <w:tc>
                <w:tcPr>
                  <w:tcW w:w="738" w:type="pct"/>
                  <w:vMerge w:val="restart"/>
                  <w:noWrap w:val="0"/>
                  <w:vAlign w:val="center"/>
                </w:tcPr>
                <w:p w14:paraId="46992B8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mg/m</w:t>
                  </w:r>
                  <w:r>
                    <w:rPr>
                      <w:rFonts w:ascii="Times New Roman" w:hAnsi="Times New Roman" w:eastAsia="仿宋"/>
                      <w:color w:val="000000"/>
                      <w:sz w:val="24"/>
                      <w:szCs w:val="24"/>
                      <w:vertAlign w:val="superscript"/>
                    </w:rPr>
                    <w:t>3</w:t>
                  </w:r>
                </w:p>
              </w:tc>
              <w:tc>
                <w:tcPr>
                  <w:tcW w:w="732" w:type="pct"/>
                  <w:noWrap w:val="0"/>
                  <w:vAlign w:val="center"/>
                </w:tcPr>
                <w:p w14:paraId="747394A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0.148</w:t>
                  </w:r>
                </w:p>
              </w:tc>
              <w:tc>
                <w:tcPr>
                  <w:tcW w:w="732" w:type="pct"/>
                  <w:noWrap w:val="0"/>
                  <w:vAlign w:val="center"/>
                </w:tcPr>
                <w:p w14:paraId="79B912D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0.178</w:t>
                  </w:r>
                </w:p>
              </w:tc>
              <w:tc>
                <w:tcPr>
                  <w:tcW w:w="734" w:type="pct"/>
                  <w:noWrap w:val="0"/>
                  <w:vAlign w:val="center"/>
                </w:tcPr>
                <w:p w14:paraId="23BE5BD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0.124</w:t>
                  </w:r>
                </w:p>
              </w:tc>
              <w:tc>
                <w:tcPr>
                  <w:tcW w:w="678" w:type="pct"/>
                  <w:vMerge w:val="restart"/>
                  <w:noWrap w:val="0"/>
                  <w:vAlign w:val="center"/>
                </w:tcPr>
                <w:p w14:paraId="1920A7C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1</w:t>
                  </w:r>
                </w:p>
              </w:tc>
            </w:tr>
            <w:tr w14:paraId="10C87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pct"/>
                  <w:vMerge w:val="continue"/>
                  <w:noWrap w:val="0"/>
                  <w:vAlign w:val="center"/>
                </w:tcPr>
                <w:p w14:paraId="562AA2E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95" w:type="pct"/>
                  <w:noWrap w:val="0"/>
                  <w:vAlign w:val="center"/>
                </w:tcPr>
                <w:p w14:paraId="0A94064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下风向G2</w:t>
                  </w:r>
                </w:p>
              </w:tc>
              <w:tc>
                <w:tcPr>
                  <w:tcW w:w="738" w:type="pct"/>
                  <w:vMerge w:val="continue"/>
                  <w:noWrap w:val="0"/>
                  <w:vAlign w:val="center"/>
                </w:tcPr>
                <w:p w14:paraId="421B8FA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2" w:type="pct"/>
                  <w:noWrap w:val="0"/>
                  <w:vAlign w:val="center"/>
                </w:tcPr>
                <w:p w14:paraId="3A7C216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0.245</w:t>
                  </w:r>
                </w:p>
              </w:tc>
              <w:tc>
                <w:tcPr>
                  <w:tcW w:w="732" w:type="pct"/>
                  <w:noWrap w:val="0"/>
                  <w:vAlign w:val="center"/>
                </w:tcPr>
                <w:p w14:paraId="5F43459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0.384</w:t>
                  </w:r>
                </w:p>
              </w:tc>
              <w:tc>
                <w:tcPr>
                  <w:tcW w:w="734" w:type="pct"/>
                  <w:noWrap w:val="0"/>
                  <w:vAlign w:val="center"/>
                </w:tcPr>
                <w:p w14:paraId="3AE388E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0.264</w:t>
                  </w:r>
                </w:p>
              </w:tc>
              <w:tc>
                <w:tcPr>
                  <w:tcW w:w="678" w:type="pct"/>
                  <w:vMerge w:val="continue"/>
                  <w:noWrap w:val="0"/>
                  <w:vAlign w:val="center"/>
                </w:tcPr>
                <w:p w14:paraId="6EA8A9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6AE19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pct"/>
                  <w:vMerge w:val="continue"/>
                  <w:noWrap w:val="0"/>
                  <w:vAlign w:val="center"/>
                </w:tcPr>
                <w:p w14:paraId="203FB83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95" w:type="pct"/>
                  <w:noWrap w:val="0"/>
                  <w:vAlign w:val="center"/>
                </w:tcPr>
                <w:p w14:paraId="1853BAD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下风向G3</w:t>
                  </w:r>
                </w:p>
              </w:tc>
              <w:tc>
                <w:tcPr>
                  <w:tcW w:w="738" w:type="pct"/>
                  <w:vMerge w:val="continue"/>
                  <w:noWrap w:val="0"/>
                  <w:vAlign w:val="center"/>
                </w:tcPr>
                <w:p w14:paraId="2C7333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2" w:type="pct"/>
                  <w:noWrap w:val="0"/>
                  <w:vAlign w:val="center"/>
                </w:tcPr>
                <w:p w14:paraId="1217E54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0.250</w:t>
                  </w:r>
                </w:p>
              </w:tc>
              <w:tc>
                <w:tcPr>
                  <w:tcW w:w="732" w:type="pct"/>
                  <w:noWrap w:val="0"/>
                  <w:vAlign w:val="center"/>
                </w:tcPr>
                <w:p w14:paraId="2078E75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0.365</w:t>
                  </w:r>
                </w:p>
              </w:tc>
              <w:tc>
                <w:tcPr>
                  <w:tcW w:w="734" w:type="pct"/>
                  <w:noWrap w:val="0"/>
                  <w:vAlign w:val="center"/>
                </w:tcPr>
                <w:p w14:paraId="0681D87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0.331</w:t>
                  </w:r>
                </w:p>
              </w:tc>
              <w:tc>
                <w:tcPr>
                  <w:tcW w:w="678" w:type="pct"/>
                  <w:vMerge w:val="continue"/>
                  <w:noWrap w:val="0"/>
                  <w:vAlign w:val="center"/>
                </w:tcPr>
                <w:p w14:paraId="12770E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09658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pct"/>
                  <w:vMerge w:val="continue"/>
                  <w:noWrap w:val="0"/>
                  <w:vAlign w:val="center"/>
                </w:tcPr>
                <w:p w14:paraId="1C02A4A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95" w:type="pct"/>
                  <w:noWrap w:val="0"/>
                  <w:vAlign w:val="center"/>
                </w:tcPr>
                <w:p w14:paraId="705A6F3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下风向G4</w:t>
                  </w:r>
                </w:p>
              </w:tc>
              <w:tc>
                <w:tcPr>
                  <w:tcW w:w="738" w:type="pct"/>
                  <w:vMerge w:val="continue"/>
                  <w:noWrap w:val="0"/>
                  <w:vAlign w:val="center"/>
                </w:tcPr>
                <w:p w14:paraId="192D61C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2" w:type="pct"/>
                  <w:noWrap w:val="0"/>
                  <w:vAlign w:val="center"/>
                </w:tcPr>
                <w:p w14:paraId="5C304CA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0.378</w:t>
                  </w:r>
                </w:p>
              </w:tc>
              <w:tc>
                <w:tcPr>
                  <w:tcW w:w="732" w:type="pct"/>
                  <w:noWrap w:val="0"/>
                  <w:vAlign w:val="center"/>
                </w:tcPr>
                <w:p w14:paraId="0083782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0.365</w:t>
                  </w:r>
                </w:p>
              </w:tc>
              <w:tc>
                <w:tcPr>
                  <w:tcW w:w="734" w:type="pct"/>
                  <w:noWrap w:val="0"/>
                  <w:vAlign w:val="center"/>
                </w:tcPr>
                <w:p w14:paraId="5C369956">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0.356</w:t>
                  </w:r>
                </w:p>
              </w:tc>
              <w:tc>
                <w:tcPr>
                  <w:tcW w:w="678" w:type="pct"/>
                  <w:vMerge w:val="continue"/>
                  <w:noWrap w:val="0"/>
                  <w:vAlign w:val="center"/>
                </w:tcPr>
                <w:p w14:paraId="1624FDE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6D622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pct"/>
                  <w:vMerge w:val="restart"/>
                  <w:noWrap w:val="0"/>
                  <w:vAlign w:val="center"/>
                </w:tcPr>
                <w:p w14:paraId="1F3E440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锡</w:t>
                  </w:r>
                </w:p>
              </w:tc>
              <w:tc>
                <w:tcPr>
                  <w:tcW w:w="695" w:type="pct"/>
                  <w:noWrap w:val="0"/>
                  <w:vAlign w:val="center"/>
                </w:tcPr>
                <w:p w14:paraId="4943FEB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上风向G1</w:t>
                  </w:r>
                </w:p>
              </w:tc>
              <w:tc>
                <w:tcPr>
                  <w:tcW w:w="738" w:type="pct"/>
                  <w:vMerge w:val="restart"/>
                  <w:noWrap w:val="0"/>
                  <w:vAlign w:val="center"/>
                </w:tcPr>
                <w:p w14:paraId="440957A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mg/m</w:t>
                  </w:r>
                  <w:r>
                    <w:rPr>
                      <w:rFonts w:ascii="Times New Roman" w:hAnsi="Times New Roman" w:eastAsia="仿宋"/>
                      <w:color w:val="000000"/>
                      <w:sz w:val="24"/>
                      <w:szCs w:val="24"/>
                      <w:vertAlign w:val="superscript"/>
                    </w:rPr>
                    <w:t>3</w:t>
                  </w:r>
                </w:p>
              </w:tc>
              <w:tc>
                <w:tcPr>
                  <w:tcW w:w="732" w:type="pct"/>
                  <w:noWrap w:val="0"/>
                  <w:vAlign w:val="center"/>
                </w:tcPr>
                <w:p w14:paraId="3F8D19B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2" w:type="pct"/>
                  <w:noWrap w:val="0"/>
                  <w:vAlign w:val="center"/>
                </w:tcPr>
                <w:p w14:paraId="4372E5A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4" w:type="pct"/>
                  <w:noWrap w:val="0"/>
                  <w:vAlign w:val="center"/>
                </w:tcPr>
                <w:p w14:paraId="3DF4A76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678" w:type="pct"/>
                  <w:vMerge w:val="restart"/>
                  <w:noWrap w:val="0"/>
                  <w:vAlign w:val="center"/>
                </w:tcPr>
                <w:p w14:paraId="4FBA8E7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0.06</w:t>
                  </w:r>
                </w:p>
              </w:tc>
            </w:tr>
            <w:tr w14:paraId="6E1BD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pct"/>
                  <w:vMerge w:val="continue"/>
                  <w:noWrap w:val="0"/>
                  <w:vAlign w:val="center"/>
                </w:tcPr>
                <w:p w14:paraId="29A88C5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95" w:type="pct"/>
                  <w:noWrap w:val="0"/>
                  <w:vAlign w:val="center"/>
                </w:tcPr>
                <w:p w14:paraId="467A981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下风向G2</w:t>
                  </w:r>
                </w:p>
              </w:tc>
              <w:tc>
                <w:tcPr>
                  <w:tcW w:w="738" w:type="pct"/>
                  <w:vMerge w:val="continue"/>
                  <w:noWrap w:val="0"/>
                  <w:vAlign w:val="center"/>
                </w:tcPr>
                <w:p w14:paraId="2A545D9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2" w:type="pct"/>
                  <w:noWrap w:val="0"/>
                  <w:vAlign w:val="center"/>
                </w:tcPr>
                <w:p w14:paraId="658C9E9D">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2" w:type="pct"/>
                  <w:noWrap w:val="0"/>
                  <w:vAlign w:val="center"/>
                </w:tcPr>
                <w:p w14:paraId="55A3537B">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4" w:type="pct"/>
                  <w:noWrap w:val="0"/>
                  <w:vAlign w:val="center"/>
                </w:tcPr>
                <w:p w14:paraId="4E9707C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678" w:type="pct"/>
                  <w:vMerge w:val="continue"/>
                  <w:noWrap w:val="0"/>
                  <w:vAlign w:val="center"/>
                </w:tcPr>
                <w:p w14:paraId="6C5CBF8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2B30A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pct"/>
                  <w:vMerge w:val="continue"/>
                  <w:noWrap w:val="0"/>
                  <w:vAlign w:val="center"/>
                </w:tcPr>
                <w:p w14:paraId="646F15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95" w:type="pct"/>
                  <w:noWrap w:val="0"/>
                  <w:vAlign w:val="center"/>
                </w:tcPr>
                <w:p w14:paraId="0F07DE3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下风向G3</w:t>
                  </w:r>
                </w:p>
              </w:tc>
              <w:tc>
                <w:tcPr>
                  <w:tcW w:w="738" w:type="pct"/>
                  <w:vMerge w:val="continue"/>
                  <w:noWrap w:val="0"/>
                  <w:vAlign w:val="center"/>
                </w:tcPr>
                <w:p w14:paraId="500CC0D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2" w:type="pct"/>
                  <w:noWrap w:val="0"/>
                  <w:vAlign w:val="center"/>
                </w:tcPr>
                <w:p w14:paraId="25B4230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2" w:type="pct"/>
                  <w:noWrap w:val="0"/>
                  <w:vAlign w:val="center"/>
                </w:tcPr>
                <w:p w14:paraId="0577934B">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4" w:type="pct"/>
                  <w:noWrap w:val="0"/>
                  <w:vAlign w:val="center"/>
                </w:tcPr>
                <w:p w14:paraId="4FF8BA3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678" w:type="pct"/>
                  <w:vMerge w:val="continue"/>
                  <w:noWrap w:val="0"/>
                  <w:vAlign w:val="center"/>
                </w:tcPr>
                <w:p w14:paraId="0C4530C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4D605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pct"/>
                  <w:vMerge w:val="continue"/>
                  <w:noWrap w:val="0"/>
                  <w:vAlign w:val="center"/>
                </w:tcPr>
                <w:p w14:paraId="20BF5CF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95" w:type="pct"/>
                  <w:noWrap w:val="0"/>
                  <w:vAlign w:val="center"/>
                </w:tcPr>
                <w:p w14:paraId="4D76C69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下风向G4</w:t>
                  </w:r>
                </w:p>
              </w:tc>
              <w:tc>
                <w:tcPr>
                  <w:tcW w:w="738" w:type="pct"/>
                  <w:vMerge w:val="continue"/>
                  <w:noWrap w:val="0"/>
                  <w:vAlign w:val="center"/>
                </w:tcPr>
                <w:p w14:paraId="409E9A1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2" w:type="pct"/>
                  <w:noWrap w:val="0"/>
                  <w:vAlign w:val="center"/>
                </w:tcPr>
                <w:p w14:paraId="3151ADB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2" w:type="pct"/>
                  <w:noWrap w:val="0"/>
                  <w:vAlign w:val="center"/>
                </w:tcPr>
                <w:p w14:paraId="313DAD5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4" w:type="pct"/>
                  <w:noWrap w:val="0"/>
                  <w:vAlign w:val="center"/>
                </w:tcPr>
                <w:p w14:paraId="6868950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678" w:type="pct"/>
                  <w:vMerge w:val="continue"/>
                  <w:noWrap w:val="0"/>
                  <w:vAlign w:val="center"/>
                </w:tcPr>
                <w:p w14:paraId="016D93D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6FD9D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pct"/>
                  <w:vMerge w:val="restart"/>
                  <w:noWrap w:val="0"/>
                  <w:vAlign w:val="center"/>
                </w:tcPr>
                <w:p w14:paraId="71E2E4D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铜</w:t>
                  </w:r>
                </w:p>
              </w:tc>
              <w:tc>
                <w:tcPr>
                  <w:tcW w:w="695" w:type="pct"/>
                  <w:noWrap w:val="0"/>
                  <w:vAlign w:val="center"/>
                </w:tcPr>
                <w:p w14:paraId="7AFD8D7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上风向G1</w:t>
                  </w:r>
                </w:p>
              </w:tc>
              <w:tc>
                <w:tcPr>
                  <w:tcW w:w="738" w:type="pct"/>
                  <w:vMerge w:val="restart"/>
                  <w:noWrap w:val="0"/>
                  <w:vAlign w:val="center"/>
                </w:tcPr>
                <w:p w14:paraId="775DD46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μg/m</w:t>
                  </w:r>
                  <w:r>
                    <w:rPr>
                      <w:rFonts w:ascii="Times New Roman" w:hAnsi="Times New Roman" w:eastAsia="仿宋"/>
                      <w:color w:val="000000"/>
                      <w:sz w:val="24"/>
                      <w:szCs w:val="24"/>
                      <w:vertAlign w:val="superscript"/>
                    </w:rPr>
                    <w:t>3</w:t>
                  </w:r>
                </w:p>
              </w:tc>
              <w:tc>
                <w:tcPr>
                  <w:tcW w:w="732" w:type="pct"/>
                  <w:noWrap w:val="0"/>
                  <w:vAlign w:val="center"/>
                </w:tcPr>
                <w:p w14:paraId="4E72F43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2" w:type="pct"/>
                  <w:noWrap w:val="0"/>
                  <w:vAlign w:val="center"/>
                </w:tcPr>
                <w:p w14:paraId="2FB7901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4" w:type="pct"/>
                  <w:noWrap w:val="0"/>
                  <w:vAlign w:val="center"/>
                </w:tcPr>
                <w:p w14:paraId="18C3CC1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678" w:type="pct"/>
                  <w:vMerge w:val="restart"/>
                  <w:noWrap w:val="0"/>
                  <w:vAlign w:val="center"/>
                </w:tcPr>
                <w:p w14:paraId="774558A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w:t>
                  </w:r>
                </w:p>
              </w:tc>
            </w:tr>
            <w:tr w14:paraId="21570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pct"/>
                  <w:vMerge w:val="continue"/>
                  <w:noWrap w:val="0"/>
                  <w:vAlign w:val="center"/>
                </w:tcPr>
                <w:p w14:paraId="08D635E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95" w:type="pct"/>
                  <w:noWrap w:val="0"/>
                  <w:vAlign w:val="center"/>
                </w:tcPr>
                <w:p w14:paraId="201B219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下风向G2</w:t>
                  </w:r>
                </w:p>
              </w:tc>
              <w:tc>
                <w:tcPr>
                  <w:tcW w:w="738" w:type="pct"/>
                  <w:vMerge w:val="continue"/>
                  <w:noWrap w:val="0"/>
                  <w:vAlign w:val="center"/>
                </w:tcPr>
                <w:p w14:paraId="4AB678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2" w:type="pct"/>
                  <w:noWrap w:val="0"/>
                  <w:vAlign w:val="center"/>
                </w:tcPr>
                <w:p w14:paraId="35EB217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2" w:type="pct"/>
                  <w:noWrap w:val="0"/>
                  <w:vAlign w:val="center"/>
                </w:tcPr>
                <w:p w14:paraId="0EE702B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4" w:type="pct"/>
                  <w:noWrap w:val="0"/>
                  <w:vAlign w:val="center"/>
                </w:tcPr>
                <w:p w14:paraId="1877CD5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678" w:type="pct"/>
                  <w:vMerge w:val="continue"/>
                  <w:noWrap w:val="0"/>
                  <w:vAlign w:val="center"/>
                </w:tcPr>
                <w:p w14:paraId="011D945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0A978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pct"/>
                  <w:vMerge w:val="continue"/>
                  <w:noWrap w:val="0"/>
                  <w:vAlign w:val="center"/>
                </w:tcPr>
                <w:p w14:paraId="7E379C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95" w:type="pct"/>
                  <w:noWrap w:val="0"/>
                  <w:vAlign w:val="center"/>
                </w:tcPr>
                <w:p w14:paraId="7DF189F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下风向G3</w:t>
                  </w:r>
                </w:p>
              </w:tc>
              <w:tc>
                <w:tcPr>
                  <w:tcW w:w="738" w:type="pct"/>
                  <w:vMerge w:val="continue"/>
                  <w:noWrap w:val="0"/>
                  <w:vAlign w:val="center"/>
                </w:tcPr>
                <w:p w14:paraId="5B0731F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2" w:type="pct"/>
                  <w:noWrap w:val="0"/>
                  <w:vAlign w:val="center"/>
                </w:tcPr>
                <w:p w14:paraId="553B9F5D">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2" w:type="pct"/>
                  <w:noWrap w:val="0"/>
                  <w:vAlign w:val="center"/>
                </w:tcPr>
                <w:p w14:paraId="599AFBE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4" w:type="pct"/>
                  <w:noWrap w:val="0"/>
                  <w:vAlign w:val="center"/>
                </w:tcPr>
                <w:p w14:paraId="34C31C4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678" w:type="pct"/>
                  <w:vMerge w:val="continue"/>
                  <w:noWrap w:val="0"/>
                  <w:vAlign w:val="center"/>
                </w:tcPr>
                <w:p w14:paraId="52E807E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r w14:paraId="7B910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pct"/>
                  <w:vMerge w:val="continue"/>
                  <w:noWrap w:val="0"/>
                  <w:vAlign w:val="center"/>
                </w:tcPr>
                <w:p w14:paraId="6EA9C5D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695" w:type="pct"/>
                  <w:noWrap w:val="0"/>
                  <w:vAlign w:val="center"/>
                </w:tcPr>
                <w:p w14:paraId="55156D6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下风向G4</w:t>
                  </w:r>
                </w:p>
              </w:tc>
              <w:tc>
                <w:tcPr>
                  <w:tcW w:w="738" w:type="pct"/>
                  <w:vMerge w:val="continue"/>
                  <w:noWrap w:val="0"/>
                  <w:vAlign w:val="center"/>
                </w:tcPr>
                <w:p w14:paraId="043A37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c>
                <w:tcPr>
                  <w:tcW w:w="732" w:type="pct"/>
                  <w:noWrap w:val="0"/>
                  <w:vAlign w:val="center"/>
                </w:tcPr>
                <w:p w14:paraId="0049A44B">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2" w:type="pct"/>
                  <w:noWrap w:val="0"/>
                  <w:vAlign w:val="center"/>
                </w:tcPr>
                <w:p w14:paraId="60929C8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734" w:type="pct"/>
                  <w:noWrap w:val="0"/>
                  <w:vAlign w:val="center"/>
                </w:tcPr>
                <w:p w14:paraId="105F501F">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ND</w:t>
                  </w:r>
                </w:p>
              </w:tc>
              <w:tc>
                <w:tcPr>
                  <w:tcW w:w="678" w:type="pct"/>
                  <w:vMerge w:val="continue"/>
                  <w:noWrap w:val="0"/>
                  <w:vAlign w:val="center"/>
                </w:tcPr>
                <w:p w14:paraId="075CF3B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color w:val="000000"/>
                      <w:sz w:val="24"/>
                      <w:szCs w:val="24"/>
                    </w:rPr>
                  </w:pPr>
                </w:p>
              </w:tc>
            </w:tr>
          </w:tbl>
          <w:p w14:paraId="4BB863B6">
            <w:pPr>
              <w:keepNext w:val="0"/>
              <w:keepLines w:val="0"/>
              <w:pageBreakBefore w:val="0"/>
              <w:widowControl/>
              <w:kinsoku w:val="0"/>
              <w:wordWrap/>
              <w:overflowPunct/>
              <w:topLinePunct/>
              <w:autoSpaceDE w:val="0"/>
              <w:autoSpaceDN w:val="0"/>
              <w:bidi w:val="0"/>
              <w:adjustRightInd w:val="0"/>
              <w:snapToGrid w:val="0"/>
              <w:spacing w:line="400" w:lineRule="exact"/>
              <w:ind w:right="0" w:firstLine="546" w:firstLineChars="200"/>
              <w:textAlignment w:val="baseline"/>
              <w:rPr>
                <w:rFonts w:ascii="Times New Roman" w:hAnsi="Times New Roman" w:eastAsia="仿宋"/>
                <w:color w:val="000000"/>
                <w:spacing w:val="-1"/>
                <w:kern w:val="0"/>
                <w:sz w:val="28"/>
                <w:szCs w:val="28"/>
              </w:rPr>
            </w:pPr>
            <w:r>
              <w:rPr>
                <w:rFonts w:ascii="Times New Roman" w:hAnsi="Times New Roman" w:eastAsia="仿宋"/>
                <w:b/>
                <w:bCs/>
                <w:color w:val="000000"/>
                <w:spacing w:val="-4"/>
                <w:kern w:val="0"/>
                <w:sz w:val="28"/>
                <w:szCs w:val="28"/>
              </w:rPr>
              <w:t>（3）噪声：</w:t>
            </w:r>
            <w:r>
              <w:rPr>
                <w:rFonts w:ascii="Times New Roman" w:hAnsi="Times New Roman" w:eastAsia="仿宋"/>
                <w:color w:val="000000"/>
                <w:spacing w:val="-1"/>
                <w:kern w:val="0"/>
                <w:sz w:val="28"/>
                <w:szCs w:val="28"/>
              </w:rPr>
              <w:t>建设项目通过合理布局、减震隔音、距离衰减后，厂界各监测点能够满足《工业企业厂界环境噪声排放标准》（GB 12348-2008）3  类标准要求，对周围环境影响较小。</w:t>
            </w:r>
          </w:p>
          <w:p w14:paraId="16D89CFA">
            <w:pPr>
              <w:widowControl/>
              <w:kinsoku w:val="0"/>
              <w:topLinePunct/>
              <w:autoSpaceDE w:val="0"/>
              <w:autoSpaceDN w:val="0"/>
              <w:adjustRightInd w:val="0"/>
              <w:snapToGrid w:val="0"/>
              <w:spacing w:before="144" w:line="240" w:lineRule="auto"/>
              <w:ind w:left="2831"/>
              <w:jc w:val="left"/>
              <w:textAlignment w:val="baseline"/>
              <w:rPr>
                <w:rFonts w:ascii="Times New Roman" w:hAnsi="Times New Roman" w:eastAsia="仿宋"/>
                <w:b/>
                <w:bCs/>
                <w:color w:val="000000"/>
                <w:spacing w:val="-3"/>
                <w:kern w:val="0"/>
                <w:sz w:val="28"/>
                <w:szCs w:val="28"/>
              </w:rPr>
            </w:pPr>
            <w:r>
              <w:rPr>
                <w:rFonts w:ascii="Times New Roman" w:hAnsi="Times New Roman" w:eastAsia="仿宋"/>
                <w:b/>
                <w:bCs/>
                <w:color w:val="000000"/>
                <w:spacing w:val="-3"/>
                <w:kern w:val="0"/>
                <w:sz w:val="28"/>
                <w:szCs w:val="28"/>
              </w:rPr>
              <w:t>表</w:t>
            </w:r>
            <w:r>
              <w:rPr>
                <w:rFonts w:hint="eastAsia" w:ascii="Times New Roman" w:hAnsi="Times New Roman" w:eastAsia="仿宋"/>
                <w:b/>
                <w:bCs/>
                <w:color w:val="000000"/>
                <w:spacing w:val="-3"/>
                <w:kern w:val="0"/>
                <w:sz w:val="28"/>
                <w:szCs w:val="28"/>
                <w:lang w:val="en-US" w:eastAsia="zh-CN"/>
              </w:rPr>
              <w:t>7</w:t>
            </w:r>
            <w:r>
              <w:rPr>
                <w:rFonts w:ascii="Times New Roman" w:hAnsi="Times New Roman" w:eastAsia="仿宋"/>
                <w:b/>
                <w:bCs/>
                <w:color w:val="000000"/>
                <w:spacing w:val="-3"/>
                <w:kern w:val="0"/>
                <w:sz w:val="28"/>
                <w:szCs w:val="28"/>
              </w:rPr>
              <w:t xml:space="preserve">  噪声监测结果与评价</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13" w:type="dxa"/>
                <w:bottom w:w="57" w:type="dxa"/>
                <w:right w:w="113" w:type="dxa"/>
              </w:tblCellMar>
            </w:tblPr>
            <w:tblGrid>
              <w:gridCol w:w="1310"/>
              <w:gridCol w:w="3684"/>
              <w:gridCol w:w="3686"/>
            </w:tblGrid>
            <w:tr w14:paraId="5D8E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340" w:hRule="atLeast"/>
                <w:jc w:val="center"/>
              </w:trPr>
              <w:tc>
                <w:tcPr>
                  <w:tcW w:w="755" w:type="pct"/>
                  <w:vMerge w:val="restar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B6FE84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监测点位</w:t>
                  </w:r>
                </w:p>
              </w:tc>
              <w:tc>
                <w:tcPr>
                  <w:tcW w:w="4245"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D3B4B3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等效声级（单位：dB(A)）</w:t>
                  </w:r>
                </w:p>
              </w:tc>
            </w:tr>
            <w:tr w14:paraId="2A70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340" w:hRule="atLeast"/>
                <w:jc w:val="center"/>
              </w:trPr>
              <w:tc>
                <w:tcPr>
                  <w:tcW w:w="1310" w:type="dxa"/>
                  <w:vMerge w:val="continue"/>
                  <w:tcBorders>
                    <w:top w:val="single" w:color="auto" w:sz="4" w:space="0"/>
                    <w:left w:val="single" w:color="auto" w:sz="4" w:space="0"/>
                    <w:bottom w:val="single" w:color="auto" w:sz="4" w:space="0"/>
                    <w:right w:val="single" w:color="auto" w:sz="4" w:space="0"/>
                  </w:tcBorders>
                  <w:noWrap w:val="0"/>
                  <w:vAlign w:val="center"/>
                </w:tcPr>
                <w:p w14:paraId="2E45F4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sz w:val="24"/>
                      <w:szCs w:val="24"/>
                    </w:rPr>
                  </w:pPr>
                </w:p>
              </w:tc>
              <w:tc>
                <w:tcPr>
                  <w:tcW w:w="4245" w:type="pct"/>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F62935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2025年2月24日</w:t>
                  </w:r>
                </w:p>
              </w:tc>
            </w:tr>
            <w:tr w14:paraId="1C99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340" w:hRule="atLeast"/>
                <w:jc w:val="center"/>
              </w:trPr>
              <w:tc>
                <w:tcPr>
                  <w:tcW w:w="1310" w:type="dxa"/>
                  <w:vMerge w:val="continue"/>
                  <w:tcBorders>
                    <w:top w:val="single" w:color="auto" w:sz="4" w:space="0"/>
                    <w:left w:val="single" w:color="auto" w:sz="4" w:space="0"/>
                    <w:bottom w:val="single" w:color="auto" w:sz="4" w:space="0"/>
                    <w:right w:val="single" w:color="auto" w:sz="4" w:space="0"/>
                  </w:tcBorders>
                  <w:noWrap w:val="0"/>
                  <w:vAlign w:val="center"/>
                </w:tcPr>
                <w:p w14:paraId="41E6E0B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sz w:val="24"/>
                      <w:szCs w:val="24"/>
                    </w:rPr>
                  </w:pPr>
                </w:p>
              </w:tc>
              <w:tc>
                <w:tcPr>
                  <w:tcW w:w="212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8B9A48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昼间</w:t>
                  </w:r>
                </w:p>
              </w:tc>
              <w:tc>
                <w:tcPr>
                  <w:tcW w:w="212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55B8F7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夜间</w:t>
                  </w:r>
                </w:p>
              </w:tc>
            </w:tr>
            <w:tr w14:paraId="08AC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340" w:hRule="atLeast"/>
                <w:jc w:val="center"/>
              </w:trPr>
              <w:tc>
                <w:tcPr>
                  <w:tcW w:w="755"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88B9C6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▲1东厂界</w:t>
                  </w:r>
                </w:p>
              </w:tc>
              <w:tc>
                <w:tcPr>
                  <w:tcW w:w="212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5638F3DD">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50.8</w:t>
                  </w:r>
                </w:p>
              </w:tc>
              <w:tc>
                <w:tcPr>
                  <w:tcW w:w="212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5E9F7ADD">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45.0</w:t>
                  </w:r>
                </w:p>
              </w:tc>
            </w:tr>
            <w:tr w14:paraId="1F53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340" w:hRule="atLeast"/>
                <w:jc w:val="center"/>
              </w:trPr>
              <w:tc>
                <w:tcPr>
                  <w:tcW w:w="755"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DADDE4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▲2南厂界</w:t>
                  </w:r>
                </w:p>
              </w:tc>
              <w:tc>
                <w:tcPr>
                  <w:tcW w:w="212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175FDDC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45.8</w:t>
                  </w:r>
                </w:p>
              </w:tc>
              <w:tc>
                <w:tcPr>
                  <w:tcW w:w="212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3129997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39.7</w:t>
                  </w:r>
                </w:p>
              </w:tc>
            </w:tr>
            <w:tr w14:paraId="10B5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340" w:hRule="atLeast"/>
                <w:jc w:val="center"/>
              </w:trPr>
              <w:tc>
                <w:tcPr>
                  <w:tcW w:w="755"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8F93DE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▲3西厂界</w:t>
                  </w:r>
                </w:p>
              </w:tc>
              <w:tc>
                <w:tcPr>
                  <w:tcW w:w="212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306B0B3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48.6</w:t>
                  </w:r>
                </w:p>
              </w:tc>
              <w:tc>
                <w:tcPr>
                  <w:tcW w:w="212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12DC706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41.1</w:t>
                  </w:r>
                </w:p>
              </w:tc>
            </w:tr>
            <w:tr w14:paraId="362D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340" w:hRule="atLeast"/>
                <w:jc w:val="center"/>
              </w:trPr>
              <w:tc>
                <w:tcPr>
                  <w:tcW w:w="755"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E9A505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▲4北厂界</w:t>
                  </w:r>
                </w:p>
              </w:tc>
              <w:tc>
                <w:tcPr>
                  <w:tcW w:w="212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13E26EAF">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46.9</w:t>
                  </w:r>
                </w:p>
              </w:tc>
              <w:tc>
                <w:tcPr>
                  <w:tcW w:w="212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0BB5AB4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color w:val="000000"/>
                      <w:sz w:val="24"/>
                      <w:szCs w:val="24"/>
                    </w:rPr>
                  </w:pPr>
                  <w:r>
                    <w:rPr>
                      <w:rFonts w:ascii="Times New Roman" w:hAnsi="Times New Roman" w:eastAsia="仿宋"/>
                      <w:color w:val="000000"/>
                      <w:sz w:val="24"/>
                      <w:szCs w:val="24"/>
                    </w:rPr>
                    <w:t>41.9</w:t>
                  </w:r>
                </w:p>
              </w:tc>
            </w:tr>
            <w:tr w14:paraId="5A56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340" w:hRule="atLeast"/>
                <w:jc w:val="center"/>
              </w:trPr>
              <w:tc>
                <w:tcPr>
                  <w:tcW w:w="755"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E5453B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3类限值</w:t>
                  </w:r>
                </w:p>
              </w:tc>
              <w:tc>
                <w:tcPr>
                  <w:tcW w:w="212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A95F71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65</w:t>
                  </w:r>
                </w:p>
              </w:tc>
              <w:tc>
                <w:tcPr>
                  <w:tcW w:w="212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37329F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55</w:t>
                  </w:r>
                </w:p>
              </w:tc>
            </w:tr>
            <w:tr w14:paraId="2528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340" w:hRule="atLeast"/>
                <w:jc w:val="center"/>
              </w:trPr>
              <w:tc>
                <w:tcPr>
                  <w:tcW w:w="755"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640CD3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达标情况</w:t>
                  </w:r>
                </w:p>
              </w:tc>
              <w:tc>
                <w:tcPr>
                  <w:tcW w:w="2122"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446084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达标</w:t>
                  </w:r>
                </w:p>
              </w:tc>
              <w:tc>
                <w:tcPr>
                  <w:tcW w:w="2123" w:type="pct"/>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D36C7C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达标</w:t>
                  </w:r>
                </w:p>
              </w:tc>
            </w:tr>
          </w:tbl>
          <w:p w14:paraId="35EE0E6E">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（4）固体废物：</w:t>
            </w:r>
            <w:r>
              <w:rPr>
                <w:rFonts w:hint="default" w:ascii="Times New Roman" w:hAnsi="Times New Roman" w:eastAsia="仿宋" w:cs="Times New Roman"/>
                <w:sz w:val="28"/>
                <w:szCs w:val="28"/>
              </w:rPr>
              <w:t>伟恩公司产生的次生危废今年委托淮安华昌固废处置有限公司进行处置（危险废物经营许可证编号：JS082600I560-3），2024年委托宿迁中油优艺环保服务有限公司（危险废物经营许可证编号：JS130000I278-10）进行处置，两家公司均具有相关危废处置资质。转运期间均在危废管理平台进行网上申报并按照要求填写转移联单。</w:t>
            </w:r>
          </w:p>
          <w:p w14:paraId="07748EC5">
            <w:pPr>
              <w:widowControl/>
              <w:kinsoku w:val="0"/>
              <w:topLinePunct/>
              <w:autoSpaceDE w:val="0"/>
              <w:autoSpaceDN w:val="0"/>
              <w:adjustRightInd w:val="0"/>
              <w:snapToGrid w:val="0"/>
              <w:spacing w:before="146" w:line="240" w:lineRule="auto"/>
              <w:jc w:val="center"/>
              <w:textAlignment w:val="baseline"/>
              <w:rPr>
                <w:rFonts w:hint="eastAsia" w:ascii="Times New Roman" w:hAnsi="Times New Roman" w:eastAsia="仿宋"/>
                <w:color w:val="000000"/>
                <w:kern w:val="0"/>
                <w:sz w:val="28"/>
                <w:szCs w:val="28"/>
              </w:rPr>
            </w:pPr>
            <w:r>
              <w:rPr>
                <w:rFonts w:ascii="Times New Roman" w:hAnsi="Times New Roman" w:eastAsia="仿宋"/>
                <w:b/>
                <w:bCs/>
                <w:color w:val="000000"/>
                <w:spacing w:val="-5"/>
                <w:kern w:val="0"/>
                <w:sz w:val="28"/>
                <w:szCs w:val="28"/>
              </w:rPr>
              <w:t>表</w:t>
            </w:r>
            <w:r>
              <w:rPr>
                <w:rFonts w:hint="eastAsia" w:ascii="Times New Roman" w:hAnsi="Times New Roman" w:eastAsia="仿宋"/>
                <w:color w:val="000000"/>
                <w:spacing w:val="-53"/>
                <w:kern w:val="0"/>
                <w:sz w:val="28"/>
                <w:szCs w:val="28"/>
                <w:lang w:val="en-US" w:eastAsia="zh-CN"/>
              </w:rPr>
              <w:t>8</w:t>
            </w:r>
            <w:r>
              <w:rPr>
                <w:rFonts w:ascii="Times New Roman" w:hAnsi="Times New Roman" w:eastAsia="仿宋"/>
                <w:b/>
                <w:bCs/>
                <w:color w:val="000000"/>
                <w:spacing w:val="-5"/>
                <w:kern w:val="0"/>
                <w:sz w:val="28"/>
                <w:szCs w:val="28"/>
              </w:rPr>
              <w:t xml:space="preserve"> </w:t>
            </w:r>
            <w:r>
              <w:rPr>
                <w:rFonts w:hint="eastAsia" w:ascii="Times New Roman" w:hAnsi="Times New Roman" w:eastAsia="仿宋"/>
                <w:b/>
                <w:bCs/>
                <w:color w:val="000000"/>
                <w:spacing w:val="-5"/>
                <w:kern w:val="0"/>
                <w:sz w:val="28"/>
                <w:szCs w:val="28"/>
                <w:lang w:val="en-US" w:eastAsia="zh-CN"/>
              </w:rPr>
              <w:t xml:space="preserve"> </w:t>
            </w:r>
            <w:r>
              <w:rPr>
                <w:rFonts w:ascii="Times New Roman" w:hAnsi="Times New Roman" w:eastAsia="仿宋"/>
                <w:b/>
                <w:bCs/>
                <w:color w:val="000000"/>
                <w:spacing w:val="-5"/>
                <w:kern w:val="0"/>
                <w:sz w:val="28"/>
                <w:szCs w:val="28"/>
              </w:rPr>
              <w:t>转运危险废物数量统计</w:t>
            </w: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1"/>
              <w:gridCol w:w="1715"/>
              <w:gridCol w:w="1455"/>
              <w:gridCol w:w="1455"/>
              <w:gridCol w:w="940"/>
              <w:gridCol w:w="1078"/>
              <w:gridCol w:w="1555"/>
            </w:tblGrid>
            <w:tr w14:paraId="47EB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9" w:hRule="atLeast"/>
                <w:jc w:val="center"/>
              </w:trPr>
              <w:tc>
                <w:tcPr>
                  <w:tcW w:w="277" w:type="pct"/>
                  <w:noWrap w:val="0"/>
                  <w:vAlign w:val="center"/>
                </w:tcPr>
                <w:p w14:paraId="41CAF1B6">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序 号</w:t>
                  </w:r>
                </w:p>
              </w:tc>
              <w:tc>
                <w:tcPr>
                  <w:tcW w:w="988" w:type="pct"/>
                  <w:noWrap w:val="0"/>
                  <w:vAlign w:val="center"/>
                </w:tcPr>
                <w:p w14:paraId="37C9262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废物名称</w:t>
                  </w:r>
                </w:p>
              </w:tc>
              <w:tc>
                <w:tcPr>
                  <w:tcW w:w="838" w:type="pct"/>
                  <w:noWrap w:val="0"/>
                  <w:vAlign w:val="center"/>
                </w:tcPr>
                <w:p w14:paraId="532B88E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废物类别</w:t>
                  </w:r>
                </w:p>
              </w:tc>
              <w:tc>
                <w:tcPr>
                  <w:tcW w:w="838" w:type="pct"/>
                  <w:noWrap w:val="0"/>
                  <w:vAlign w:val="center"/>
                </w:tcPr>
                <w:p w14:paraId="03E7970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废物代码</w:t>
                  </w:r>
                </w:p>
              </w:tc>
              <w:tc>
                <w:tcPr>
                  <w:tcW w:w="542" w:type="pct"/>
                  <w:noWrap w:val="0"/>
                  <w:vAlign w:val="center"/>
                </w:tcPr>
                <w:p w14:paraId="0D5958E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移出数量</w:t>
                  </w:r>
                </w:p>
                <w:p w14:paraId="508871CE">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（2024年）t/a</w:t>
                  </w:r>
                </w:p>
              </w:tc>
              <w:tc>
                <w:tcPr>
                  <w:tcW w:w="621" w:type="pct"/>
                  <w:noWrap w:val="0"/>
                  <w:vAlign w:val="center"/>
                </w:tcPr>
                <w:p w14:paraId="3C2F9A53">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包装方式</w:t>
                  </w:r>
                </w:p>
              </w:tc>
              <w:tc>
                <w:tcPr>
                  <w:tcW w:w="896" w:type="pct"/>
                  <w:noWrap w:val="0"/>
                  <w:vAlign w:val="center"/>
                </w:tcPr>
                <w:p w14:paraId="691C353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接收单位</w:t>
                  </w:r>
                </w:p>
              </w:tc>
            </w:tr>
            <w:tr w14:paraId="14E4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4" w:hRule="atLeast"/>
                <w:jc w:val="center"/>
              </w:trPr>
              <w:tc>
                <w:tcPr>
                  <w:tcW w:w="277" w:type="pct"/>
                  <w:noWrap w:val="0"/>
                  <w:vAlign w:val="center"/>
                </w:tcPr>
                <w:p w14:paraId="704F55B6">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1</w:t>
                  </w:r>
                </w:p>
              </w:tc>
              <w:tc>
                <w:tcPr>
                  <w:tcW w:w="988" w:type="pct"/>
                  <w:noWrap w:val="0"/>
                  <w:vAlign w:val="center"/>
                </w:tcPr>
                <w:p w14:paraId="53EBDAFF">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废包装桶、袋</w:t>
                  </w:r>
                </w:p>
              </w:tc>
              <w:tc>
                <w:tcPr>
                  <w:tcW w:w="838" w:type="pct"/>
                  <w:noWrap w:val="0"/>
                  <w:vAlign w:val="center"/>
                </w:tcPr>
                <w:p w14:paraId="7DFD746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HW49</w:t>
                  </w:r>
                </w:p>
              </w:tc>
              <w:tc>
                <w:tcPr>
                  <w:tcW w:w="838" w:type="pct"/>
                  <w:noWrap w:val="0"/>
                  <w:vAlign w:val="center"/>
                </w:tcPr>
                <w:p w14:paraId="72E9BE1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900-041-49</w:t>
                  </w:r>
                </w:p>
              </w:tc>
              <w:tc>
                <w:tcPr>
                  <w:tcW w:w="542" w:type="pct"/>
                  <w:noWrap w:val="0"/>
                  <w:vAlign w:val="center"/>
                </w:tcPr>
                <w:p w14:paraId="7CB953F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0.7104</w:t>
                  </w:r>
                </w:p>
              </w:tc>
              <w:tc>
                <w:tcPr>
                  <w:tcW w:w="621" w:type="pct"/>
                  <w:noWrap w:val="0"/>
                  <w:vAlign w:val="center"/>
                </w:tcPr>
                <w:p w14:paraId="678A94CB">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w:t>
                  </w:r>
                </w:p>
              </w:tc>
              <w:tc>
                <w:tcPr>
                  <w:tcW w:w="896" w:type="pct"/>
                  <w:vMerge w:val="restart"/>
                  <w:noWrap w:val="0"/>
                  <w:vAlign w:val="center"/>
                </w:tcPr>
                <w:p w14:paraId="4CFCE20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淮安华昌固废处置有限公司/中油优艺环保服务有限公司</w:t>
                  </w:r>
                </w:p>
              </w:tc>
            </w:tr>
            <w:tr w14:paraId="1EEE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atLeast"/>
                <w:jc w:val="center"/>
              </w:trPr>
              <w:tc>
                <w:tcPr>
                  <w:tcW w:w="277" w:type="pct"/>
                  <w:noWrap w:val="0"/>
                  <w:vAlign w:val="center"/>
                </w:tcPr>
                <w:p w14:paraId="13446E8A">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2</w:t>
                  </w:r>
                </w:p>
              </w:tc>
              <w:tc>
                <w:tcPr>
                  <w:tcW w:w="988" w:type="pct"/>
                  <w:noWrap w:val="0"/>
                  <w:vAlign w:val="center"/>
                </w:tcPr>
                <w:p w14:paraId="65D1733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废包装桶、袋</w:t>
                  </w:r>
                </w:p>
              </w:tc>
              <w:tc>
                <w:tcPr>
                  <w:tcW w:w="838" w:type="pct"/>
                  <w:noWrap w:val="0"/>
                  <w:vAlign w:val="center"/>
                </w:tcPr>
                <w:p w14:paraId="3A394D85">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Cs w:val="32"/>
                    </w:rPr>
                  </w:pPr>
                  <w:r>
                    <w:rPr>
                      <w:rFonts w:ascii="Times New Roman" w:hAnsi="Times New Roman" w:eastAsia="仿宋"/>
                      <w:sz w:val="24"/>
                      <w:szCs w:val="24"/>
                    </w:rPr>
                    <w:t>HW49</w:t>
                  </w:r>
                </w:p>
              </w:tc>
              <w:tc>
                <w:tcPr>
                  <w:tcW w:w="838" w:type="pct"/>
                  <w:noWrap w:val="0"/>
                  <w:vAlign w:val="center"/>
                </w:tcPr>
                <w:p w14:paraId="1A6C2BC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900-041-49</w:t>
                  </w:r>
                </w:p>
              </w:tc>
              <w:tc>
                <w:tcPr>
                  <w:tcW w:w="542" w:type="pct"/>
                  <w:noWrap w:val="0"/>
                  <w:vAlign w:val="center"/>
                </w:tcPr>
                <w:p w14:paraId="5108D35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6.1296</w:t>
                  </w:r>
                </w:p>
              </w:tc>
              <w:tc>
                <w:tcPr>
                  <w:tcW w:w="621" w:type="pct"/>
                  <w:noWrap w:val="0"/>
                  <w:vAlign w:val="center"/>
                </w:tcPr>
                <w:p w14:paraId="16A2CB00">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w:t>
                  </w:r>
                </w:p>
              </w:tc>
              <w:tc>
                <w:tcPr>
                  <w:tcW w:w="1556" w:type="dxa"/>
                  <w:vMerge w:val="continue"/>
                  <w:noWrap w:val="0"/>
                  <w:vAlign w:val="center"/>
                </w:tcPr>
                <w:p w14:paraId="2497F78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sz w:val="24"/>
                      <w:szCs w:val="24"/>
                    </w:rPr>
                  </w:pPr>
                </w:p>
              </w:tc>
            </w:tr>
            <w:tr w14:paraId="7604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jc w:val="center"/>
              </w:trPr>
              <w:tc>
                <w:tcPr>
                  <w:tcW w:w="277" w:type="pct"/>
                  <w:noWrap w:val="0"/>
                  <w:vAlign w:val="center"/>
                </w:tcPr>
                <w:p w14:paraId="06DC750F">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3</w:t>
                  </w:r>
                </w:p>
              </w:tc>
              <w:tc>
                <w:tcPr>
                  <w:tcW w:w="988" w:type="pct"/>
                  <w:noWrap w:val="0"/>
                  <w:vAlign w:val="center"/>
                </w:tcPr>
                <w:p w14:paraId="343CD7E7">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废模具</w:t>
                  </w:r>
                </w:p>
              </w:tc>
              <w:tc>
                <w:tcPr>
                  <w:tcW w:w="838" w:type="pct"/>
                  <w:noWrap w:val="0"/>
                  <w:vAlign w:val="center"/>
                </w:tcPr>
                <w:p w14:paraId="7616A8F8">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Cs w:val="32"/>
                    </w:rPr>
                  </w:pPr>
                  <w:r>
                    <w:rPr>
                      <w:rFonts w:ascii="Times New Roman" w:hAnsi="Times New Roman" w:eastAsia="仿宋"/>
                      <w:sz w:val="24"/>
                      <w:szCs w:val="24"/>
                    </w:rPr>
                    <w:t>HW49</w:t>
                  </w:r>
                </w:p>
              </w:tc>
              <w:tc>
                <w:tcPr>
                  <w:tcW w:w="838" w:type="pct"/>
                  <w:noWrap w:val="0"/>
                  <w:vAlign w:val="center"/>
                </w:tcPr>
                <w:p w14:paraId="38A9624D">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900-041-49</w:t>
                  </w:r>
                </w:p>
              </w:tc>
              <w:tc>
                <w:tcPr>
                  <w:tcW w:w="542" w:type="pct"/>
                  <w:noWrap w:val="0"/>
                  <w:vAlign w:val="center"/>
                </w:tcPr>
                <w:p w14:paraId="08F48691">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8.048</w:t>
                  </w:r>
                </w:p>
              </w:tc>
              <w:tc>
                <w:tcPr>
                  <w:tcW w:w="621" w:type="pct"/>
                  <w:noWrap w:val="0"/>
                  <w:vAlign w:val="center"/>
                </w:tcPr>
                <w:p w14:paraId="2A15A07B">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包装袋</w:t>
                  </w:r>
                </w:p>
              </w:tc>
              <w:tc>
                <w:tcPr>
                  <w:tcW w:w="1556" w:type="dxa"/>
                  <w:vMerge w:val="continue"/>
                  <w:noWrap w:val="0"/>
                  <w:vAlign w:val="center"/>
                </w:tcPr>
                <w:p w14:paraId="0E20DE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sz w:val="24"/>
                      <w:szCs w:val="24"/>
                    </w:rPr>
                  </w:pPr>
                </w:p>
              </w:tc>
            </w:tr>
            <w:tr w14:paraId="2DF6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jc w:val="center"/>
              </w:trPr>
              <w:tc>
                <w:tcPr>
                  <w:tcW w:w="277" w:type="pct"/>
                  <w:noWrap w:val="0"/>
                  <w:vAlign w:val="center"/>
                </w:tcPr>
                <w:p w14:paraId="6F765D72">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4</w:t>
                  </w:r>
                </w:p>
              </w:tc>
              <w:tc>
                <w:tcPr>
                  <w:tcW w:w="988" w:type="pct"/>
                  <w:noWrap w:val="0"/>
                  <w:vAlign w:val="center"/>
                </w:tcPr>
                <w:p w14:paraId="216F3769">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化验室废液</w:t>
                  </w:r>
                </w:p>
              </w:tc>
              <w:tc>
                <w:tcPr>
                  <w:tcW w:w="838" w:type="pct"/>
                  <w:noWrap w:val="0"/>
                  <w:vAlign w:val="center"/>
                </w:tcPr>
                <w:p w14:paraId="126F2D9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Cs w:val="32"/>
                    </w:rPr>
                  </w:pPr>
                  <w:r>
                    <w:rPr>
                      <w:rFonts w:ascii="Times New Roman" w:hAnsi="Times New Roman" w:eastAsia="仿宋"/>
                      <w:sz w:val="24"/>
                      <w:szCs w:val="24"/>
                    </w:rPr>
                    <w:t>HW49</w:t>
                  </w:r>
                </w:p>
              </w:tc>
              <w:tc>
                <w:tcPr>
                  <w:tcW w:w="838" w:type="pct"/>
                  <w:noWrap w:val="0"/>
                  <w:vAlign w:val="center"/>
                </w:tcPr>
                <w:p w14:paraId="48F2FCED">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900-047-49</w:t>
                  </w:r>
                </w:p>
              </w:tc>
              <w:tc>
                <w:tcPr>
                  <w:tcW w:w="542" w:type="pct"/>
                  <w:noWrap w:val="0"/>
                  <w:vAlign w:val="center"/>
                </w:tcPr>
                <w:p w14:paraId="2BBDEBAC">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w:t>
                  </w:r>
                </w:p>
              </w:tc>
              <w:tc>
                <w:tcPr>
                  <w:tcW w:w="621" w:type="pct"/>
                  <w:noWrap w:val="0"/>
                  <w:vAlign w:val="center"/>
                </w:tcPr>
                <w:p w14:paraId="77708744">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eastAsia="仿宋"/>
                      <w:sz w:val="24"/>
                      <w:szCs w:val="24"/>
                    </w:rPr>
                  </w:pPr>
                  <w:r>
                    <w:rPr>
                      <w:rFonts w:ascii="Times New Roman" w:hAnsi="Times New Roman" w:eastAsia="仿宋"/>
                      <w:sz w:val="24"/>
                      <w:szCs w:val="24"/>
                    </w:rPr>
                    <w:t>包装桶</w:t>
                  </w:r>
                </w:p>
              </w:tc>
              <w:tc>
                <w:tcPr>
                  <w:tcW w:w="1556" w:type="dxa"/>
                  <w:vMerge w:val="continue"/>
                  <w:noWrap w:val="0"/>
                  <w:vAlign w:val="center"/>
                </w:tcPr>
                <w:p w14:paraId="537C7D9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Times New Roman" w:hAnsi="Times New Roman" w:eastAsia="仿宋"/>
                      <w:sz w:val="24"/>
                      <w:szCs w:val="24"/>
                    </w:rPr>
                  </w:pPr>
                </w:p>
              </w:tc>
            </w:tr>
          </w:tbl>
          <w:p w14:paraId="0A29BF3D">
            <w:pPr>
              <w:spacing w:line="500" w:lineRule="exact"/>
              <w:rPr>
                <w:rFonts w:hint="eastAsia" w:ascii="Times New Roman" w:hAnsi="Times New Roman" w:eastAsia="方正小标宋_GBK"/>
                <w:sz w:val="30"/>
                <w:szCs w:val="30"/>
              </w:rPr>
            </w:pPr>
          </w:p>
        </w:tc>
      </w:tr>
      <w:tr w14:paraId="3433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8" w:hRule="atLeast"/>
          <w:jc w:val="center"/>
        </w:trPr>
        <w:tc>
          <w:tcPr>
            <w:tcW w:w="8906" w:type="dxa"/>
            <w:gridSpan w:val="2"/>
            <w:noWrap w:val="0"/>
            <w:vAlign w:val="top"/>
          </w:tcPr>
          <w:p w14:paraId="30C27564">
            <w:pPr>
              <w:keepNext w:val="0"/>
              <w:keepLines w:val="0"/>
              <w:pageBreakBefore w:val="0"/>
              <w:wordWrap/>
              <w:overflowPunct/>
              <w:bidi w:val="0"/>
              <w:spacing w:line="400" w:lineRule="exact"/>
              <w:jc w:val="both"/>
              <w:rPr>
                <w:rFonts w:hint="default" w:ascii="Times New Roman" w:hAnsi="Times New Roman" w:eastAsia="方正小标宋_GBK" w:cs="Times New Roman"/>
                <w:sz w:val="30"/>
                <w:szCs w:val="30"/>
              </w:rPr>
            </w:pPr>
            <w:r>
              <w:rPr>
                <w:rFonts w:hint="default" w:ascii="Times New Roman" w:hAnsi="Times New Roman" w:eastAsia="方正小标宋_GBK" w:cs="Times New Roman"/>
                <w:sz w:val="30"/>
                <w:szCs w:val="30"/>
              </w:rPr>
              <w:t>预防和处理污染事故和其它突发性事件的方案和资金保障计划</w:t>
            </w:r>
          </w:p>
          <w:p w14:paraId="3D123C1E">
            <w:pPr>
              <w:keepNext w:val="0"/>
              <w:keepLines w:val="0"/>
              <w:pageBreakBefore w:val="0"/>
              <w:numPr>
                <w:ilvl w:val="0"/>
                <w:numId w:val="0"/>
              </w:numPr>
              <w:wordWrap/>
              <w:overflowPunct/>
              <w:bidi w:val="0"/>
              <w:spacing w:line="400" w:lineRule="exact"/>
              <w:ind w:left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lang w:val="en-US" w:eastAsia="zh-CN"/>
              </w:rPr>
              <w:t>1.</w:t>
            </w:r>
            <w:r>
              <w:rPr>
                <w:rFonts w:hint="default" w:ascii="Times New Roman" w:hAnsi="Times New Roman" w:eastAsia="方正小标宋_GBK" w:cs="Times New Roman"/>
                <w:sz w:val="28"/>
                <w:szCs w:val="28"/>
              </w:rPr>
              <w:t>废物分析的主要仪器、设备及分析项目</w:t>
            </w:r>
          </w:p>
          <w:p w14:paraId="20B87DA3">
            <w:pPr>
              <w:pStyle w:val="11"/>
              <w:keepNext w:val="0"/>
              <w:keepLines w:val="0"/>
              <w:pageBreakBefore w:val="0"/>
              <w:wordWrap/>
              <w:overflowPunct/>
              <w:topLinePunct/>
              <w:bidi w:val="0"/>
              <w:spacing w:line="400" w:lineRule="exact"/>
              <w:ind w:firstLine="556" w:firstLineChars="200"/>
              <w:jc w:val="both"/>
              <w:rPr>
                <w:rFonts w:hint="default" w:ascii="Times New Roman" w:hAnsi="Times New Roman" w:eastAsia="仿宋" w:cs="Times New Roman"/>
                <w:spacing w:val="-1"/>
                <w:sz w:val="28"/>
                <w:szCs w:val="28"/>
              </w:rPr>
            </w:pPr>
            <w:r>
              <w:rPr>
                <w:rFonts w:hint="default" w:ascii="Times New Roman" w:hAnsi="Times New Roman" w:eastAsia="仿宋" w:cs="Times New Roman"/>
                <w:spacing w:val="-1"/>
                <w:sz w:val="28"/>
                <w:szCs w:val="28"/>
              </w:rPr>
              <w:t>（1）公司现有快速检测设备天瑞</w:t>
            </w:r>
            <w:r>
              <w:rPr>
                <w:rFonts w:hint="default" w:ascii="Times New Roman" w:hAnsi="Times New Roman" w:eastAsia="仿宋" w:cs="Times New Roman"/>
                <w:spacing w:val="-68"/>
                <w:sz w:val="28"/>
                <w:szCs w:val="28"/>
              </w:rPr>
              <w:t xml:space="preserve"> </w:t>
            </w:r>
            <w:r>
              <w:rPr>
                <w:rFonts w:hint="default" w:ascii="Times New Roman" w:hAnsi="Times New Roman" w:eastAsia="仿宋" w:cs="Times New Roman"/>
                <w:spacing w:val="-1"/>
                <w:sz w:val="28"/>
                <w:szCs w:val="28"/>
              </w:rPr>
              <w:t>EDS1800。</w:t>
            </w:r>
          </w:p>
          <w:p w14:paraId="4F40D84F">
            <w:pPr>
              <w:pStyle w:val="11"/>
              <w:keepNext w:val="0"/>
              <w:keepLines w:val="0"/>
              <w:pageBreakBefore w:val="0"/>
              <w:wordWrap/>
              <w:overflowPunct/>
              <w:topLinePunct/>
              <w:bidi w:val="0"/>
              <w:spacing w:line="400" w:lineRule="exact"/>
              <w:ind w:firstLine="548" w:firstLineChars="200"/>
              <w:jc w:val="both"/>
              <w:rPr>
                <w:rFonts w:hint="default" w:ascii="Times New Roman" w:hAnsi="Times New Roman" w:eastAsia="仿宋" w:cs="Times New Roman"/>
                <w:sz w:val="28"/>
                <w:szCs w:val="28"/>
              </w:rPr>
            </w:pPr>
            <w:r>
              <w:rPr>
                <w:rFonts w:hint="default" w:ascii="Times New Roman" w:hAnsi="Times New Roman" w:eastAsia="仿宋" w:cs="Times New Roman"/>
                <w:spacing w:val="-3"/>
                <w:sz w:val="28"/>
                <w:szCs w:val="28"/>
              </w:rPr>
              <w:t>（2）分析项目：主要测定废树脂粉中金属含量，检测因子包括</w:t>
            </w:r>
            <w:r>
              <w:rPr>
                <w:rFonts w:hint="default" w:ascii="Times New Roman" w:hAnsi="Times New Roman" w:eastAsia="仿宋" w:cs="Times New Roman"/>
                <w:spacing w:val="-57"/>
                <w:sz w:val="28"/>
                <w:szCs w:val="28"/>
              </w:rPr>
              <w:t xml:space="preserve"> </w:t>
            </w:r>
            <w:r>
              <w:rPr>
                <w:rFonts w:hint="default" w:ascii="Times New Roman" w:hAnsi="Times New Roman" w:eastAsia="仿宋" w:cs="Times New Roman"/>
                <w:spacing w:val="-3"/>
                <w:sz w:val="28"/>
                <w:szCs w:val="28"/>
              </w:rPr>
              <w:t>Cr、</w:t>
            </w:r>
            <w:r>
              <w:rPr>
                <w:rFonts w:hint="default" w:ascii="Times New Roman" w:hAnsi="Times New Roman" w:eastAsia="仿宋" w:cs="Times New Roman"/>
                <w:spacing w:val="-7"/>
                <w:sz w:val="28"/>
                <w:szCs w:val="28"/>
              </w:rPr>
              <w:t>Cd、Pb、Hg等。</w:t>
            </w:r>
          </w:p>
          <w:p w14:paraId="2DE2B7E9">
            <w:pPr>
              <w:keepNext w:val="0"/>
              <w:keepLines w:val="0"/>
              <w:pageBreakBefore w:val="0"/>
              <w:numPr>
                <w:ilvl w:val="0"/>
                <w:numId w:val="0"/>
              </w:numPr>
              <w:wordWrap/>
              <w:overflowPunct/>
              <w:bidi w:val="0"/>
              <w:spacing w:line="400" w:lineRule="exact"/>
              <w:ind w:left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lang w:val="en-US" w:eastAsia="zh-CN"/>
              </w:rPr>
              <w:t>2.</w:t>
            </w:r>
            <w:r>
              <w:rPr>
                <w:rFonts w:hint="default" w:ascii="Times New Roman" w:hAnsi="Times New Roman" w:eastAsia="方正小标宋_GBK" w:cs="Times New Roman"/>
                <w:sz w:val="28"/>
                <w:szCs w:val="28"/>
              </w:rPr>
              <w:t>安全、保卫措施</w:t>
            </w:r>
          </w:p>
          <w:p w14:paraId="0BEE0775">
            <w:pPr>
              <w:pStyle w:val="11"/>
              <w:keepNext w:val="0"/>
              <w:keepLines w:val="0"/>
              <w:pageBreakBefore w:val="0"/>
              <w:wordWrap/>
              <w:overflowPunct/>
              <w:topLinePunct/>
              <w:bidi w:val="0"/>
              <w:spacing w:line="400" w:lineRule="exact"/>
              <w:ind w:firstLine="548" w:firstLineChars="200"/>
              <w:jc w:val="both"/>
              <w:rPr>
                <w:rFonts w:hint="default" w:ascii="Times New Roman" w:hAnsi="Times New Roman" w:eastAsia="仿宋" w:cs="Times New Roman"/>
                <w:spacing w:val="-3"/>
                <w:sz w:val="28"/>
                <w:szCs w:val="28"/>
              </w:rPr>
            </w:pPr>
            <w:r>
              <w:rPr>
                <w:rFonts w:hint="default" w:ascii="Times New Roman" w:hAnsi="Times New Roman" w:eastAsia="仿宋" w:cs="Times New Roman"/>
                <w:spacing w:val="-3"/>
                <w:sz w:val="28"/>
                <w:szCs w:val="28"/>
              </w:rPr>
              <w:t>（1）制定危险废物贮存、利用设施的安全措施：设置了“无关人员、非岗位操作人员不得进入”标志；24小时值班、监控。</w:t>
            </w:r>
          </w:p>
          <w:p w14:paraId="2EB1DA77">
            <w:pPr>
              <w:pStyle w:val="11"/>
              <w:keepNext w:val="0"/>
              <w:keepLines w:val="0"/>
              <w:pageBreakBefore w:val="0"/>
              <w:wordWrap/>
              <w:overflowPunct/>
              <w:topLinePunct/>
              <w:bidi w:val="0"/>
              <w:spacing w:line="400" w:lineRule="exact"/>
              <w:ind w:firstLine="548" w:firstLineChars="200"/>
              <w:jc w:val="both"/>
              <w:rPr>
                <w:rFonts w:hint="default" w:ascii="Times New Roman" w:hAnsi="Times New Roman" w:eastAsia="仿宋" w:cs="Times New Roman"/>
                <w:spacing w:val="-3"/>
                <w:sz w:val="28"/>
                <w:szCs w:val="28"/>
              </w:rPr>
            </w:pPr>
            <w:r>
              <w:rPr>
                <w:rFonts w:hint="default" w:ascii="Times New Roman" w:hAnsi="Times New Roman" w:eastAsia="仿宋" w:cs="Times New Roman"/>
                <w:spacing w:val="-3"/>
                <w:sz w:val="28"/>
                <w:szCs w:val="28"/>
              </w:rPr>
              <w:t>（2）对应急设备、警报、消防设备定期检测，对公司安保人员每季度进行一次专题培训或演练。</w:t>
            </w:r>
          </w:p>
          <w:p w14:paraId="097983DE">
            <w:pPr>
              <w:keepNext w:val="0"/>
              <w:keepLines w:val="0"/>
              <w:pageBreakBefore w:val="0"/>
              <w:numPr>
                <w:ilvl w:val="0"/>
                <w:numId w:val="0"/>
              </w:numPr>
              <w:wordWrap/>
              <w:overflowPunct/>
              <w:bidi w:val="0"/>
              <w:spacing w:line="400" w:lineRule="exact"/>
              <w:ind w:left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lang w:val="en-US" w:eastAsia="zh-CN"/>
              </w:rPr>
              <w:t>3.</w:t>
            </w:r>
            <w:r>
              <w:rPr>
                <w:rFonts w:hint="default" w:ascii="Times New Roman" w:hAnsi="Times New Roman" w:eastAsia="方正小标宋_GBK" w:cs="Times New Roman"/>
                <w:sz w:val="28"/>
                <w:szCs w:val="28"/>
              </w:rPr>
              <w:t>内部检查监督管理措施</w:t>
            </w:r>
          </w:p>
          <w:p w14:paraId="3AA25845">
            <w:pPr>
              <w:pStyle w:val="11"/>
              <w:keepNext w:val="0"/>
              <w:keepLines w:val="0"/>
              <w:pageBreakBefore w:val="0"/>
              <w:kinsoku/>
              <w:wordWrap/>
              <w:overflowPunct/>
              <w:topLinePunct/>
              <w:bidi w:val="0"/>
              <w:spacing w:line="400" w:lineRule="exact"/>
              <w:ind w:firstLine="548" w:firstLineChars="200"/>
              <w:jc w:val="both"/>
              <w:rPr>
                <w:rFonts w:hint="default" w:ascii="Times New Roman" w:hAnsi="Times New Roman" w:eastAsia="仿宋" w:cs="Times New Roman"/>
                <w:spacing w:val="-3"/>
                <w:sz w:val="28"/>
                <w:szCs w:val="28"/>
              </w:rPr>
            </w:pPr>
            <w:r>
              <w:rPr>
                <w:rFonts w:hint="default" w:ascii="Times New Roman" w:hAnsi="Times New Roman" w:eastAsia="仿宋" w:cs="Times New Roman"/>
                <w:spacing w:val="-3"/>
                <w:sz w:val="28"/>
                <w:szCs w:val="28"/>
              </w:rPr>
              <w:t>安排专人监督和管理，安装无死角监控视频，且专人每日不定时巡查。</w:t>
            </w:r>
          </w:p>
          <w:p w14:paraId="33E4F24E">
            <w:pPr>
              <w:keepNext w:val="0"/>
              <w:keepLines w:val="0"/>
              <w:pageBreakBefore w:val="0"/>
              <w:numPr>
                <w:ilvl w:val="0"/>
                <w:numId w:val="0"/>
              </w:numPr>
              <w:wordWrap/>
              <w:overflowPunct/>
              <w:bidi w:val="0"/>
              <w:spacing w:line="400" w:lineRule="exact"/>
              <w:ind w:left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lang w:val="en-US" w:eastAsia="zh-CN"/>
              </w:rPr>
              <w:t>4.</w:t>
            </w:r>
            <w:r>
              <w:rPr>
                <w:rFonts w:hint="default" w:ascii="Times New Roman" w:hAnsi="Times New Roman" w:eastAsia="方正小标宋_GBK" w:cs="Times New Roman"/>
                <w:sz w:val="28"/>
                <w:szCs w:val="28"/>
              </w:rPr>
              <w:t>人员培训及持证上岗情况</w:t>
            </w:r>
          </w:p>
          <w:p w14:paraId="4073F364">
            <w:pPr>
              <w:pStyle w:val="11"/>
              <w:keepNext w:val="0"/>
              <w:keepLines w:val="0"/>
              <w:pageBreakBefore w:val="0"/>
              <w:kinsoku/>
              <w:wordWrap/>
              <w:overflowPunct/>
              <w:topLinePunct/>
              <w:bidi w:val="0"/>
              <w:spacing w:line="400" w:lineRule="exact"/>
              <w:ind w:firstLine="548" w:firstLineChars="200"/>
              <w:jc w:val="both"/>
              <w:rPr>
                <w:rFonts w:hint="default" w:ascii="Times New Roman" w:hAnsi="Times New Roman" w:eastAsia="仿宋" w:cs="Times New Roman"/>
                <w:spacing w:val="-3"/>
                <w:sz w:val="28"/>
                <w:szCs w:val="28"/>
              </w:rPr>
            </w:pPr>
            <w:r>
              <w:rPr>
                <w:rFonts w:hint="default" w:ascii="Times New Roman" w:hAnsi="Times New Roman" w:eastAsia="仿宋" w:cs="Times New Roman"/>
                <w:spacing w:val="-3"/>
                <w:sz w:val="28"/>
                <w:szCs w:val="28"/>
              </w:rPr>
              <w:t>从提高员工的环境意识和操作技能出发，以不断提高员工对保护环境的认识和维护环境的自觉性，拟每年编制员工培训计划并落实实施；同时积极参加上级主管部门组织的培训。所有员工须经过培训、考核合格后上岗。</w:t>
            </w:r>
          </w:p>
          <w:p w14:paraId="5698069E">
            <w:pPr>
              <w:keepNext w:val="0"/>
              <w:keepLines w:val="0"/>
              <w:pageBreakBefore w:val="0"/>
              <w:numPr>
                <w:ilvl w:val="0"/>
                <w:numId w:val="0"/>
              </w:numPr>
              <w:wordWrap/>
              <w:overflowPunct/>
              <w:bidi w:val="0"/>
              <w:spacing w:line="400" w:lineRule="exact"/>
              <w:ind w:left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lang w:val="en-US" w:eastAsia="zh-CN"/>
              </w:rPr>
              <w:t>5.</w:t>
            </w:r>
            <w:r>
              <w:rPr>
                <w:rFonts w:hint="default" w:ascii="Times New Roman" w:hAnsi="Times New Roman" w:eastAsia="方正小标宋_GBK" w:cs="Times New Roman"/>
                <w:sz w:val="28"/>
                <w:szCs w:val="28"/>
              </w:rPr>
              <w:t>意外突发事故应急措施</w:t>
            </w:r>
          </w:p>
          <w:p w14:paraId="5F487C2D">
            <w:pPr>
              <w:pStyle w:val="11"/>
              <w:keepNext w:val="0"/>
              <w:keepLines w:val="0"/>
              <w:pageBreakBefore w:val="0"/>
              <w:wordWrap/>
              <w:overflowPunct/>
              <w:topLinePunct/>
              <w:bidi w:val="0"/>
              <w:spacing w:line="400" w:lineRule="exact"/>
              <w:ind w:left="121" w:right="106" w:firstLine="544" w:firstLineChars="200"/>
              <w:jc w:val="both"/>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（1）江苏伟恩新材料有限公司制定了突发环境事件应急预案（备案编号：320872-2023-025-M），明确了突发事件处理小组的</w:t>
            </w:r>
            <w:r>
              <w:rPr>
                <w:rFonts w:hint="default" w:ascii="Times New Roman" w:hAnsi="Times New Roman" w:eastAsia="仿宋" w:cs="Times New Roman"/>
                <w:spacing w:val="-2"/>
                <w:sz w:val="28"/>
                <w:szCs w:val="28"/>
              </w:rPr>
              <w:t>组成人员及主要职责。</w:t>
            </w:r>
          </w:p>
          <w:p w14:paraId="1DC75A1D">
            <w:pPr>
              <w:pStyle w:val="11"/>
              <w:keepNext w:val="0"/>
              <w:keepLines w:val="0"/>
              <w:pageBreakBefore w:val="0"/>
              <w:wordWrap/>
              <w:overflowPunct/>
              <w:topLinePunct/>
              <w:bidi w:val="0"/>
              <w:spacing w:line="400" w:lineRule="exact"/>
              <w:ind w:left="124" w:right="106" w:firstLine="544" w:firstLineChars="200"/>
              <w:jc w:val="both"/>
              <w:rPr>
                <w:rFonts w:hint="default" w:ascii="Times New Roman" w:hAnsi="Times New Roman" w:eastAsia="仿宋" w:cs="Times New Roman"/>
                <w:sz w:val="28"/>
                <w:szCs w:val="28"/>
              </w:rPr>
            </w:pPr>
            <w:r>
              <w:rPr>
                <w:rFonts w:hint="default" w:ascii="Times New Roman" w:hAnsi="Times New Roman" w:eastAsia="仿宋" w:cs="Times New Roman"/>
                <w:spacing w:val="-4"/>
                <w:sz w:val="28"/>
                <w:szCs w:val="28"/>
              </w:rPr>
              <w:t>（2）对可能发生的突发事故（如火灾、交通意外、危废泄漏等）制</w:t>
            </w:r>
            <w:r>
              <w:rPr>
                <w:rFonts w:hint="default" w:ascii="Times New Roman" w:hAnsi="Times New Roman" w:eastAsia="仿宋" w:cs="Times New Roman"/>
                <w:spacing w:val="12"/>
                <w:sz w:val="28"/>
                <w:szCs w:val="28"/>
              </w:rPr>
              <w:t>定</w:t>
            </w:r>
            <w:r>
              <w:rPr>
                <w:rFonts w:hint="default" w:ascii="Times New Roman" w:hAnsi="Times New Roman" w:eastAsia="仿宋" w:cs="Times New Roman"/>
                <w:spacing w:val="-1"/>
                <w:sz w:val="28"/>
                <w:szCs w:val="28"/>
              </w:rPr>
              <w:t>应对方案及示意图，定期组织一次演练。</w:t>
            </w:r>
          </w:p>
          <w:p w14:paraId="66073E36">
            <w:pPr>
              <w:pStyle w:val="11"/>
              <w:keepNext w:val="0"/>
              <w:keepLines w:val="0"/>
              <w:pageBreakBefore w:val="0"/>
              <w:wordWrap/>
              <w:overflowPunct/>
              <w:topLinePunct/>
              <w:bidi w:val="0"/>
              <w:spacing w:line="400" w:lineRule="exact"/>
              <w:ind w:left="121" w:right="106" w:firstLine="544" w:firstLineChars="200"/>
              <w:jc w:val="both"/>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3）在发生事故的情况下，由地方环境监测部门及时进行监测。废水通过应急池收集，生产线立即停产可以做到无事故废水排放。发生火灾或爆炸情况下的监测因子按事故种类进行选择，主要为CO，2-3个监测点位布设在事故发生的下风向，监测时间按事故严重程度分别设置间隔时间段（1h到5h），事故终止后持续跟踪监测直到周围环境质量稳定后方可终止。</w:t>
            </w:r>
          </w:p>
          <w:p w14:paraId="4D38C503">
            <w:pPr>
              <w:keepNext w:val="0"/>
              <w:keepLines w:val="0"/>
              <w:pageBreakBefore w:val="0"/>
              <w:numPr>
                <w:ilvl w:val="0"/>
                <w:numId w:val="0"/>
              </w:numPr>
              <w:wordWrap/>
              <w:overflowPunct/>
              <w:bidi w:val="0"/>
              <w:spacing w:line="400" w:lineRule="exact"/>
              <w:ind w:left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lang w:val="en-US" w:eastAsia="zh-CN"/>
              </w:rPr>
              <w:t>6.</w:t>
            </w:r>
            <w:r>
              <w:rPr>
                <w:rFonts w:hint="default" w:ascii="Times New Roman" w:hAnsi="Times New Roman" w:eastAsia="方正小标宋_GBK" w:cs="Times New Roman"/>
                <w:sz w:val="28"/>
                <w:szCs w:val="28"/>
              </w:rPr>
              <w:t>环境监测措施</w:t>
            </w:r>
          </w:p>
          <w:p w14:paraId="55C5215B">
            <w:pPr>
              <w:pStyle w:val="11"/>
              <w:keepNext w:val="0"/>
              <w:keepLines w:val="0"/>
              <w:pageBreakBefore w:val="0"/>
              <w:wordWrap/>
              <w:overflowPunct/>
              <w:topLinePunct/>
              <w:bidi w:val="0"/>
              <w:spacing w:line="400" w:lineRule="exact"/>
              <w:ind w:left="121" w:right="106" w:firstLine="544" w:firstLineChars="200"/>
              <w:jc w:val="both"/>
              <w:rPr>
                <w:rFonts w:hint="default" w:ascii="Times New Roman" w:hAnsi="Times New Roman" w:eastAsia="仿宋" w:cs="Times New Roman"/>
                <w:spacing w:val="-4"/>
                <w:sz w:val="28"/>
                <w:szCs w:val="28"/>
              </w:rPr>
            </w:pPr>
            <w:r>
              <w:rPr>
                <w:rFonts w:hint="default" w:ascii="Times New Roman" w:hAnsi="Times New Roman" w:eastAsia="仿宋" w:cs="Times New Roman"/>
                <w:spacing w:val="-4"/>
                <w:sz w:val="28"/>
                <w:szCs w:val="28"/>
              </w:rPr>
              <w:t>根据江苏伟恩新材料有限公司有机树脂粉回收利用项目基本情况及 生产工艺，污染物产生及排放情况以及《排污单位自行监测技术指南总则》制定本方案，方案中需要监测的类别为废水、废气、噪声、土壤以及地下水。由于公司没有相应手工监测资质和设备，日常及年度监测采 用委托监测的方式，委托江苏华研检测技术有限公司进行监测。</w:t>
            </w:r>
          </w:p>
          <w:p w14:paraId="309B3575">
            <w:pPr>
              <w:keepNext w:val="0"/>
              <w:keepLines w:val="0"/>
              <w:pageBreakBefore w:val="0"/>
              <w:numPr>
                <w:ilvl w:val="0"/>
                <w:numId w:val="0"/>
              </w:numPr>
              <w:wordWrap/>
              <w:overflowPunct/>
              <w:bidi w:val="0"/>
              <w:spacing w:line="400" w:lineRule="exact"/>
              <w:ind w:leftChars="200"/>
              <w:jc w:val="both"/>
              <w:rPr>
                <w:rFonts w:hint="default" w:ascii="Times New Roman" w:hAnsi="Times New Roman" w:eastAsia="方正小标宋_GBK" w:cs="Times New Roman"/>
                <w:sz w:val="28"/>
                <w:szCs w:val="28"/>
              </w:rPr>
            </w:pPr>
            <w:r>
              <w:rPr>
                <w:rFonts w:hint="default" w:ascii="Times New Roman" w:hAnsi="Times New Roman" w:eastAsia="方正小标宋_GBK" w:cs="Times New Roman"/>
                <w:sz w:val="28"/>
                <w:szCs w:val="28"/>
                <w:lang w:val="en-US" w:eastAsia="zh-CN"/>
              </w:rPr>
              <w:t>7.</w:t>
            </w:r>
            <w:r>
              <w:rPr>
                <w:rFonts w:hint="default" w:ascii="Times New Roman" w:hAnsi="Times New Roman" w:eastAsia="方正小标宋_GBK" w:cs="Times New Roman"/>
                <w:sz w:val="28"/>
                <w:szCs w:val="28"/>
              </w:rPr>
              <w:t>发生意外突发事件，消除污染的资金保障措施</w:t>
            </w:r>
          </w:p>
          <w:p w14:paraId="3F46513F">
            <w:pPr>
              <w:pStyle w:val="11"/>
              <w:keepNext w:val="0"/>
              <w:keepLines w:val="0"/>
              <w:pageBreakBefore w:val="0"/>
              <w:wordWrap/>
              <w:overflowPunct/>
              <w:topLinePunct/>
              <w:bidi w:val="0"/>
              <w:spacing w:line="400" w:lineRule="exact"/>
              <w:ind w:left="121" w:right="106" w:firstLine="544" w:firstLineChars="200"/>
              <w:jc w:val="both"/>
              <w:rPr>
                <w:rFonts w:ascii="Times New Roman" w:hAnsi="Times New Roman" w:eastAsia="方正小标宋_GBK"/>
                <w:sz w:val="30"/>
                <w:szCs w:val="30"/>
              </w:rPr>
            </w:pPr>
            <w:r>
              <w:rPr>
                <w:rFonts w:hint="default" w:ascii="Times New Roman" w:hAnsi="Times New Roman" w:eastAsia="仿宋" w:cs="Times New Roman"/>
                <w:spacing w:val="-4"/>
                <w:sz w:val="28"/>
                <w:szCs w:val="28"/>
              </w:rPr>
              <w:t>为应付意外突发事故，为消除污染提供资金保障，我公司在紫金财产保险股份有限公司投保了环境污染责任保险。</w:t>
            </w:r>
          </w:p>
        </w:tc>
      </w:tr>
      <w:tr w14:paraId="1E3C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06" w:type="dxa"/>
            <w:gridSpan w:val="2"/>
            <w:noWrap w:val="0"/>
            <w:vAlign w:val="top"/>
          </w:tcPr>
          <w:p w14:paraId="6F210136">
            <w:pPr>
              <w:keepNext w:val="0"/>
              <w:keepLines w:val="0"/>
              <w:pageBreakBefore w:val="0"/>
              <w:wordWrap/>
              <w:overflowPunct/>
              <w:bidi w:val="0"/>
              <w:spacing w:line="400" w:lineRule="exact"/>
              <w:jc w:val="both"/>
              <w:rPr>
                <w:rFonts w:ascii="Times New Roman" w:hAnsi="Times New Roman" w:eastAsia="方正小标宋_GBK"/>
                <w:sz w:val="30"/>
                <w:szCs w:val="30"/>
              </w:rPr>
            </w:pPr>
            <w:r>
              <w:rPr>
                <w:rFonts w:hint="eastAsia" w:ascii="Times New Roman" w:hAnsi="Times New Roman" w:eastAsia="方正小标宋_GBK"/>
                <w:sz w:val="30"/>
                <w:szCs w:val="30"/>
              </w:rPr>
              <w:t>厂区布局说明及平面布置图</w:t>
            </w:r>
          </w:p>
          <w:p w14:paraId="6FACFD0E">
            <w:pPr>
              <w:keepNext w:val="0"/>
              <w:keepLines w:val="0"/>
              <w:pageBreakBefore w:val="0"/>
              <w:widowControl/>
              <w:kinsoku w:val="0"/>
              <w:wordWrap/>
              <w:overflowPunct/>
              <w:topLinePunct/>
              <w:autoSpaceDE w:val="0"/>
              <w:autoSpaceDN w:val="0"/>
              <w:bidi w:val="0"/>
              <w:adjustRightInd w:val="0"/>
              <w:snapToGrid w:val="0"/>
              <w:spacing w:line="400" w:lineRule="exact"/>
              <w:ind w:right="106" w:firstLine="560" w:firstLineChars="200"/>
              <w:jc w:val="both"/>
              <w:textAlignment w:val="baseline"/>
              <w:rPr>
                <w:rFonts w:ascii="Times New Roman" w:hAnsi="Times New Roman" w:eastAsia="仿宋"/>
                <w:color w:val="000000"/>
                <w:kern w:val="0"/>
                <w:sz w:val="28"/>
                <w:szCs w:val="28"/>
              </w:rPr>
            </w:pPr>
            <w:r>
              <w:rPr>
                <w:rFonts w:ascii="Times New Roman" w:hAnsi="Times New Roman" w:eastAsia="仿宋"/>
                <w:color w:val="000000"/>
                <w:kern w:val="0"/>
                <w:sz w:val="28"/>
                <w:szCs w:val="28"/>
              </w:rPr>
              <w:t>伟恩公司厂房共1层、厂房租赁后经装修改造后用作废树脂粉暂存</w:t>
            </w:r>
            <w:r>
              <w:rPr>
                <w:rFonts w:ascii="Times New Roman" w:hAnsi="Times New Roman" w:eastAsia="仿宋"/>
                <w:color w:val="000000"/>
                <w:spacing w:val="1"/>
                <w:kern w:val="0"/>
                <w:sz w:val="28"/>
                <w:szCs w:val="28"/>
              </w:rPr>
              <w:t>及综合利用加工生产。在厂房内分别布置废树脂贮存区、生产装置区以</w:t>
            </w:r>
            <w:r>
              <w:rPr>
                <w:rFonts w:ascii="Times New Roman" w:hAnsi="Times New Roman" w:eastAsia="仿宋"/>
                <w:color w:val="000000"/>
                <w:spacing w:val="11"/>
                <w:kern w:val="0"/>
                <w:sz w:val="28"/>
                <w:szCs w:val="28"/>
              </w:rPr>
              <w:t xml:space="preserve"> </w:t>
            </w:r>
            <w:r>
              <w:rPr>
                <w:rFonts w:ascii="Times New Roman" w:hAnsi="Times New Roman" w:eastAsia="仿宋"/>
                <w:color w:val="000000"/>
                <w:spacing w:val="1"/>
                <w:kern w:val="0"/>
                <w:sz w:val="28"/>
                <w:szCs w:val="28"/>
              </w:rPr>
              <w:t>及养护区等。同时，在厂区的南侧空地上分别设置初期雨水收集地及事</w:t>
            </w:r>
            <w:r>
              <w:rPr>
                <w:rFonts w:ascii="Times New Roman" w:hAnsi="Times New Roman" w:eastAsia="仿宋"/>
                <w:color w:val="000000"/>
                <w:spacing w:val="-1"/>
                <w:kern w:val="0"/>
                <w:sz w:val="28"/>
                <w:szCs w:val="28"/>
              </w:rPr>
              <w:t>故池。车间地面采取环氧地坪进行防渗、防腐处理。</w:t>
            </w:r>
          </w:p>
          <w:p w14:paraId="437F30D2">
            <w:pPr>
              <w:keepNext w:val="0"/>
              <w:keepLines w:val="0"/>
              <w:pageBreakBefore w:val="0"/>
              <w:wordWrap/>
              <w:overflowPunct/>
              <w:bidi w:val="0"/>
              <w:spacing w:line="400" w:lineRule="exact"/>
              <w:ind w:firstLine="552" w:firstLineChars="200"/>
              <w:jc w:val="both"/>
              <w:rPr>
                <w:rFonts w:ascii="Times New Roman" w:hAnsi="Times New Roman" w:cs="Calibri"/>
                <w:szCs w:val="32"/>
              </w:rPr>
            </w:pPr>
            <w:r>
              <w:rPr>
                <w:rFonts w:ascii="Times New Roman" w:hAnsi="Times New Roman" w:eastAsia="仿宋"/>
                <w:spacing w:val="-2"/>
                <w:sz w:val="28"/>
                <w:szCs w:val="28"/>
              </w:rPr>
              <w:t>厂区平面布置图如下：</w:t>
            </w:r>
          </w:p>
          <w:p w14:paraId="653DAE42">
            <w:pPr>
              <w:jc w:val="left"/>
              <w:rPr>
                <w:rFonts w:hint="eastAsia" w:ascii="Times New Roman" w:hAnsi="Times New Roman" w:eastAsia="新宋体"/>
                <w:sz w:val="24"/>
                <w:szCs w:val="24"/>
              </w:rPr>
            </w:pPr>
            <w:r>
              <w:rPr>
                <w:rFonts w:ascii="Times New Roman" w:hAnsi="Times New Roman" w:eastAsia="Times New Roman"/>
                <w:kern w:val="0"/>
                <w:sz w:val="20"/>
                <w:szCs w:val="20"/>
              </w:rPr>
              <w:drawing>
                <wp:anchor distT="0" distB="0" distL="114300" distR="114300" simplePos="0" relativeHeight="251659264" behindDoc="0" locked="0" layoutInCell="1" allowOverlap="0">
                  <wp:simplePos x="0" y="0"/>
                  <wp:positionH relativeFrom="column">
                    <wp:posOffset>210820</wp:posOffset>
                  </wp:positionH>
                  <wp:positionV relativeFrom="line">
                    <wp:posOffset>41910</wp:posOffset>
                  </wp:positionV>
                  <wp:extent cx="4832350" cy="4257040"/>
                  <wp:effectExtent l="0" t="0" r="6350" b="10160"/>
                  <wp:wrapSquare wrapText="bothSides"/>
                  <wp:docPr id="1" name="图片 3"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wps4"/>
                          <pic:cNvPicPr>
                            <a:picLocks noChangeAspect="1"/>
                          </pic:cNvPicPr>
                        </pic:nvPicPr>
                        <pic:blipFill>
                          <a:blip r:embed="rId9"/>
                          <a:stretch>
                            <a:fillRect/>
                          </a:stretch>
                        </pic:blipFill>
                        <pic:spPr>
                          <a:xfrm>
                            <a:off x="0" y="0"/>
                            <a:ext cx="4832350" cy="4257040"/>
                          </a:xfrm>
                          <a:prstGeom prst="rect">
                            <a:avLst/>
                          </a:prstGeom>
                          <a:noFill/>
                          <a:ln>
                            <a:noFill/>
                          </a:ln>
                        </pic:spPr>
                      </pic:pic>
                    </a:graphicData>
                  </a:graphic>
                </wp:anchor>
              </w:drawing>
            </w:r>
          </w:p>
        </w:tc>
      </w:tr>
    </w:tbl>
    <w:p w14:paraId="4C810677">
      <w:pPr>
        <w:rPr>
          <w:rFonts w:ascii="方正仿宋_GBK" w:hAnsi="方正仿宋_GBK" w:cs="方正仿宋_GBK"/>
          <w:szCs w:val="32"/>
        </w:rPr>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00"/>
    <w:family w:val="modern"/>
    <w:pitch w:val="default"/>
    <w:sig w:usb0="00000000" w:usb1="00000000" w:usb2="00000000" w:usb3="00000000" w:csb0="00040000" w:csb1="00000000"/>
  </w:font>
  <w:font w:name="新宋体">
    <w:panose1 w:val="02010609030101010101"/>
    <w:charset w:val="86"/>
    <w:family w:val="modern"/>
    <w:pitch w:val="default"/>
    <w:sig w:usb0="00000203" w:usb1="288F0000" w:usb2="0000000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CF6"/>
    <w:rsid w:val="000369D7"/>
    <w:rsid w:val="000533F6"/>
    <w:rsid w:val="00061923"/>
    <w:rsid w:val="00095D31"/>
    <w:rsid w:val="000A1392"/>
    <w:rsid w:val="000C7F15"/>
    <w:rsid w:val="00141909"/>
    <w:rsid w:val="00176536"/>
    <w:rsid w:val="001A094F"/>
    <w:rsid w:val="001A2CF6"/>
    <w:rsid w:val="001F5950"/>
    <w:rsid w:val="00210870"/>
    <w:rsid w:val="0021799E"/>
    <w:rsid w:val="00230DB8"/>
    <w:rsid w:val="00240B51"/>
    <w:rsid w:val="00254723"/>
    <w:rsid w:val="00281D32"/>
    <w:rsid w:val="00284CAB"/>
    <w:rsid w:val="00292D90"/>
    <w:rsid w:val="002A2E7F"/>
    <w:rsid w:val="002F2843"/>
    <w:rsid w:val="00305BB7"/>
    <w:rsid w:val="00333354"/>
    <w:rsid w:val="00340342"/>
    <w:rsid w:val="003416B8"/>
    <w:rsid w:val="003A048B"/>
    <w:rsid w:val="00445986"/>
    <w:rsid w:val="004736A2"/>
    <w:rsid w:val="004877B1"/>
    <w:rsid w:val="004B3DB3"/>
    <w:rsid w:val="005363FC"/>
    <w:rsid w:val="00550194"/>
    <w:rsid w:val="00566C67"/>
    <w:rsid w:val="00570713"/>
    <w:rsid w:val="005E2529"/>
    <w:rsid w:val="0060307A"/>
    <w:rsid w:val="00635F7A"/>
    <w:rsid w:val="00644258"/>
    <w:rsid w:val="00667CA2"/>
    <w:rsid w:val="006A17BD"/>
    <w:rsid w:val="006A55A5"/>
    <w:rsid w:val="006E10A8"/>
    <w:rsid w:val="00756B79"/>
    <w:rsid w:val="00757F2F"/>
    <w:rsid w:val="007921C9"/>
    <w:rsid w:val="007A0EA0"/>
    <w:rsid w:val="007A7C9C"/>
    <w:rsid w:val="008357DA"/>
    <w:rsid w:val="00835A31"/>
    <w:rsid w:val="00853465"/>
    <w:rsid w:val="00854EA2"/>
    <w:rsid w:val="00881462"/>
    <w:rsid w:val="008F7173"/>
    <w:rsid w:val="00907BB9"/>
    <w:rsid w:val="00950F7B"/>
    <w:rsid w:val="0095693D"/>
    <w:rsid w:val="00983BF8"/>
    <w:rsid w:val="0099531E"/>
    <w:rsid w:val="009B17B8"/>
    <w:rsid w:val="00A27609"/>
    <w:rsid w:val="00A60BD7"/>
    <w:rsid w:val="00A81EB2"/>
    <w:rsid w:val="00AC5126"/>
    <w:rsid w:val="00AE7068"/>
    <w:rsid w:val="00AF3B15"/>
    <w:rsid w:val="00AF7C84"/>
    <w:rsid w:val="00B506A2"/>
    <w:rsid w:val="00B54AC1"/>
    <w:rsid w:val="00B62854"/>
    <w:rsid w:val="00B859C9"/>
    <w:rsid w:val="00BB20B7"/>
    <w:rsid w:val="00C00FCC"/>
    <w:rsid w:val="00C10158"/>
    <w:rsid w:val="00C12738"/>
    <w:rsid w:val="00C45ACD"/>
    <w:rsid w:val="00C95014"/>
    <w:rsid w:val="00CB7451"/>
    <w:rsid w:val="00D02098"/>
    <w:rsid w:val="00D17C86"/>
    <w:rsid w:val="00D23EF0"/>
    <w:rsid w:val="00DB3D4F"/>
    <w:rsid w:val="00E16601"/>
    <w:rsid w:val="00E20AA1"/>
    <w:rsid w:val="00E31624"/>
    <w:rsid w:val="00E527D1"/>
    <w:rsid w:val="00E93A00"/>
    <w:rsid w:val="00EC5E74"/>
    <w:rsid w:val="00EC6F21"/>
    <w:rsid w:val="00ED766C"/>
    <w:rsid w:val="00F270D2"/>
    <w:rsid w:val="00F54923"/>
    <w:rsid w:val="00F54D60"/>
    <w:rsid w:val="00F87730"/>
    <w:rsid w:val="00F90D1D"/>
    <w:rsid w:val="00FB232B"/>
    <w:rsid w:val="11F332D0"/>
    <w:rsid w:val="6F74451B"/>
    <w:rsid w:val="763D2D72"/>
    <w:rsid w:val="77EE2181"/>
    <w:rsid w:val="7FBD49EA"/>
    <w:rsid w:val="FFDF064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Calibri" w:hAnsi="Calibri" w:eastAsia="方正仿宋_GBK" w:cs="Times New Roman"/>
      <w:kern w:val="2"/>
      <w:sz w:val="32"/>
      <w:szCs w:val="22"/>
      <w:lang w:val="en-US" w:eastAsia="zh-CN" w:bidi="ar-SA"/>
    </w:rPr>
  </w:style>
  <w:style w:type="character" w:default="1" w:styleId="6">
    <w:name w:val="Default Paragraph Font"/>
    <w:unhideWhenUsed/>
    <w:uiPriority w:val="1"/>
  </w:style>
  <w:style w:type="table" w:default="1" w:styleId="4">
    <w:name w:val="Normal Table"/>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kern w:val="0"/>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kern w:val="0"/>
      <w:sz w:val="18"/>
      <w:szCs w:val="18"/>
    </w:rPr>
  </w:style>
  <w:style w:type="table" w:styleId="5">
    <w:name w:val="Table Grid"/>
    <w:basedOn w:val="4"/>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脚 字符"/>
    <w:link w:val="2"/>
    <w:qFormat/>
    <w:uiPriority w:val="99"/>
    <w:rPr>
      <w:rFonts w:eastAsia="方正仿宋_GBK"/>
      <w:sz w:val="18"/>
      <w:szCs w:val="18"/>
    </w:rPr>
  </w:style>
  <w:style w:type="character" w:customStyle="1" w:styleId="8">
    <w:name w:val="页眉 字符"/>
    <w:link w:val="3"/>
    <w:qFormat/>
    <w:uiPriority w:val="99"/>
    <w:rPr>
      <w:rFonts w:eastAsia="方正仿宋_GBK"/>
      <w:sz w:val="18"/>
      <w:szCs w:val="18"/>
    </w:rPr>
  </w:style>
  <w:style w:type="paragraph" w:styleId="9">
    <w:name w:val="List Paragraph"/>
    <w:basedOn w:val="1"/>
    <w:qFormat/>
    <w:uiPriority w:val="34"/>
    <w:pPr>
      <w:ind w:firstLine="420" w:firstLineChars="200"/>
    </w:pPr>
  </w:style>
  <w:style w:type="paragraph" w:customStyle="1" w:styleId="10">
    <w:name w:val="Normal"/>
    <w:uiPriority w:val="0"/>
    <w:pPr>
      <w:jc w:val="both"/>
    </w:pPr>
    <w:rPr>
      <w:rFonts w:ascii="Calibri" w:hAnsi="Calibri" w:eastAsia="宋体" w:cs="Calibri"/>
      <w:kern w:val="2"/>
      <w:sz w:val="21"/>
      <w:szCs w:val="21"/>
      <w:lang w:val="en-US" w:eastAsia="zh-CN" w:bidi="ar-SA"/>
    </w:rPr>
  </w:style>
  <w:style w:type="paragraph" w:customStyle="1" w:styleId="11">
    <w:name w:val="Table Text"/>
    <w:basedOn w:val="1"/>
    <w:semiHidden/>
    <w:uiPriority w:val="0"/>
    <w:pPr>
      <w:widowControl/>
      <w:kinsoku w:val="0"/>
      <w:autoSpaceDE w:val="0"/>
      <w:autoSpaceDN w:val="0"/>
      <w:adjustRightInd w:val="0"/>
      <w:snapToGrid w:val="0"/>
      <w:spacing w:line="240" w:lineRule="auto"/>
      <w:jc w:val="left"/>
      <w:textAlignment w:val="baseline"/>
    </w:pPr>
    <w:rPr>
      <w:rFonts w:ascii="宋体" w:hAnsi="宋体" w:eastAsia="宋体" w:cs="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mtcorp</Company>
  <Pages>13</Pages>
  <Words>7030</Words>
  <Characters>7787</Characters>
  <Lines>413</Lines>
  <Paragraphs>479</Paragraphs>
  <TotalTime>23</TotalTime>
  <ScaleCrop>false</ScaleCrop>
  <LinksUpToDate>false</LinksUpToDate>
  <CharactersWithSpaces>7900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2013-04-08T10:52:00Z</dcterms:created>
  <dc:creator>milo</dc:creator>
  <cp:lastModifiedBy>张牌散热器</cp:lastModifiedBy>
  <dcterms:modified xsi:type="dcterms:W3CDTF">2025-07-04T01:53:39Z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eyJoZGlkIjoiNWRmNGMxMDk5MGU4ODNlYTI3M2QwMjFmNDY4NTJlNWIiLCJ1c2VySWQiOiIzODU3MjE4MzIifQ==</vt:lpwstr>
  </property>
  <property fmtid="{D5CDD505-2E9C-101B-9397-08002B2CF9AE}" pid="3" name="KSOProductBuildVer">
    <vt:lpwstr>2052-12.1.0.21541</vt:lpwstr>
  </property>
  <property fmtid="{D5CDD505-2E9C-101B-9397-08002B2CF9AE}" pid="4" name="ICV">
    <vt:lpwstr>897B88D69DA84AECA828202154899289_13</vt:lpwstr>
  </property>
</Properties>
</file>