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8743C">
      <w:pPr>
        <w:rPr>
          <w:rFonts w:hint="default" w:ascii="Times New Roman" w:hAnsi="Times New Roman" w:eastAsia="宋体" w:cs="Times New Roman"/>
          <w:szCs w:val="21"/>
        </w:rPr>
      </w:pPr>
    </w:p>
    <w:p w14:paraId="2FC8F0E3">
      <w:pPr>
        <w:rPr>
          <w:rFonts w:hint="default" w:ascii="Times New Roman" w:hAnsi="Times New Roman" w:eastAsia="宋体" w:cs="Times New Roman"/>
          <w:szCs w:val="21"/>
        </w:rPr>
      </w:pPr>
    </w:p>
    <w:p w14:paraId="08B2D10E">
      <w:pPr>
        <w:rPr>
          <w:rFonts w:hint="default" w:ascii="Times New Roman" w:hAnsi="Times New Roman" w:eastAsia="宋体" w:cs="Times New Roman"/>
          <w:szCs w:val="21"/>
        </w:rPr>
      </w:pPr>
    </w:p>
    <w:p w14:paraId="72E7DAF5">
      <w:pPr>
        <w:rPr>
          <w:rFonts w:hint="default" w:ascii="Times New Roman" w:hAnsi="Times New Roman" w:eastAsia="宋体" w:cs="Times New Roman"/>
          <w:szCs w:val="21"/>
        </w:rPr>
      </w:pPr>
    </w:p>
    <w:p w14:paraId="3A83FFCB">
      <w:pPr>
        <w:adjustRightInd w:val="0"/>
        <w:snapToGrid w:val="0"/>
        <w:jc w:val="center"/>
        <w:outlineLvl w:val="0"/>
        <w:rPr>
          <w:rFonts w:hint="default" w:ascii="Times New Roman" w:hAnsi="Times New Roman" w:eastAsia="宋体" w:cs="Times New Roman"/>
          <w:bCs/>
          <w:sz w:val="72"/>
          <w:szCs w:val="72"/>
        </w:rPr>
      </w:pPr>
      <w:bookmarkStart w:id="0" w:name="_Toc22183"/>
      <w:r>
        <w:rPr>
          <w:rFonts w:hint="default" w:ascii="Times New Roman" w:hAnsi="Times New Roman" w:eastAsia="宋体" w:cs="Times New Roman"/>
          <w:bCs/>
          <w:sz w:val="72"/>
          <w:szCs w:val="72"/>
        </w:rPr>
        <w:t>建设项目环境影响报告表</w:t>
      </w:r>
      <w:bookmarkEnd w:id="0"/>
    </w:p>
    <w:p w14:paraId="484A913A">
      <w:pPr>
        <w:adjustRightInd w:val="0"/>
        <w:snapToGrid w:val="0"/>
        <w:spacing w:before="249" w:beforeLines="80"/>
        <w:jc w:val="center"/>
        <w:rPr>
          <w:rFonts w:hint="default" w:ascii="Times New Roman" w:hAnsi="Times New Roman" w:eastAsia="宋体" w:cs="Times New Roman"/>
          <w:bCs/>
          <w:sz w:val="48"/>
          <w:szCs w:val="48"/>
        </w:rPr>
      </w:pPr>
      <w:r>
        <w:rPr>
          <w:rFonts w:hint="default" w:ascii="Times New Roman" w:hAnsi="Times New Roman" w:eastAsia="宋体" w:cs="Times New Roman"/>
          <w:bCs/>
          <w:sz w:val="48"/>
          <w:szCs w:val="48"/>
        </w:rPr>
        <w:t>（生态影响类）</w:t>
      </w:r>
    </w:p>
    <w:p w14:paraId="4C333868">
      <w:pPr>
        <w:adjustRightInd w:val="0"/>
        <w:snapToGrid w:val="0"/>
        <w:spacing w:before="249" w:beforeLines="80"/>
        <w:jc w:val="center"/>
        <w:rPr>
          <w:rFonts w:hint="default" w:ascii="Times New Roman" w:hAnsi="Times New Roman" w:eastAsia="宋体" w:cs="Times New Roman"/>
          <w:bCs/>
          <w:sz w:val="48"/>
          <w:szCs w:val="48"/>
        </w:rPr>
      </w:pPr>
    </w:p>
    <w:p w14:paraId="1767CE7B">
      <w:pPr>
        <w:adjustRightInd w:val="0"/>
        <w:snapToGrid w:val="0"/>
        <w:spacing w:line="288" w:lineRule="auto"/>
        <w:ind w:left="1966" w:leftChars="165" w:hanging="1620" w:hangingChars="450"/>
        <w:rPr>
          <w:rFonts w:hint="default" w:ascii="Times New Roman" w:hAnsi="Times New Roman" w:eastAsia="宋体" w:cs="Times New Roman"/>
          <w:sz w:val="36"/>
          <w:szCs w:val="36"/>
        </w:rPr>
      </w:pPr>
    </w:p>
    <w:p w14:paraId="556E9B4B">
      <w:pPr>
        <w:adjustRightInd w:val="0"/>
        <w:snapToGrid w:val="0"/>
        <w:spacing w:line="288" w:lineRule="auto"/>
        <w:ind w:left="1966" w:leftChars="165" w:hanging="1620" w:hangingChars="450"/>
        <w:rPr>
          <w:rFonts w:hint="default" w:ascii="Times New Roman" w:hAnsi="Times New Roman" w:eastAsia="宋体" w:cs="Times New Roman"/>
          <w:sz w:val="36"/>
          <w:szCs w:val="36"/>
        </w:rPr>
      </w:pPr>
    </w:p>
    <w:p w14:paraId="2D6B18FD">
      <w:pPr>
        <w:adjustRightInd w:val="0"/>
        <w:snapToGrid w:val="0"/>
        <w:spacing w:line="288" w:lineRule="auto"/>
        <w:ind w:left="1966" w:leftChars="165" w:hanging="1620" w:hangingChars="450"/>
        <w:rPr>
          <w:rFonts w:hint="default" w:ascii="Times New Roman" w:hAnsi="Times New Roman" w:eastAsia="宋体" w:cs="Times New Roman"/>
          <w:sz w:val="36"/>
          <w:szCs w:val="36"/>
        </w:rPr>
      </w:pPr>
    </w:p>
    <w:p w14:paraId="6243B237">
      <w:pPr>
        <w:adjustRightInd w:val="0"/>
        <w:snapToGrid w:val="0"/>
        <w:spacing w:line="288" w:lineRule="auto"/>
        <w:ind w:left="1966" w:leftChars="165" w:hanging="1620" w:hangingChars="450"/>
        <w:rPr>
          <w:rFonts w:hint="default" w:ascii="Times New Roman" w:hAnsi="Times New Roman" w:eastAsia="宋体" w:cs="Times New Roman"/>
          <w:sz w:val="36"/>
          <w:szCs w:val="36"/>
        </w:rPr>
      </w:pPr>
    </w:p>
    <w:p w14:paraId="3C15FA0D">
      <w:pPr>
        <w:adjustRightInd w:val="0"/>
        <w:snapToGrid w:val="0"/>
        <w:spacing w:line="288" w:lineRule="auto"/>
        <w:ind w:left="1966" w:leftChars="165" w:hanging="1620" w:hangingChars="450"/>
        <w:rPr>
          <w:rFonts w:hint="default" w:ascii="Times New Roman" w:hAnsi="Times New Roman" w:eastAsia="宋体" w:cs="Times New Roman"/>
          <w:sz w:val="36"/>
          <w:szCs w:val="36"/>
        </w:rPr>
      </w:pPr>
    </w:p>
    <w:p w14:paraId="59EBA24E">
      <w:pPr>
        <w:adjustRightInd w:val="0"/>
        <w:snapToGrid w:val="0"/>
        <w:spacing w:line="288" w:lineRule="auto"/>
        <w:ind w:left="1966" w:leftChars="165" w:hanging="1620" w:hangingChars="45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项目名称：</w:t>
      </w:r>
      <w:r>
        <w:rPr>
          <w:rFonts w:hint="default" w:ascii="Times New Roman" w:hAnsi="Times New Roman" w:eastAsia="宋体" w:cs="Times New Roman"/>
          <w:sz w:val="36"/>
          <w:szCs w:val="36"/>
          <w:u w:val="single"/>
        </w:rPr>
        <w:t xml:space="preserve"> </w:t>
      </w:r>
      <w:r>
        <w:rPr>
          <w:rFonts w:hint="eastAsia" w:cs="Times New Roman"/>
          <w:sz w:val="36"/>
          <w:szCs w:val="36"/>
          <w:u w:val="single"/>
          <w:lang w:val="en-US" w:eastAsia="zh-CN"/>
        </w:rPr>
        <w:t xml:space="preserve">     </w:t>
      </w:r>
      <w:r>
        <w:rPr>
          <w:rFonts w:hint="default" w:ascii="Times New Roman" w:hAnsi="Times New Roman" w:eastAsia="宋体" w:cs="Times New Roman"/>
          <w:sz w:val="36"/>
          <w:szCs w:val="36"/>
          <w:u w:val="single"/>
          <w:lang w:val="en-US" w:eastAsia="zh-CN"/>
        </w:rPr>
        <w:t xml:space="preserve">京杭运河淮安段黄码港锚地建设工程 </w:t>
      </w:r>
      <w:r>
        <w:rPr>
          <w:rFonts w:hint="default" w:ascii="Times New Roman" w:hAnsi="Times New Roman" w:eastAsia="宋体" w:cs="Times New Roman"/>
          <w:sz w:val="36"/>
          <w:szCs w:val="36"/>
          <w:u w:val="single"/>
        </w:rPr>
        <w:t xml:space="preserve"> </w:t>
      </w:r>
    </w:p>
    <w:p w14:paraId="1E203799">
      <w:pPr>
        <w:adjustRightInd w:val="0"/>
        <w:snapToGrid w:val="0"/>
        <w:spacing w:line="288" w:lineRule="auto"/>
        <w:ind w:left="1966" w:leftChars="165" w:hanging="1620" w:hangingChars="450"/>
        <w:rPr>
          <w:rFonts w:hint="default" w:ascii="Times New Roman" w:hAnsi="Times New Roman" w:eastAsia="宋体" w:cs="Times New Roman"/>
          <w:bCs/>
          <w:sz w:val="72"/>
          <w:szCs w:val="72"/>
        </w:rPr>
      </w:pPr>
      <w:r>
        <w:rPr>
          <w:rFonts w:hint="default" w:ascii="Times New Roman" w:hAnsi="Times New Roman" w:eastAsia="宋体" w:cs="Times New Roman"/>
          <w:sz w:val="36"/>
          <w:szCs w:val="36"/>
        </w:rPr>
        <w:t>建设单位（盖章）：</w:t>
      </w:r>
      <w:r>
        <w:rPr>
          <w:rFonts w:hint="default" w:ascii="Times New Roman" w:hAnsi="Times New Roman" w:eastAsia="宋体" w:cs="Times New Roman"/>
          <w:sz w:val="36"/>
          <w:szCs w:val="36"/>
          <w:u w:val="single"/>
        </w:rPr>
        <w:t xml:space="preserve">  淮安大成港业投资股份有限公司  </w:t>
      </w:r>
    </w:p>
    <w:p w14:paraId="3177E0AB">
      <w:pPr>
        <w:adjustRightInd w:val="0"/>
        <w:snapToGrid w:val="0"/>
        <w:spacing w:line="288" w:lineRule="auto"/>
        <w:ind w:firstLine="360" w:firstLineChars="100"/>
        <w:rPr>
          <w:rFonts w:hint="default" w:ascii="Times New Roman" w:hAnsi="Times New Roman" w:eastAsia="宋体" w:cs="Times New Roman"/>
          <w:bCs/>
          <w:sz w:val="72"/>
          <w:szCs w:val="72"/>
        </w:rPr>
      </w:pPr>
      <w:r>
        <w:rPr>
          <w:rFonts w:hint="default" w:ascii="Times New Roman" w:hAnsi="Times New Roman" w:eastAsia="宋体" w:cs="Times New Roman"/>
          <w:sz w:val="36"/>
          <w:szCs w:val="36"/>
        </w:rPr>
        <w:t>编制日期：</w:t>
      </w:r>
      <w:r>
        <w:rPr>
          <w:rFonts w:hint="default" w:ascii="Times New Roman" w:hAnsi="Times New Roman" w:eastAsia="宋体" w:cs="Times New Roman"/>
          <w:sz w:val="36"/>
          <w:szCs w:val="36"/>
          <w:u w:val="single"/>
        </w:rPr>
        <w:t xml:space="preserve">           </w:t>
      </w:r>
      <w:r>
        <w:rPr>
          <w:rFonts w:hint="eastAsia" w:cs="Times New Roman"/>
          <w:sz w:val="36"/>
          <w:szCs w:val="36"/>
          <w:u w:val="single"/>
          <w:lang w:val="en-US" w:eastAsia="zh-CN"/>
        </w:rPr>
        <w:t xml:space="preserve">      </w:t>
      </w:r>
      <w:r>
        <w:rPr>
          <w:rFonts w:hint="default" w:ascii="Times New Roman" w:hAnsi="Times New Roman" w:eastAsia="宋体" w:cs="Times New Roman"/>
          <w:sz w:val="36"/>
          <w:szCs w:val="36"/>
          <w:u w:val="single"/>
        </w:rPr>
        <w:t>202</w:t>
      </w:r>
      <w:r>
        <w:rPr>
          <w:rFonts w:hint="default" w:ascii="Times New Roman" w:hAnsi="Times New Roman" w:eastAsia="宋体" w:cs="Times New Roman"/>
          <w:sz w:val="36"/>
          <w:szCs w:val="36"/>
          <w:u w:val="single"/>
          <w:lang w:val="en-US" w:eastAsia="zh-CN"/>
        </w:rPr>
        <w:t>4</w:t>
      </w:r>
      <w:r>
        <w:rPr>
          <w:rFonts w:hint="default" w:ascii="Times New Roman" w:hAnsi="Times New Roman" w:eastAsia="宋体" w:cs="Times New Roman"/>
          <w:sz w:val="36"/>
          <w:szCs w:val="36"/>
          <w:u w:val="single"/>
        </w:rPr>
        <w:t>年</w:t>
      </w:r>
      <w:r>
        <w:rPr>
          <w:rFonts w:hint="eastAsia" w:cs="Times New Roman"/>
          <w:sz w:val="36"/>
          <w:szCs w:val="36"/>
          <w:u w:val="single"/>
          <w:lang w:val="en-US" w:eastAsia="zh-CN"/>
        </w:rPr>
        <w:t>7</w:t>
      </w:r>
      <w:r>
        <w:rPr>
          <w:rFonts w:hint="default" w:ascii="Times New Roman" w:hAnsi="Times New Roman" w:eastAsia="宋体" w:cs="Times New Roman"/>
          <w:sz w:val="36"/>
          <w:szCs w:val="36"/>
          <w:u w:val="single"/>
        </w:rPr>
        <w:t xml:space="preserve">月   </w:t>
      </w:r>
      <w:r>
        <w:rPr>
          <w:rFonts w:hint="default" w:ascii="Times New Roman" w:hAnsi="Times New Roman" w:eastAsia="宋体" w:cs="Times New Roman"/>
          <w:sz w:val="36"/>
          <w:szCs w:val="36"/>
          <w:u w:val="single"/>
          <w:lang w:val="en-US" w:eastAsia="zh-CN"/>
        </w:rPr>
        <w:t xml:space="preserve">  </w:t>
      </w:r>
      <w:r>
        <w:rPr>
          <w:rFonts w:hint="default" w:ascii="Times New Roman" w:hAnsi="Times New Roman" w:eastAsia="宋体" w:cs="Times New Roman"/>
          <w:sz w:val="36"/>
          <w:szCs w:val="36"/>
          <w:u w:val="single"/>
        </w:rPr>
        <w:t xml:space="preserve">        </w:t>
      </w:r>
    </w:p>
    <w:p w14:paraId="60F1EB5B">
      <w:pPr>
        <w:adjustRightInd w:val="0"/>
        <w:snapToGrid w:val="0"/>
        <w:spacing w:line="288" w:lineRule="auto"/>
        <w:jc w:val="center"/>
        <w:rPr>
          <w:rFonts w:hint="default" w:ascii="Times New Roman" w:hAnsi="Times New Roman" w:eastAsia="宋体" w:cs="Times New Roman"/>
          <w:sz w:val="36"/>
          <w:szCs w:val="36"/>
        </w:rPr>
      </w:pPr>
    </w:p>
    <w:p w14:paraId="7E372C02">
      <w:pPr>
        <w:adjustRightInd w:val="0"/>
        <w:snapToGrid w:val="0"/>
        <w:spacing w:line="288" w:lineRule="auto"/>
        <w:jc w:val="center"/>
        <w:rPr>
          <w:rFonts w:hint="default" w:ascii="Times New Roman" w:hAnsi="Times New Roman" w:eastAsia="宋体" w:cs="Times New Roman"/>
          <w:sz w:val="36"/>
          <w:szCs w:val="36"/>
        </w:rPr>
      </w:pPr>
    </w:p>
    <w:p w14:paraId="0A13BF01">
      <w:pPr>
        <w:adjustRightInd w:val="0"/>
        <w:snapToGrid w:val="0"/>
        <w:spacing w:line="288" w:lineRule="auto"/>
        <w:jc w:val="center"/>
        <w:rPr>
          <w:rFonts w:hint="default" w:ascii="Times New Roman" w:hAnsi="Times New Roman" w:eastAsia="宋体" w:cs="Times New Roman"/>
          <w:sz w:val="36"/>
          <w:szCs w:val="36"/>
        </w:rPr>
      </w:pPr>
    </w:p>
    <w:p w14:paraId="49E21A10">
      <w:pPr>
        <w:adjustRightInd w:val="0"/>
        <w:snapToGrid w:val="0"/>
        <w:spacing w:line="288" w:lineRule="auto"/>
        <w:jc w:val="center"/>
        <w:rPr>
          <w:rFonts w:hint="default" w:ascii="Times New Roman" w:hAnsi="Times New Roman" w:eastAsia="宋体" w:cs="Times New Roman"/>
          <w:sz w:val="36"/>
          <w:szCs w:val="36"/>
        </w:rPr>
      </w:pPr>
    </w:p>
    <w:p w14:paraId="32CE4B2C">
      <w:pPr>
        <w:adjustRightInd w:val="0"/>
        <w:snapToGrid w:val="0"/>
        <w:spacing w:line="288" w:lineRule="auto"/>
        <w:jc w:val="center"/>
        <w:rPr>
          <w:rFonts w:hint="default" w:ascii="Times New Roman" w:hAnsi="Times New Roman" w:eastAsia="宋体" w:cs="Times New Roman"/>
          <w:sz w:val="36"/>
          <w:szCs w:val="36"/>
        </w:rPr>
        <w:sectPr>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6"/>
          <w:szCs w:val="36"/>
        </w:rPr>
        <w:t>中华人民共和国生态环境部制</w:t>
      </w:r>
    </w:p>
    <w:sdt>
      <w:sdtPr>
        <w:rPr>
          <w:rFonts w:ascii="宋体" w:hAnsi="宋体" w:eastAsia="宋体" w:cs="Times New Roman"/>
          <w:kern w:val="2"/>
          <w:sz w:val="21"/>
          <w:szCs w:val="24"/>
          <w:lang w:val="en-US" w:eastAsia="zh-CN" w:bidi="ar-SA"/>
        </w:rPr>
        <w:id w:val="147453988"/>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2EBAB339">
          <w:pPr>
            <w:spacing w:before="0" w:beforeLines="0" w:after="0" w:afterLines="0" w:line="240" w:lineRule="auto"/>
            <w:ind w:left="0" w:leftChars="0" w:right="0" w:rightChars="0" w:firstLine="0" w:firstLineChars="0"/>
            <w:jc w:val="center"/>
            <w:rPr>
              <w:sz w:val="28"/>
              <w:szCs w:val="28"/>
            </w:rPr>
          </w:pPr>
          <w:r>
            <w:rPr>
              <w:rFonts w:ascii="宋体" w:hAnsi="宋体" w:eastAsia="宋体"/>
              <w:b/>
              <w:bCs/>
              <w:sz w:val="36"/>
              <w:szCs w:val="36"/>
            </w:rPr>
            <w:t>目录</w:t>
          </w:r>
        </w:p>
        <w:p w14:paraId="5089E510">
          <w:pPr>
            <w:pStyle w:val="2461"/>
            <w:tabs>
              <w:tab w:val="right" w:leader="dot" w:pos="9740"/>
            </w:tabs>
            <w:rPr>
              <w:sz w:val="28"/>
              <w:szCs w:val="28"/>
            </w:rPr>
          </w:pPr>
          <w:r>
            <w:rPr>
              <w:sz w:val="28"/>
              <w:szCs w:val="28"/>
            </w:rPr>
            <w:fldChar w:fldCharType="begin"/>
          </w:r>
          <w:r>
            <w:rPr>
              <w:sz w:val="28"/>
              <w:szCs w:val="28"/>
            </w:rPr>
            <w:instrText xml:space="preserve">TOC \o "1-1" \h \u </w:instrText>
          </w:r>
          <w:r>
            <w:rPr>
              <w:sz w:val="28"/>
              <w:szCs w:val="28"/>
            </w:rPr>
            <w:fldChar w:fldCharType="separate"/>
          </w:r>
        </w:p>
        <w:p w14:paraId="2AD6C071">
          <w:pPr>
            <w:pStyle w:val="2461"/>
            <w:tabs>
              <w:tab w:val="right" w:leader="dot" w:pos="9740"/>
            </w:tabs>
            <w:rPr>
              <w:sz w:val="28"/>
              <w:szCs w:val="28"/>
            </w:rPr>
          </w:pPr>
          <w:r>
            <w:rPr>
              <w:sz w:val="28"/>
              <w:szCs w:val="28"/>
            </w:rPr>
            <w:fldChar w:fldCharType="begin"/>
          </w:r>
          <w:r>
            <w:rPr>
              <w:sz w:val="28"/>
              <w:szCs w:val="28"/>
            </w:rPr>
            <w:instrText xml:space="preserve"> HYPERLINK \l _Toc30010 </w:instrText>
          </w:r>
          <w:r>
            <w:rPr>
              <w:sz w:val="28"/>
              <w:szCs w:val="28"/>
            </w:rPr>
            <w:fldChar w:fldCharType="separate"/>
          </w:r>
          <w:r>
            <w:rPr>
              <w:rFonts w:hint="default" w:ascii="Times New Roman" w:hAnsi="Times New Roman" w:eastAsia="宋体" w:cs="Times New Roman"/>
              <w:snapToGrid w:val="0"/>
              <w:kern w:val="0"/>
              <w:sz w:val="28"/>
              <w:szCs w:val="28"/>
            </w:rPr>
            <w:t>一、建设项目基本情况</w:t>
          </w:r>
          <w:r>
            <w:rPr>
              <w:sz w:val="28"/>
              <w:szCs w:val="28"/>
            </w:rPr>
            <w:tab/>
          </w:r>
          <w:r>
            <w:rPr>
              <w:sz w:val="28"/>
              <w:szCs w:val="28"/>
            </w:rPr>
            <w:fldChar w:fldCharType="begin"/>
          </w:r>
          <w:r>
            <w:rPr>
              <w:sz w:val="28"/>
              <w:szCs w:val="28"/>
            </w:rPr>
            <w:instrText xml:space="preserve"> PAGEREF _Toc30010 \h </w:instrText>
          </w:r>
          <w:r>
            <w:rPr>
              <w:sz w:val="28"/>
              <w:szCs w:val="28"/>
            </w:rPr>
            <w:fldChar w:fldCharType="separate"/>
          </w:r>
          <w:r>
            <w:rPr>
              <w:sz w:val="28"/>
              <w:szCs w:val="28"/>
            </w:rPr>
            <w:t>1</w:t>
          </w:r>
          <w:r>
            <w:rPr>
              <w:sz w:val="28"/>
              <w:szCs w:val="28"/>
            </w:rPr>
            <w:fldChar w:fldCharType="end"/>
          </w:r>
          <w:r>
            <w:rPr>
              <w:sz w:val="28"/>
              <w:szCs w:val="28"/>
            </w:rPr>
            <w:fldChar w:fldCharType="end"/>
          </w:r>
        </w:p>
        <w:p w14:paraId="0680B33D">
          <w:pPr>
            <w:pStyle w:val="2461"/>
            <w:tabs>
              <w:tab w:val="right" w:leader="dot" w:pos="9740"/>
            </w:tabs>
            <w:rPr>
              <w:sz w:val="28"/>
              <w:szCs w:val="28"/>
            </w:rPr>
          </w:pPr>
          <w:r>
            <w:rPr>
              <w:sz w:val="28"/>
              <w:szCs w:val="28"/>
            </w:rPr>
            <w:fldChar w:fldCharType="begin"/>
          </w:r>
          <w:r>
            <w:rPr>
              <w:sz w:val="28"/>
              <w:szCs w:val="28"/>
            </w:rPr>
            <w:instrText xml:space="preserve"> HYPERLINK \l _Toc18963 </w:instrText>
          </w:r>
          <w:r>
            <w:rPr>
              <w:sz w:val="28"/>
              <w:szCs w:val="28"/>
            </w:rPr>
            <w:fldChar w:fldCharType="separate"/>
          </w:r>
          <w:r>
            <w:rPr>
              <w:rFonts w:hint="default" w:ascii="Times New Roman" w:hAnsi="Times New Roman" w:eastAsia="宋体" w:cs="Times New Roman"/>
              <w:snapToGrid w:val="0"/>
              <w:sz w:val="28"/>
              <w:szCs w:val="28"/>
            </w:rPr>
            <w:t>二、建设内容</w:t>
          </w:r>
          <w:r>
            <w:rPr>
              <w:sz w:val="28"/>
              <w:szCs w:val="28"/>
            </w:rPr>
            <w:tab/>
          </w:r>
          <w:r>
            <w:rPr>
              <w:sz w:val="28"/>
              <w:szCs w:val="28"/>
            </w:rPr>
            <w:fldChar w:fldCharType="begin"/>
          </w:r>
          <w:r>
            <w:rPr>
              <w:sz w:val="28"/>
              <w:szCs w:val="28"/>
            </w:rPr>
            <w:instrText xml:space="preserve"> PAGEREF _Toc18963 \h </w:instrText>
          </w:r>
          <w:r>
            <w:rPr>
              <w:sz w:val="28"/>
              <w:szCs w:val="28"/>
            </w:rPr>
            <w:fldChar w:fldCharType="separate"/>
          </w:r>
          <w:r>
            <w:rPr>
              <w:sz w:val="28"/>
              <w:szCs w:val="28"/>
            </w:rPr>
            <w:t>24</w:t>
          </w:r>
          <w:r>
            <w:rPr>
              <w:sz w:val="28"/>
              <w:szCs w:val="28"/>
            </w:rPr>
            <w:fldChar w:fldCharType="end"/>
          </w:r>
          <w:r>
            <w:rPr>
              <w:sz w:val="28"/>
              <w:szCs w:val="28"/>
            </w:rPr>
            <w:fldChar w:fldCharType="end"/>
          </w:r>
        </w:p>
        <w:p w14:paraId="0AD9C43F">
          <w:pPr>
            <w:pStyle w:val="2461"/>
            <w:tabs>
              <w:tab w:val="right" w:leader="dot" w:pos="9740"/>
            </w:tabs>
            <w:rPr>
              <w:sz w:val="28"/>
              <w:szCs w:val="28"/>
            </w:rPr>
          </w:pPr>
          <w:r>
            <w:rPr>
              <w:sz w:val="28"/>
              <w:szCs w:val="28"/>
            </w:rPr>
            <w:fldChar w:fldCharType="begin"/>
          </w:r>
          <w:r>
            <w:rPr>
              <w:sz w:val="28"/>
              <w:szCs w:val="28"/>
            </w:rPr>
            <w:instrText xml:space="preserve"> HYPERLINK \l _Toc19199 </w:instrText>
          </w:r>
          <w:r>
            <w:rPr>
              <w:sz w:val="28"/>
              <w:szCs w:val="28"/>
            </w:rPr>
            <w:fldChar w:fldCharType="separate"/>
          </w:r>
          <w:r>
            <w:rPr>
              <w:rFonts w:hint="default" w:ascii="Times New Roman" w:hAnsi="Times New Roman" w:eastAsia="宋体" w:cs="Times New Roman"/>
              <w:snapToGrid w:val="0"/>
              <w:sz w:val="28"/>
              <w:szCs w:val="28"/>
            </w:rPr>
            <w:t>三、生态环境现状、保护目标及评价标准</w:t>
          </w:r>
          <w:r>
            <w:rPr>
              <w:sz w:val="28"/>
              <w:szCs w:val="28"/>
            </w:rPr>
            <w:tab/>
          </w:r>
          <w:r>
            <w:rPr>
              <w:sz w:val="28"/>
              <w:szCs w:val="28"/>
            </w:rPr>
            <w:fldChar w:fldCharType="begin"/>
          </w:r>
          <w:r>
            <w:rPr>
              <w:sz w:val="28"/>
              <w:szCs w:val="28"/>
            </w:rPr>
            <w:instrText xml:space="preserve"> PAGEREF _Toc19199 \h </w:instrText>
          </w:r>
          <w:r>
            <w:rPr>
              <w:sz w:val="28"/>
              <w:szCs w:val="28"/>
            </w:rPr>
            <w:fldChar w:fldCharType="separate"/>
          </w:r>
          <w:r>
            <w:rPr>
              <w:sz w:val="28"/>
              <w:szCs w:val="28"/>
            </w:rPr>
            <w:t>40</w:t>
          </w:r>
          <w:r>
            <w:rPr>
              <w:sz w:val="28"/>
              <w:szCs w:val="28"/>
            </w:rPr>
            <w:fldChar w:fldCharType="end"/>
          </w:r>
          <w:r>
            <w:rPr>
              <w:sz w:val="28"/>
              <w:szCs w:val="28"/>
            </w:rPr>
            <w:fldChar w:fldCharType="end"/>
          </w:r>
        </w:p>
        <w:p w14:paraId="1B5938A3">
          <w:pPr>
            <w:pStyle w:val="2461"/>
            <w:tabs>
              <w:tab w:val="right" w:leader="dot" w:pos="9740"/>
            </w:tabs>
            <w:rPr>
              <w:sz w:val="28"/>
              <w:szCs w:val="28"/>
            </w:rPr>
          </w:pPr>
          <w:r>
            <w:rPr>
              <w:sz w:val="28"/>
              <w:szCs w:val="28"/>
            </w:rPr>
            <w:fldChar w:fldCharType="begin"/>
          </w:r>
          <w:r>
            <w:rPr>
              <w:sz w:val="28"/>
              <w:szCs w:val="28"/>
            </w:rPr>
            <w:instrText xml:space="preserve"> HYPERLINK \l _Toc22082 </w:instrText>
          </w:r>
          <w:r>
            <w:rPr>
              <w:sz w:val="28"/>
              <w:szCs w:val="28"/>
            </w:rPr>
            <w:fldChar w:fldCharType="separate"/>
          </w:r>
          <w:r>
            <w:rPr>
              <w:rFonts w:hint="default" w:ascii="Times New Roman" w:hAnsi="Times New Roman" w:eastAsia="宋体" w:cs="Times New Roman"/>
              <w:snapToGrid w:val="0"/>
              <w:sz w:val="28"/>
              <w:szCs w:val="28"/>
            </w:rPr>
            <w:t>四、生态环境影响分析</w:t>
          </w:r>
          <w:r>
            <w:rPr>
              <w:sz w:val="28"/>
              <w:szCs w:val="28"/>
            </w:rPr>
            <w:tab/>
          </w:r>
          <w:r>
            <w:rPr>
              <w:sz w:val="28"/>
              <w:szCs w:val="28"/>
            </w:rPr>
            <w:fldChar w:fldCharType="begin"/>
          </w:r>
          <w:r>
            <w:rPr>
              <w:sz w:val="28"/>
              <w:szCs w:val="28"/>
            </w:rPr>
            <w:instrText xml:space="preserve"> PAGEREF _Toc22082 \h </w:instrText>
          </w:r>
          <w:r>
            <w:rPr>
              <w:sz w:val="28"/>
              <w:szCs w:val="28"/>
            </w:rPr>
            <w:fldChar w:fldCharType="separate"/>
          </w:r>
          <w:r>
            <w:rPr>
              <w:sz w:val="28"/>
              <w:szCs w:val="28"/>
            </w:rPr>
            <w:t>59</w:t>
          </w:r>
          <w:r>
            <w:rPr>
              <w:sz w:val="28"/>
              <w:szCs w:val="28"/>
            </w:rPr>
            <w:fldChar w:fldCharType="end"/>
          </w:r>
          <w:r>
            <w:rPr>
              <w:sz w:val="28"/>
              <w:szCs w:val="28"/>
            </w:rPr>
            <w:fldChar w:fldCharType="end"/>
          </w:r>
        </w:p>
        <w:p w14:paraId="665A69C0">
          <w:pPr>
            <w:pStyle w:val="2461"/>
            <w:tabs>
              <w:tab w:val="right" w:leader="dot" w:pos="9740"/>
            </w:tabs>
            <w:rPr>
              <w:sz w:val="28"/>
              <w:szCs w:val="28"/>
            </w:rPr>
          </w:pPr>
          <w:r>
            <w:rPr>
              <w:sz w:val="28"/>
              <w:szCs w:val="28"/>
            </w:rPr>
            <w:fldChar w:fldCharType="begin"/>
          </w:r>
          <w:r>
            <w:rPr>
              <w:sz w:val="28"/>
              <w:szCs w:val="28"/>
            </w:rPr>
            <w:instrText xml:space="preserve"> HYPERLINK \l _Toc9493 </w:instrText>
          </w:r>
          <w:r>
            <w:rPr>
              <w:sz w:val="28"/>
              <w:szCs w:val="28"/>
            </w:rPr>
            <w:fldChar w:fldCharType="separate"/>
          </w:r>
          <w:r>
            <w:rPr>
              <w:rFonts w:hint="default" w:ascii="Times New Roman" w:hAnsi="Times New Roman" w:eastAsia="宋体" w:cs="Times New Roman"/>
              <w:snapToGrid w:val="0"/>
              <w:sz w:val="28"/>
              <w:szCs w:val="28"/>
            </w:rPr>
            <w:t>五、主要生态环境保护措施</w:t>
          </w:r>
          <w:r>
            <w:rPr>
              <w:sz w:val="28"/>
              <w:szCs w:val="28"/>
            </w:rPr>
            <w:tab/>
          </w:r>
          <w:r>
            <w:rPr>
              <w:sz w:val="28"/>
              <w:szCs w:val="28"/>
            </w:rPr>
            <w:fldChar w:fldCharType="begin"/>
          </w:r>
          <w:r>
            <w:rPr>
              <w:sz w:val="28"/>
              <w:szCs w:val="28"/>
            </w:rPr>
            <w:instrText xml:space="preserve"> PAGEREF _Toc9493 \h </w:instrText>
          </w:r>
          <w:r>
            <w:rPr>
              <w:sz w:val="28"/>
              <w:szCs w:val="28"/>
            </w:rPr>
            <w:fldChar w:fldCharType="separate"/>
          </w:r>
          <w:r>
            <w:rPr>
              <w:sz w:val="28"/>
              <w:szCs w:val="28"/>
            </w:rPr>
            <w:t>84</w:t>
          </w:r>
          <w:r>
            <w:rPr>
              <w:sz w:val="28"/>
              <w:szCs w:val="28"/>
            </w:rPr>
            <w:fldChar w:fldCharType="end"/>
          </w:r>
          <w:r>
            <w:rPr>
              <w:sz w:val="28"/>
              <w:szCs w:val="28"/>
            </w:rPr>
            <w:fldChar w:fldCharType="end"/>
          </w:r>
        </w:p>
        <w:p w14:paraId="2B54E7F6">
          <w:pPr>
            <w:pStyle w:val="2461"/>
            <w:tabs>
              <w:tab w:val="right" w:leader="dot" w:pos="9740"/>
            </w:tabs>
            <w:rPr>
              <w:sz w:val="28"/>
              <w:szCs w:val="28"/>
            </w:rPr>
          </w:pPr>
          <w:r>
            <w:rPr>
              <w:sz w:val="28"/>
              <w:szCs w:val="28"/>
            </w:rPr>
            <w:fldChar w:fldCharType="begin"/>
          </w:r>
          <w:r>
            <w:rPr>
              <w:sz w:val="28"/>
              <w:szCs w:val="28"/>
            </w:rPr>
            <w:instrText xml:space="preserve"> HYPERLINK \l _Toc22201 </w:instrText>
          </w:r>
          <w:r>
            <w:rPr>
              <w:sz w:val="28"/>
              <w:szCs w:val="28"/>
            </w:rPr>
            <w:fldChar w:fldCharType="separate"/>
          </w:r>
          <w:r>
            <w:rPr>
              <w:rFonts w:hint="default" w:ascii="Times New Roman" w:hAnsi="Times New Roman" w:eastAsia="宋体" w:cs="Times New Roman"/>
              <w:snapToGrid w:val="0"/>
              <w:sz w:val="28"/>
              <w:szCs w:val="28"/>
            </w:rPr>
            <w:t>六、生态环境保护措施监督检查清单</w:t>
          </w:r>
          <w:r>
            <w:rPr>
              <w:sz w:val="28"/>
              <w:szCs w:val="28"/>
            </w:rPr>
            <w:tab/>
          </w:r>
          <w:r>
            <w:rPr>
              <w:sz w:val="28"/>
              <w:szCs w:val="28"/>
            </w:rPr>
            <w:fldChar w:fldCharType="begin"/>
          </w:r>
          <w:r>
            <w:rPr>
              <w:sz w:val="28"/>
              <w:szCs w:val="28"/>
            </w:rPr>
            <w:instrText xml:space="preserve"> PAGEREF _Toc22201 \h </w:instrText>
          </w:r>
          <w:r>
            <w:rPr>
              <w:sz w:val="28"/>
              <w:szCs w:val="28"/>
            </w:rPr>
            <w:fldChar w:fldCharType="separate"/>
          </w:r>
          <w:r>
            <w:rPr>
              <w:sz w:val="28"/>
              <w:szCs w:val="28"/>
            </w:rPr>
            <w:t>97</w:t>
          </w:r>
          <w:r>
            <w:rPr>
              <w:sz w:val="28"/>
              <w:szCs w:val="28"/>
            </w:rPr>
            <w:fldChar w:fldCharType="end"/>
          </w:r>
          <w:r>
            <w:rPr>
              <w:sz w:val="28"/>
              <w:szCs w:val="28"/>
            </w:rPr>
            <w:fldChar w:fldCharType="end"/>
          </w:r>
        </w:p>
        <w:p w14:paraId="25D0565C">
          <w:pPr>
            <w:pStyle w:val="2461"/>
            <w:tabs>
              <w:tab w:val="right" w:leader="dot" w:pos="9740"/>
            </w:tabs>
            <w:rPr>
              <w:sz w:val="28"/>
              <w:szCs w:val="28"/>
            </w:rPr>
          </w:pPr>
          <w:r>
            <w:rPr>
              <w:sz w:val="28"/>
              <w:szCs w:val="28"/>
            </w:rPr>
            <w:fldChar w:fldCharType="begin"/>
          </w:r>
          <w:r>
            <w:rPr>
              <w:sz w:val="28"/>
              <w:szCs w:val="28"/>
            </w:rPr>
            <w:instrText xml:space="preserve"> HYPERLINK \l _Toc13470 </w:instrText>
          </w:r>
          <w:r>
            <w:rPr>
              <w:sz w:val="28"/>
              <w:szCs w:val="28"/>
            </w:rPr>
            <w:fldChar w:fldCharType="separate"/>
          </w:r>
          <w:r>
            <w:rPr>
              <w:rFonts w:hint="default" w:ascii="Times New Roman" w:hAnsi="Times New Roman" w:eastAsia="宋体" w:cs="Times New Roman"/>
              <w:snapToGrid w:val="0"/>
              <w:sz w:val="28"/>
              <w:szCs w:val="28"/>
            </w:rPr>
            <w:t>七、结论</w:t>
          </w:r>
          <w:r>
            <w:rPr>
              <w:sz w:val="28"/>
              <w:szCs w:val="28"/>
            </w:rPr>
            <w:tab/>
          </w:r>
          <w:r>
            <w:rPr>
              <w:sz w:val="28"/>
              <w:szCs w:val="28"/>
            </w:rPr>
            <w:fldChar w:fldCharType="begin"/>
          </w:r>
          <w:r>
            <w:rPr>
              <w:sz w:val="28"/>
              <w:szCs w:val="28"/>
            </w:rPr>
            <w:instrText xml:space="preserve"> PAGEREF _Toc13470 \h </w:instrText>
          </w:r>
          <w:r>
            <w:rPr>
              <w:sz w:val="28"/>
              <w:szCs w:val="28"/>
            </w:rPr>
            <w:fldChar w:fldCharType="separate"/>
          </w:r>
          <w:r>
            <w:rPr>
              <w:sz w:val="28"/>
              <w:szCs w:val="28"/>
            </w:rPr>
            <w:t>99</w:t>
          </w:r>
          <w:r>
            <w:rPr>
              <w:sz w:val="28"/>
              <w:szCs w:val="28"/>
            </w:rPr>
            <w:fldChar w:fldCharType="end"/>
          </w:r>
          <w:r>
            <w:rPr>
              <w:sz w:val="28"/>
              <w:szCs w:val="28"/>
            </w:rPr>
            <w:fldChar w:fldCharType="end"/>
          </w:r>
        </w:p>
        <w:p w14:paraId="753B4EDF">
          <w:pPr>
            <w:pStyle w:val="2461"/>
            <w:tabs>
              <w:tab w:val="right" w:leader="dot" w:pos="9740"/>
            </w:tabs>
            <w:rPr>
              <w:sz w:val="28"/>
              <w:szCs w:val="28"/>
            </w:rPr>
          </w:pPr>
        </w:p>
        <w:p w14:paraId="03C1EEEA">
          <w:pPr>
            <w:rPr>
              <w:rFonts w:hint="default"/>
              <w:b/>
              <w:bCs/>
              <w:sz w:val="24"/>
              <w:szCs w:val="24"/>
            </w:rPr>
          </w:pPr>
          <w:r>
            <w:rPr>
              <w:sz w:val="28"/>
              <w:szCs w:val="28"/>
            </w:rPr>
            <w:fldChar w:fldCharType="end"/>
          </w:r>
          <w:bookmarkStart w:id="1" w:name="_Toc30010"/>
        </w:p>
      </w:sdtContent>
    </w:sdt>
    <w:p w14:paraId="5613BD3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b/>
          <w:bCs/>
          <w:sz w:val="24"/>
          <w:szCs w:val="24"/>
        </w:rPr>
        <w:t>一、附图：</w:t>
      </w:r>
    </w:p>
    <w:p w14:paraId="7EDCF8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附图1：项目地理位置示意图</w:t>
      </w:r>
    </w:p>
    <w:p w14:paraId="6D22E2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附图2</w:t>
      </w:r>
      <w:r>
        <w:rPr>
          <w:rFonts w:hint="eastAsia"/>
          <w:sz w:val="24"/>
          <w:szCs w:val="24"/>
          <w:lang w:val="en-US" w:eastAsia="zh-CN"/>
        </w:rPr>
        <w:t>：</w:t>
      </w:r>
      <w:r>
        <w:rPr>
          <w:rFonts w:hint="default"/>
          <w:sz w:val="24"/>
          <w:szCs w:val="24"/>
          <w:lang w:val="en-US" w:eastAsia="zh-CN"/>
        </w:rPr>
        <w:t>项目平面布置图</w:t>
      </w:r>
    </w:p>
    <w:p w14:paraId="68D975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附图3 本项目与生态红线及生态空间管控区位置关系图</w:t>
      </w:r>
    </w:p>
    <w:p w14:paraId="0BD9B0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附图4 国家级和省级主体功能区分布</w:t>
      </w:r>
      <w:bookmarkStart w:id="38" w:name="_GoBack"/>
      <w:bookmarkEnd w:id="38"/>
      <w:r>
        <w:rPr>
          <w:rFonts w:hint="default"/>
          <w:sz w:val="24"/>
          <w:szCs w:val="24"/>
          <w:lang w:val="en-US" w:eastAsia="zh-CN"/>
        </w:rPr>
        <w:t>图</w:t>
      </w:r>
    </w:p>
    <w:p w14:paraId="4C35CC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附图5 本项目区域水系图（含地表水、底泥监测点位）</w:t>
      </w:r>
    </w:p>
    <w:p w14:paraId="401947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附图6  淮安港总体规划布局图</w:t>
      </w:r>
    </w:p>
    <w:p w14:paraId="1B266E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附图7 本项目在大运河淮安段核心监控区中位置（叠图）</w:t>
      </w:r>
    </w:p>
    <w:p w14:paraId="3CFB7B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附图8 疏浚淤泥运输路线图（含淤泥干化场位置）</w:t>
      </w:r>
    </w:p>
    <w:p w14:paraId="59D257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附图9 淤泥干化场现场航拍图</w:t>
      </w:r>
    </w:p>
    <w:p w14:paraId="50B445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附图10 淤泥干化场大气敏感目标图</w:t>
      </w:r>
    </w:p>
    <w:p w14:paraId="1511AA45">
      <w:pPr>
        <w:bidi w:val="0"/>
        <w:rPr>
          <w:rFonts w:hint="default"/>
        </w:rPr>
      </w:pPr>
      <w:bookmarkStart w:id="2" w:name="_Toc25103"/>
      <w:r>
        <w:rPr>
          <w:rFonts w:hint="default"/>
          <w:b/>
          <w:bCs/>
          <w:sz w:val="24"/>
          <w:szCs w:val="24"/>
        </w:rPr>
        <w:t>二、附件：</w:t>
      </w:r>
      <w:bookmarkEnd w:id="2"/>
    </w:p>
    <w:p w14:paraId="03C8B4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附件1：环评委托书</w:t>
      </w:r>
    </w:p>
    <w:p w14:paraId="3BCB15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附件2</w:t>
      </w:r>
      <w:r>
        <w:rPr>
          <w:rFonts w:hint="eastAsia"/>
          <w:sz w:val="24"/>
          <w:szCs w:val="24"/>
          <w:lang w:val="en-US" w:eastAsia="zh-CN"/>
        </w:rPr>
        <w:t>：</w:t>
      </w:r>
      <w:r>
        <w:rPr>
          <w:rFonts w:hint="default"/>
          <w:sz w:val="24"/>
          <w:szCs w:val="24"/>
          <w:lang w:val="en-US" w:eastAsia="zh-CN"/>
        </w:rPr>
        <w:t>备案证</w:t>
      </w:r>
    </w:p>
    <w:p w14:paraId="4C16AC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附件3</w:t>
      </w:r>
      <w:r>
        <w:rPr>
          <w:rFonts w:hint="eastAsia"/>
          <w:sz w:val="24"/>
          <w:szCs w:val="24"/>
          <w:lang w:val="en-US" w:eastAsia="zh-CN"/>
        </w:rPr>
        <w:t>：</w:t>
      </w:r>
      <w:r>
        <w:rPr>
          <w:rFonts w:hint="default"/>
          <w:sz w:val="24"/>
          <w:szCs w:val="24"/>
          <w:lang w:val="en-US" w:eastAsia="zh-CN"/>
        </w:rPr>
        <w:t>苏北航务管理处《关于淮安市区港区黄码作业区工程通航影响评价报告的审核意见》（京运苏北航【2018】39号）</w:t>
      </w:r>
    </w:p>
    <w:p w14:paraId="0EA6B5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附件4</w:t>
      </w:r>
      <w:r>
        <w:rPr>
          <w:rFonts w:hint="eastAsia"/>
          <w:sz w:val="24"/>
          <w:szCs w:val="24"/>
          <w:lang w:val="en-US" w:eastAsia="zh-CN"/>
        </w:rPr>
        <w:t>：</w:t>
      </w:r>
      <w:r>
        <w:rPr>
          <w:rFonts w:hint="default"/>
          <w:sz w:val="24"/>
          <w:szCs w:val="24"/>
          <w:lang w:val="en-US" w:eastAsia="zh-CN"/>
        </w:rPr>
        <w:t>《关于支持清江浦区推进淮安市区港区黄码作业区项目建设的专题会议纪要》（淮安市清江浦区人民政府专题会议纪要第17号）</w:t>
      </w:r>
    </w:p>
    <w:p w14:paraId="4C1A3A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sz w:val="24"/>
          <w:szCs w:val="24"/>
          <w:lang w:val="en-US" w:eastAsia="zh-CN"/>
        </w:rPr>
        <w:t>附</w:t>
      </w:r>
      <w:r>
        <w:rPr>
          <w:rFonts w:hint="default"/>
          <w:color w:val="auto"/>
          <w:sz w:val="24"/>
          <w:szCs w:val="24"/>
          <w:lang w:val="en-US" w:eastAsia="zh-CN"/>
        </w:rPr>
        <w:t>件5</w:t>
      </w:r>
      <w:r>
        <w:rPr>
          <w:rFonts w:hint="eastAsia"/>
          <w:color w:val="auto"/>
          <w:sz w:val="24"/>
          <w:szCs w:val="24"/>
          <w:lang w:val="en-US" w:eastAsia="zh-CN"/>
        </w:rPr>
        <w:t>：</w:t>
      </w:r>
      <w:r>
        <w:rPr>
          <w:rFonts w:hint="default"/>
          <w:color w:val="auto"/>
          <w:sz w:val="24"/>
          <w:szCs w:val="24"/>
          <w:lang w:val="en-US" w:eastAsia="zh-CN"/>
        </w:rPr>
        <w:t>《准予交通运输行政确认决定书》（案号：苏交苏北航确字</w:t>
      </w:r>
      <w:r>
        <w:rPr>
          <w:rFonts w:hint="eastAsia"/>
          <w:color w:val="auto"/>
          <w:sz w:val="24"/>
          <w:szCs w:val="24"/>
          <w:lang w:val="en-US" w:eastAsia="zh-CN"/>
        </w:rPr>
        <w:t>〔</w:t>
      </w:r>
      <w:r>
        <w:rPr>
          <w:rFonts w:hint="default"/>
          <w:color w:val="auto"/>
          <w:sz w:val="24"/>
          <w:szCs w:val="24"/>
          <w:lang w:val="en-US" w:eastAsia="zh-CN"/>
        </w:rPr>
        <w:t>2021</w:t>
      </w:r>
      <w:r>
        <w:rPr>
          <w:rFonts w:hint="eastAsia"/>
          <w:color w:val="auto"/>
          <w:sz w:val="24"/>
          <w:szCs w:val="24"/>
          <w:lang w:val="en-US" w:eastAsia="zh-CN"/>
        </w:rPr>
        <w:t>〕</w:t>
      </w:r>
      <w:r>
        <w:rPr>
          <w:rFonts w:hint="default"/>
          <w:color w:val="auto"/>
          <w:sz w:val="24"/>
          <w:szCs w:val="24"/>
          <w:lang w:val="en-US" w:eastAsia="zh-CN"/>
        </w:rPr>
        <w:t>00011号）</w:t>
      </w:r>
    </w:p>
    <w:p w14:paraId="362B23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附件6</w:t>
      </w:r>
      <w:r>
        <w:rPr>
          <w:rFonts w:hint="eastAsia"/>
          <w:color w:val="auto"/>
          <w:sz w:val="24"/>
          <w:szCs w:val="24"/>
          <w:lang w:val="en-US" w:eastAsia="zh-CN"/>
        </w:rPr>
        <w:t>：港外锚地划定核准信息表</w:t>
      </w:r>
    </w:p>
    <w:p w14:paraId="55D42F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附件7</w:t>
      </w:r>
      <w:r>
        <w:rPr>
          <w:rFonts w:hint="eastAsia"/>
          <w:color w:val="auto"/>
          <w:sz w:val="24"/>
          <w:szCs w:val="24"/>
          <w:lang w:val="en-US" w:eastAsia="zh-CN"/>
        </w:rPr>
        <w:t>：</w:t>
      </w:r>
      <w:r>
        <w:rPr>
          <w:rFonts w:hint="default"/>
          <w:color w:val="auto"/>
          <w:sz w:val="24"/>
          <w:szCs w:val="24"/>
          <w:lang w:val="en-US" w:eastAsia="zh-CN"/>
        </w:rPr>
        <w:t>声明确认单</w:t>
      </w:r>
    </w:p>
    <w:p w14:paraId="64B7C6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附件8</w:t>
      </w:r>
      <w:r>
        <w:rPr>
          <w:rFonts w:hint="eastAsia"/>
          <w:sz w:val="24"/>
          <w:szCs w:val="24"/>
          <w:lang w:val="en-US" w:eastAsia="zh-CN"/>
        </w:rPr>
        <w:t>：</w:t>
      </w:r>
      <w:r>
        <w:rPr>
          <w:rFonts w:hint="default"/>
          <w:sz w:val="24"/>
          <w:szCs w:val="24"/>
          <w:lang w:val="en-US" w:eastAsia="zh-CN"/>
        </w:rPr>
        <w:t>工程师现场踏勘照片</w:t>
      </w:r>
    </w:p>
    <w:p w14:paraId="64585E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eastAsia="宋体"/>
          <w:sz w:val="24"/>
          <w:szCs w:val="24"/>
          <w:lang w:val="en-US" w:eastAsia="zh-CN"/>
        </w:rPr>
        <w:t>附件9：底泥检测报告</w:t>
      </w:r>
    </w:p>
    <w:p w14:paraId="06F558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default" w:eastAsia="宋体"/>
          <w:sz w:val="24"/>
          <w:szCs w:val="24"/>
          <w:lang w:val="en-US" w:eastAsia="zh-CN"/>
        </w:rPr>
        <w:t>附件10</w:t>
      </w:r>
      <w:r>
        <w:rPr>
          <w:rFonts w:hint="eastAsia" w:eastAsia="宋体"/>
          <w:sz w:val="24"/>
          <w:szCs w:val="24"/>
          <w:lang w:val="en-US" w:eastAsia="zh-CN"/>
        </w:rPr>
        <w:t>：</w:t>
      </w:r>
      <w:r>
        <w:rPr>
          <w:rFonts w:hint="default" w:eastAsia="宋体"/>
          <w:sz w:val="24"/>
          <w:szCs w:val="24"/>
          <w:lang w:val="en-US" w:eastAsia="zh-CN"/>
        </w:rPr>
        <w:t>京杭运河淮安段黄码港锚地建设工程符合生态空间管控区域有限人为活动-评审意见</w:t>
      </w:r>
    </w:p>
    <w:p w14:paraId="54564B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eastAsia="宋体"/>
          <w:sz w:val="24"/>
          <w:szCs w:val="24"/>
          <w:lang w:val="en-US" w:eastAsia="zh-CN"/>
        </w:rPr>
        <w:t>附件11：</w:t>
      </w:r>
      <w:r>
        <w:rPr>
          <w:rFonts w:hint="eastAsia"/>
          <w:sz w:val="24"/>
          <w:szCs w:val="24"/>
          <w:lang w:val="en-US" w:eastAsia="zh-CN"/>
        </w:rPr>
        <w:t>《</w:t>
      </w:r>
      <w:r>
        <w:rPr>
          <w:rFonts w:hint="default" w:eastAsia="宋体"/>
          <w:sz w:val="24"/>
          <w:szCs w:val="24"/>
          <w:lang w:val="en-US" w:eastAsia="zh-CN"/>
        </w:rPr>
        <w:t>关于淮安大成港业投资股份有限公司淮安港市区港区黄码作业区码头工程项目环境影响报告书的批复</w:t>
      </w:r>
      <w:r>
        <w:rPr>
          <w:rFonts w:hint="eastAsia"/>
          <w:sz w:val="24"/>
          <w:szCs w:val="24"/>
          <w:lang w:val="en-US" w:eastAsia="zh-CN"/>
        </w:rPr>
        <w:t>》（清环发〔2022</w:t>
      </w:r>
      <w:r>
        <w:rPr>
          <w:rFonts w:hint="eastAsia" w:ascii="宋体" w:hAnsi="宋体" w:eastAsia="宋体" w:cs="宋体"/>
          <w:sz w:val="24"/>
          <w:szCs w:val="24"/>
          <w:lang w:val="en-US" w:eastAsia="zh-CN"/>
        </w:rPr>
        <w:t>〕</w:t>
      </w:r>
      <w:r>
        <w:rPr>
          <w:rFonts w:hint="eastAsia"/>
          <w:sz w:val="24"/>
          <w:szCs w:val="24"/>
          <w:lang w:val="en-US" w:eastAsia="zh-CN"/>
        </w:rPr>
        <w:t>47号）</w:t>
      </w:r>
    </w:p>
    <w:p w14:paraId="7CF78D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p>
    <w:p w14:paraId="7BE3CF36">
      <w:pPr>
        <w:bidi w:val="0"/>
        <w:rPr>
          <w:rFonts w:hint="default"/>
        </w:rPr>
      </w:pPr>
    </w:p>
    <w:p w14:paraId="33D54EF4">
      <w:pPr>
        <w:bidi w:val="0"/>
        <w:rPr>
          <w:rFonts w:hint="default"/>
        </w:rPr>
      </w:pPr>
    </w:p>
    <w:p w14:paraId="02D5D510">
      <w:pPr>
        <w:bidi w:val="0"/>
        <w:rPr>
          <w:rFonts w:hint="default"/>
        </w:rPr>
      </w:pPr>
    </w:p>
    <w:p w14:paraId="096FB5D4">
      <w:pPr>
        <w:bidi w:val="0"/>
        <w:rPr>
          <w:rFonts w:hint="default"/>
        </w:rPr>
      </w:pPr>
    </w:p>
    <w:p w14:paraId="6A2FE091">
      <w:pPr>
        <w:bidi w:val="0"/>
        <w:rPr>
          <w:rFonts w:hint="default"/>
        </w:rPr>
      </w:pPr>
    </w:p>
    <w:p w14:paraId="6CB98337">
      <w:pPr>
        <w:bidi w:val="0"/>
        <w:rPr>
          <w:rFonts w:hint="default"/>
        </w:rPr>
      </w:pPr>
    </w:p>
    <w:p w14:paraId="1B243E4B">
      <w:pPr>
        <w:bidi w:val="0"/>
        <w:rPr>
          <w:rFonts w:hint="default"/>
        </w:rPr>
      </w:pPr>
    </w:p>
    <w:p w14:paraId="7F686D9D">
      <w:pPr>
        <w:bidi w:val="0"/>
        <w:rPr>
          <w:rFonts w:hint="default"/>
        </w:rPr>
      </w:pPr>
    </w:p>
    <w:p w14:paraId="7328FFBB">
      <w:pPr>
        <w:bidi w:val="0"/>
        <w:rPr>
          <w:rFonts w:hint="default"/>
        </w:rPr>
      </w:pPr>
    </w:p>
    <w:p w14:paraId="5267EF2A">
      <w:pPr>
        <w:bidi w:val="0"/>
        <w:rPr>
          <w:rFonts w:hint="default"/>
        </w:rPr>
      </w:pPr>
    </w:p>
    <w:p w14:paraId="0B28CDD7">
      <w:pPr>
        <w:widowControl/>
        <w:spacing w:before="100" w:beforeAutospacing="1" w:after="100" w:afterAutospacing="1"/>
        <w:jc w:val="center"/>
        <w:outlineLvl w:val="0"/>
        <w:rPr>
          <w:rFonts w:hint="default" w:ascii="Times New Roman" w:hAnsi="Times New Roman" w:eastAsia="宋体" w:cs="Times New Roman"/>
          <w:b/>
          <w:snapToGrid w:val="0"/>
          <w:kern w:val="0"/>
          <w:sz w:val="30"/>
          <w:szCs w:val="30"/>
        </w:rPr>
        <w:sectPr>
          <w:footerReference r:id="rId3" w:type="default"/>
          <w:pgSz w:w="11906" w:h="16838"/>
          <w:pgMar w:top="1440" w:right="1083" w:bottom="1440" w:left="1083"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39C36D58">
      <w:pPr>
        <w:widowControl/>
        <w:spacing w:before="100" w:beforeAutospacing="1" w:after="100" w:afterAutospacing="1"/>
        <w:jc w:val="center"/>
        <w:outlineLvl w:val="0"/>
        <w:rPr>
          <w:rFonts w:hint="default" w:ascii="Times New Roman" w:hAnsi="Times New Roman" w:eastAsia="宋体" w:cs="Times New Roman"/>
          <w:b/>
          <w:snapToGrid w:val="0"/>
          <w:kern w:val="0"/>
          <w:sz w:val="30"/>
          <w:szCs w:val="30"/>
        </w:rPr>
      </w:pPr>
      <w:r>
        <w:rPr>
          <w:rFonts w:hint="default" w:ascii="Times New Roman" w:hAnsi="Times New Roman" w:eastAsia="宋体" w:cs="Times New Roman"/>
          <w:b/>
          <w:snapToGrid w:val="0"/>
          <w:kern w:val="0"/>
          <w:sz w:val="30"/>
          <w:szCs w:val="30"/>
        </w:rPr>
        <w:t>一、建设项目基本情况</w:t>
      </w:r>
      <w:bookmarkEnd w:id="1"/>
    </w:p>
    <w:tbl>
      <w:tblPr>
        <w:tblStyle w:val="89"/>
        <w:tblpPr w:leftFromText="180" w:rightFromText="180" w:vertAnchor="text" w:tblpXSpec="center" w:tblpY="1"/>
        <w:tblOverlap w:val="never"/>
        <w:tblW w:w="496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81"/>
        <w:gridCol w:w="1139"/>
        <w:gridCol w:w="2556"/>
        <w:gridCol w:w="1938"/>
        <w:gridCol w:w="3286"/>
      </w:tblGrid>
      <w:tr w14:paraId="317BC5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922" w:type="dxa"/>
            <w:gridSpan w:val="2"/>
            <w:tcMar>
              <w:top w:w="16" w:type="dxa"/>
              <w:left w:w="16" w:type="dxa"/>
              <w:right w:w="16" w:type="dxa"/>
            </w:tcMar>
            <w:vAlign w:val="center"/>
          </w:tcPr>
          <w:p w14:paraId="003EFA7D">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7785" w:type="dxa"/>
            <w:gridSpan w:val="3"/>
            <w:vAlign w:val="center"/>
          </w:tcPr>
          <w:p w14:paraId="494E823F">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京杭运河淮安段黄码港锚地</w:t>
            </w:r>
            <w:r>
              <w:rPr>
                <w:rFonts w:hint="default" w:ascii="Times New Roman" w:hAnsi="Times New Roman" w:eastAsia="宋体" w:cs="Times New Roman"/>
                <w:sz w:val="24"/>
                <w:szCs w:val="24"/>
              </w:rPr>
              <w:t>建设</w:t>
            </w:r>
            <w:r>
              <w:rPr>
                <w:rFonts w:hint="default" w:ascii="Times New Roman" w:hAnsi="Times New Roman" w:eastAsia="宋体" w:cs="Times New Roman"/>
                <w:sz w:val="24"/>
                <w:szCs w:val="24"/>
                <w:lang w:val="en-US" w:eastAsia="zh-CN"/>
              </w:rPr>
              <w:t>工程</w:t>
            </w:r>
          </w:p>
        </w:tc>
      </w:tr>
      <w:tr w14:paraId="46779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5" w:hRule="atLeast"/>
        </w:trPr>
        <w:tc>
          <w:tcPr>
            <w:tcW w:w="1922" w:type="dxa"/>
            <w:gridSpan w:val="2"/>
            <w:tcMar>
              <w:top w:w="16" w:type="dxa"/>
              <w:left w:w="16" w:type="dxa"/>
              <w:right w:w="16" w:type="dxa"/>
            </w:tcMar>
            <w:vAlign w:val="center"/>
          </w:tcPr>
          <w:p w14:paraId="566F2A41">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项目代码</w:t>
            </w:r>
          </w:p>
        </w:tc>
        <w:tc>
          <w:tcPr>
            <w:tcW w:w="7785" w:type="dxa"/>
            <w:gridSpan w:val="3"/>
            <w:vAlign w:val="center"/>
          </w:tcPr>
          <w:p w14:paraId="49D72FE7">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2304-320800-89-01-794914</w:t>
            </w:r>
          </w:p>
        </w:tc>
      </w:tr>
      <w:tr w14:paraId="0A521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1922" w:type="dxa"/>
            <w:gridSpan w:val="2"/>
            <w:tcMar>
              <w:top w:w="16" w:type="dxa"/>
              <w:left w:w="16" w:type="dxa"/>
              <w:right w:w="16" w:type="dxa"/>
            </w:tcMar>
            <w:vAlign w:val="center"/>
          </w:tcPr>
          <w:p w14:paraId="305DF8F7">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建设单位联系人</w:t>
            </w:r>
          </w:p>
        </w:tc>
        <w:tc>
          <w:tcPr>
            <w:tcW w:w="2558" w:type="dxa"/>
            <w:vAlign w:val="center"/>
          </w:tcPr>
          <w:p w14:paraId="61A89FA1">
            <w:pPr>
              <w:adjustRightInd w:val="0"/>
              <w:snapToGrid w:val="0"/>
              <w:jc w:val="center"/>
              <w:rPr>
                <w:rFonts w:hint="default" w:ascii="Times New Roman" w:hAnsi="Times New Roman" w:eastAsia="宋体" w:cs="Times New Roman"/>
                <w:sz w:val="24"/>
                <w:szCs w:val="24"/>
              </w:rPr>
            </w:pPr>
          </w:p>
        </w:tc>
        <w:tc>
          <w:tcPr>
            <w:tcW w:w="1939" w:type="dxa"/>
            <w:vAlign w:val="center"/>
          </w:tcPr>
          <w:p w14:paraId="4627EF21">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联系方式</w:t>
            </w:r>
          </w:p>
        </w:tc>
        <w:tc>
          <w:tcPr>
            <w:tcW w:w="3288" w:type="dxa"/>
            <w:vAlign w:val="center"/>
          </w:tcPr>
          <w:p w14:paraId="65C69AE3">
            <w:pPr>
              <w:adjustRightInd w:val="0"/>
              <w:snapToGrid w:val="0"/>
              <w:jc w:val="center"/>
              <w:rPr>
                <w:rFonts w:hint="default" w:ascii="Times New Roman" w:hAnsi="Times New Roman" w:eastAsia="宋体" w:cs="Times New Roman"/>
                <w:sz w:val="24"/>
                <w:szCs w:val="24"/>
              </w:rPr>
            </w:pPr>
          </w:p>
        </w:tc>
      </w:tr>
      <w:tr w14:paraId="6222F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1922" w:type="dxa"/>
            <w:gridSpan w:val="2"/>
            <w:tcMar>
              <w:top w:w="16" w:type="dxa"/>
              <w:left w:w="16" w:type="dxa"/>
              <w:right w:w="16" w:type="dxa"/>
            </w:tcMar>
            <w:vAlign w:val="center"/>
          </w:tcPr>
          <w:p w14:paraId="500EB055">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建设地点</w:t>
            </w:r>
          </w:p>
        </w:tc>
        <w:tc>
          <w:tcPr>
            <w:tcW w:w="7785" w:type="dxa"/>
            <w:gridSpan w:val="3"/>
            <w:vAlign w:val="center"/>
          </w:tcPr>
          <w:p w14:paraId="79AD29B2">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江苏省</w:t>
            </w:r>
            <w:r>
              <w:rPr>
                <w:rFonts w:hint="default" w:ascii="Times New Roman" w:hAnsi="Times New Roman" w:eastAsia="宋体" w:cs="Times New Roman"/>
                <w:sz w:val="24"/>
                <w:szCs w:val="24"/>
                <w:u w:val="single"/>
                <w:lang w:val="en-US" w:eastAsia="zh-CN"/>
              </w:rPr>
              <w:t>淮安市淮安区</w:t>
            </w:r>
            <w:r>
              <w:rPr>
                <w:rFonts w:hint="eastAsia" w:cs="Times New Roman"/>
                <w:sz w:val="24"/>
                <w:szCs w:val="24"/>
                <w:u w:val="single"/>
                <w:lang w:val="en-US" w:eastAsia="zh-CN"/>
              </w:rPr>
              <w:t>、</w:t>
            </w:r>
            <w:r>
              <w:rPr>
                <w:rFonts w:hint="default" w:ascii="Times New Roman" w:hAnsi="Times New Roman" w:eastAsia="宋体" w:cs="Times New Roman"/>
                <w:sz w:val="24"/>
                <w:szCs w:val="24"/>
                <w:u w:val="single"/>
                <w:lang w:val="en-US" w:eastAsia="zh-CN"/>
              </w:rPr>
              <w:t>清江浦区河下街道办事处、清安街道办事处</w:t>
            </w:r>
          </w:p>
        </w:tc>
      </w:tr>
      <w:tr w14:paraId="75218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1922" w:type="dxa"/>
            <w:gridSpan w:val="2"/>
            <w:tcMar>
              <w:top w:w="16" w:type="dxa"/>
              <w:left w:w="16" w:type="dxa"/>
              <w:right w:w="16" w:type="dxa"/>
            </w:tcMar>
            <w:vAlign w:val="center"/>
          </w:tcPr>
          <w:p w14:paraId="79BE1098">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地理坐标</w:t>
            </w:r>
          </w:p>
        </w:tc>
        <w:tc>
          <w:tcPr>
            <w:tcW w:w="7785" w:type="dxa"/>
            <w:gridSpan w:val="3"/>
            <w:vAlign w:val="center"/>
          </w:tcPr>
          <w:p w14:paraId="77BF6315">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default" w:ascii="Times New Roman" w:hAnsi="Times New Roman" w:eastAsia="宋体" w:cs="Times New Roman"/>
                <w:color w:val="000000"/>
                <w:sz w:val="24"/>
                <w:szCs w:val="24"/>
                <w:u w:val="single"/>
              </w:rPr>
              <w:t xml:space="preserve"> 1</w:t>
            </w:r>
            <w:r>
              <w:rPr>
                <w:rFonts w:hint="eastAsia" w:cs="Times New Roman"/>
                <w:color w:val="000000"/>
                <w:sz w:val="24"/>
                <w:szCs w:val="24"/>
                <w:u w:val="single"/>
                <w:lang w:val="en-US" w:eastAsia="zh-CN"/>
              </w:rPr>
              <w:t>19</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度</w:t>
            </w:r>
            <w:r>
              <w:rPr>
                <w:rFonts w:hint="default" w:ascii="Times New Roman" w:hAnsi="Times New Roman" w:eastAsia="宋体" w:cs="Times New Roman"/>
                <w:color w:val="000000"/>
                <w:sz w:val="24"/>
                <w:szCs w:val="24"/>
                <w:u w:val="single"/>
              </w:rPr>
              <w:t xml:space="preserve"> </w:t>
            </w:r>
            <w:r>
              <w:rPr>
                <w:rFonts w:hint="eastAsia" w:cs="Times New Roman"/>
                <w:color w:val="000000"/>
                <w:sz w:val="24"/>
                <w:szCs w:val="24"/>
                <w:u w:val="single"/>
                <w:lang w:val="en-US" w:eastAsia="zh-CN"/>
              </w:rPr>
              <w:t>7</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分</w:t>
            </w:r>
            <w:r>
              <w:rPr>
                <w:rFonts w:hint="default" w:ascii="Times New Roman" w:hAnsi="Times New Roman" w:eastAsia="宋体" w:cs="Times New Roman"/>
                <w:color w:val="000000"/>
                <w:sz w:val="24"/>
                <w:szCs w:val="24"/>
                <w:u w:val="single"/>
              </w:rPr>
              <w:t xml:space="preserve"> </w:t>
            </w:r>
            <w:r>
              <w:rPr>
                <w:rFonts w:hint="eastAsia" w:cs="Times New Roman"/>
                <w:color w:val="000000"/>
                <w:sz w:val="24"/>
                <w:szCs w:val="24"/>
                <w:u w:val="single"/>
                <w:lang w:val="en-US" w:eastAsia="zh-CN"/>
              </w:rPr>
              <w:t>6.73</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秒，</w:t>
            </w:r>
            <w:r>
              <w:rPr>
                <w:rFonts w:hint="default" w:ascii="Times New Roman" w:hAnsi="Times New Roman" w:eastAsia="宋体" w:cs="Times New Roman"/>
                <w:color w:val="000000"/>
                <w:sz w:val="24"/>
                <w:szCs w:val="24"/>
                <w:u w:val="single"/>
              </w:rPr>
              <w:t xml:space="preserve"> </w:t>
            </w:r>
            <w:r>
              <w:rPr>
                <w:rFonts w:hint="eastAsia" w:cs="Times New Roman"/>
                <w:color w:val="000000"/>
                <w:sz w:val="24"/>
                <w:szCs w:val="24"/>
                <w:u w:val="single"/>
                <w:lang w:val="en-US" w:eastAsia="zh-CN"/>
              </w:rPr>
              <w:t>33</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度</w:t>
            </w:r>
            <w:r>
              <w:rPr>
                <w:rFonts w:hint="default" w:ascii="Times New Roman" w:hAnsi="Times New Roman" w:eastAsia="宋体" w:cs="Times New Roman"/>
                <w:color w:val="000000"/>
                <w:sz w:val="24"/>
                <w:szCs w:val="24"/>
                <w:u w:val="single"/>
              </w:rPr>
              <w:t xml:space="preserve"> 3</w:t>
            </w:r>
            <w:r>
              <w:rPr>
                <w:rFonts w:hint="eastAsia" w:cs="Times New Roman"/>
                <w:color w:val="000000"/>
                <w:sz w:val="24"/>
                <w:szCs w:val="24"/>
                <w:u w:val="single"/>
                <w:lang w:val="en-US" w:eastAsia="zh-CN"/>
              </w:rPr>
              <w:t>0</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分</w:t>
            </w:r>
            <w:r>
              <w:rPr>
                <w:rFonts w:hint="default" w:ascii="Times New Roman" w:hAnsi="Times New Roman" w:eastAsia="宋体" w:cs="Times New Roman"/>
                <w:color w:val="000000"/>
                <w:sz w:val="24"/>
                <w:szCs w:val="24"/>
                <w:u w:val="single"/>
              </w:rPr>
              <w:t xml:space="preserve"> </w:t>
            </w:r>
            <w:r>
              <w:rPr>
                <w:rFonts w:hint="eastAsia" w:cs="Times New Roman"/>
                <w:color w:val="000000"/>
                <w:sz w:val="24"/>
                <w:szCs w:val="24"/>
                <w:u w:val="single"/>
                <w:lang w:val="en-US" w:eastAsia="zh-CN"/>
              </w:rPr>
              <w:t>15.29</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秒</w:t>
            </w:r>
            <w:r>
              <w:rPr>
                <w:rFonts w:hint="default" w:ascii="Times New Roman" w:hAnsi="Times New Roman" w:eastAsia="宋体" w:cs="Times New Roman"/>
                <w:sz w:val="24"/>
                <w:szCs w:val="24"/>
              </w:rPr>
              <w:t>）</w:t>
            </w:r>
          </w:p>
        </w:tc>
      </w:tr>
      <w:tr w14:paraId="6B9DC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1922" w:type="dxa"/>
            <w:gridSpan w:val="2"/>
            <w:tcMar>
              <w:top w:w="16" w:type="dxa"/>
              <w:left w:w="16" w:type="dxa"/>
              <w:right w:w="16" w:type="dxa"/>
            </w:tcMar>
            <w:vAlign w:val="center"/>
          </w:tcPr>
          <w:p w14:paraId="6AC54783">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w:t>
            </w:r>
          </w:p>
          <w:p w14:paraId="089DEA15">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行业类别</w:t>
            </w:r>
          </w:p>
        </w:tc>
        <w:tc>
          <w:tcPr>
            <w:tcW w:w="2558" w:type="dxa"/>
            <w:vAlign w:val="center"/>
          </w:tcPr>
          <w:p w14:paraId="058D0A3F">
            <w:pPr>
              <w:adjustRightInd w:val="0"/>
              <w:snapToGrid w:val="0"/>
              <w:jc w:val="cente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 xml:space="preserve">五十一、水利 </w:t>
            </w:r>
            <w:r>
              <w:rPr>
                <w:rFonts w:hint="default" w:ascii="Times New Roman" w:hAnsi="Times New Roman" w:eastAsia="宋体" w:cs="Times New Roman"/>
                <w:sz w:val="24"/>
                <w:szCs w:val="24"/>
                <w:lang w:val="en-US" w:eastAsia="zh-CN"/>
              </w:rPr>
              <w:t>128</w:t>
            </w:r>
            <w:r>
              <w:rPr>
                <w:rFonts w:hint="eastAsia" w:ascii="Times New Roman" w:hAnsi="Times New Roman" w:eastAsia="宋体" w:cs="Times New Roman"/>
                <w:sz w:val="24"/>
                <w:szCs w:val="24"/>
                <w:lang w:val="en-US" w:eastAsia="zh-CN"/>
              </w:rPr>
              <w:t>河湖整治（不含农村塘堰、水渠）</w:t>
            </w:r>
            <w:r>
              <w:rPr>
                <w:rFonts w:hint="eastAsia" w:ascii="Times New Roman" w:hAnsi="Times New Roman" w:eastAsia="宋体" w:cs="Times New Roman"/>
                <w:kern w:val="0"/>
                <w:sz w:val="24"/>
                <w:szCs w:val="24"/>
                <w:highlight w:val="none"/>
                <w:lang w:val="en-US" w:eastAsia="zh-CN"/>
              </w:rPr>
              <w:t>，</w:t>
            </w:r>
            <w:r>
              <w:rPr>
                <w:rFonts w:hint="default" w:ascii="Times New Roman" w:hAnsi="Times New Roman" w:eastAsia="宋体" w:cs="Times New Roman"/>
                <w:sz w:val="24"/>
                <w:szCs w:val="24"/>
                <w:lang w:val="en-US" w:eastAsia="zh-CN"/>
              </w:rPr>
              <w:t>五十二、交通运输业、管道运输业</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143航道工程、水运辅助工程</w:t>
            </w:r>
          </w:p>
        </w:tc>
        <w:tc>
          <w:tcPr>
            <w:tcW w:w="1939" w:type="dxa"/>
            <w:vAlign w:val="center"/>
          </w:tcPr>
          <w:p w14:paraId="2F6096DF">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用地（用海）面积（m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）/长度（km）</w:t>
            </w:r>
          </w:p>
        </w:tc>
        <w:tc>
          <w:tcPr>
            <w:tcW w:w="3288" w:type="dxa"/>
            <w:vAlign w:val="center"/>
          </w:tcPr>
          <w:p w14:paraId="14C86AD7">
            <w:pPr>
              <w:adjustRightInd w:val="0"/>
              <w:snapToGrid w:val="0"/>
              <w:jc w:val="center"/>
              <w:rPr>
                <w:rFonts w:hint="default" w:ascii="Times New Roman" w:hAnsi="Times New Roman" w:eastAsia="宋体" w:cs="Times New Roman"/>
                <w:sz w:val="24"/>
                <w:szCs w:val="24"/>
              </w:rPr>
            </w:pPr>
          </w:p>
        </w:tc>
      </w:tr>
      <w:tr w14:paraId="2CE7E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922" w:type="dxa"/>
            <w:gridSpan w:val="2"/>
            <w:tcMar>
              <w:top w:w="16" w:type="dxa"/>
              <w:left w:w="16" w:type="dxa"/>
              <w:right w:w="16" w:type="dxa"/>
            </w:tcMar>
            <w:vAlign w:val="center"/>
          </w:tcPr>
          <w:p w14:paraId="1D7FB4DD">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建设性质</w:t>
            </w:r>
          </w:p>
        </w:tc>
        <w:tc>
          <w:tcPr>
            <w:tcW w:w="2558" w:type="dxa"/>
            <w:vAlign w:val="center"/>
          </w:tcPr>
          <w:p w14:paraId="5E209AD1">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新建（迁建）</w:t>
            </w:r>
          </w:p>
          <w:p w14:paraId="58C8C29C">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改建</w:t>
            </w:r>
          </w:p>
          <w:p w14:paraId="64A562EE">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扩建</w:t>
            </w:r>
          </w:p>
          <w:p w14:paraId="07F18F28">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技术改造</w:t>
            </w:r>
          </w:p>
        </w:tc>
        <w:tc>
          <w:tcPr>
            <w:tcW w:w="1939" w:type="dxa"/>
            <w:vAlign w:val="center"/>
          </w:tcPr>
          <w:p w14:paraId="688D7949">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w:t>
            </w:r>
          </w:p>
          <w:p w14:paraId="3AC08445">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申报情形</w:t>
            </w:r>
          </w:p>
        </w:tc>
        <w:tc>
          <w:tcPr>
            <w:tcW w:w="3288" w:type="dxa"/>
            <w:vAlign w:val="center"/>
          </w:tcPr>
          <w:p w14:paraId="00F6EAC1">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 xml:space="preserve">首次申报项目             </w:t>
            </w:r>
          </w:p>
          <w:p w14:paraId="31EE0D8A">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不予批准后再次申报项目</w:t>
            </w:r>
          </w:p>
          <w:p w14:paraId="78FEE4EC">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 xml:space="preserve">超五年重新审核项目     </w:t>
            </w:r>
          </w:p>
          <w:p w14:paraId="0341CC08">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重大变动重新报批项目</w:t>
            </w:r>
          </w:p>
        </w:tc>
      </w:tr>
      <w:tr w14:paraId="30DFD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1922" w:type="dxa"/>
            <w:gridSpan w:val="2"/>
            <w:tcMar>
              <w:top w:w="16" w:type="dxa"/>
              <w:left w:w="16" w:type="dxa"/>
              <w:right w:w="16" w:type="dxa"/>
            </w:tcMar>
            <w:vAlign w:val="center"/>
          </w:tcPr>
          <w:p w14:paraId="710CBF74">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项目审批（核准/</w:t>
            </w:r>
          </w:p>
          <w:p w14:paraId="34B6FC61">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备案）部门（选填）</w:t>
            </w:r>
          </w:p>
        </w:tc>
        <w:tc>
          <w:tcPr>
            <w:tcW w:w="2558" w:type="dxa"/>
            <w:vAlign w:val="center"/>
          </w:tcPr>
          <w:p w14:paraId="20C7415B">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淮安市行政审批局</w:t>
            </w:r>
          </w:p>
        </w:tc>
        <w:tc>
          <w:tcPr>
            <w:tcW w:w="1939" w:type="dxa"/>
            <w:vAlign w:val="center"/>
          </w:tcPr>
          <w:p w14:paraId="3C65B05D">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项目审批（核准/</w:t>
            </w:r>
          </w:p>
          <w:p w14:paraId="2D820A7C">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备案）文号（选填）</w:t>
            </w:r>
          </w:p>
        </w:tc>
        <w:tc>
          <w:tcPr>
            <w:tcW w:w="3288" w:type="dxa"/>
            <w:vAlign w:val="center"/>
          </w:tcPr>
          <w:p w14:paraId="71F0C527">
            <w:pPr>
              <w:keepNext w:val="0"/>
              <w:keepLines w:val="0"/>
              <w:widowControl/>
              <w:suppressLineNumbers w:val="0"/>
              <w:jc w:val="center"/>
              <w:rPr>
                <w:rFonts w:hint="default" w:ascii="Times New Roman" w:hAnsi="Times New Roman" w:eastAsia="宋体" w:cs="Times New Roman"/>
                <w:sz w:val="24"/>
                <w:szCs w:val="24"/>
              </w:rPr>
            </w:pPr>
            <w:r>
              <w:rPr>
                <w:rFonts w:hint="eastAsia" w:cs="Times New Roman"/>
                <w:sz w:val="24"/>
                <w:szCs w:val="24"/>
                <w:lang w:val="en-US" w:eastAsia="zh-CN"/>
              </w:rPr>
              <w:t>淮审批投资备〔2023〕11号</w:t>
            </w:r>
          </w:p>
        </w:tc>
      </w:tr>
      <w:tr w14:paraId="7F5C4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7" w:hRule="atLeast"/>
        </w:trPr>
        <w:tc>
          <w:tcPr>
            <w:tcW w:w="1922" w:type="dxa"/>
            <w:gridSpan w:val="2"/>
            <w:tcMar>
              <w:top w:w="16" w:type="dxa"/>
              <w:left w:w="16" w:type="dxa"/>
              <w:right w:w="16" w:type="dxa"/>
            </w:tcMar>
            <w:vAlign w:val="center"/>
          </w:tcPr>
          <w:p w14:paraId="095E5C9E">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总投资（万元）</w:t>
            </w:r>
          </w:p>
        </w:tc>
        <w:tc>
          <w:tcPr>
            <w:tcW w:w="2558" w:type="dxa"/>
            <w:vAlign w:val="center"/>
          </w:tcPr>
          <w:p w14:paraId="55BA47A5">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6000</w:t>
            </w:r>
          </w:p>
        </w:tc>
        <w:tc>
          <w:tcPr>
            <w:tcW w:w="1939" w:type="dxa"/>
            <w:tcMar>
              <w:top w:w="16" w:type="dxa"/>
              <w:left w:w="16" w:type="dxa"/>
              <w:right w:w="16" w:type="dxa"/>
            </w:tcMar>
            <w:vAlign w:val="center"/>
          </w:tcPr>
          <w:p w14:paraId="32F67D8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3288" w:type="dxa"/>
            <w:vAlign w:val="center"/>
          </w:tcPr>
          <w:p w14:paraId="2CD36658">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450</w:t>
            </w:r>
          </w:p>
        </w:tc>
      </w:tr>
      <w:tr w14:paraId="4E6A7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0" w:hRule="atLeast"/>
        </w:trPr>
        <w:tc>
          <w:tcPr>
            <w:tcW w:w="1922" w:type="dxa"/>
            <w:gridSpan w:val="2"/>
            <w:tcMar>
              <w:top w:w="16" w:type="dxa"/>
              <w:left w:w="16" w:type="dxa"/>
              <w:right w:w="16" w:type="dxa"/>
            </w:tcMar>
            <w:vAlign w:val="center"/>
          </w:tcPr>
          <w:p w14:paraId="70A06E33">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环保投资占比（%）</w:t>
            </w:r>
          </w:p>
        </w:tc>
        <w:tc>
          <w:tcPr>
            <w:tcW w:w="2558" w:type="dxa"/>
            <w:vAlign w:val="center"/>
          </w:tcPr>
          <w:p w14:paraId="5A873F69">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7.5</w:t>
            </w:r>
          </w:p>
        </w:tc>
        <w:tc>
          <w:tcPr>
            <w:tcW w:w="1939" w:type="dxa"/>
            <w:tcMar>
              <w:top w:w="16" w:type="dxa"/>
              <w:left w:w="16" w:type="dxa"/>
              <w:right w:w="16" w:type="dxa"/>
            </w:tcMar>
            <w:vAlign w:val="center"/>
          </w:tcPr>
          <w:p w14:paraId="5395F3F9">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3288" w:type="dxa"/>
            <w:vAlign w:val="center"/>
          </w:tcPr>
          <w:p w14:paraId="67ED6B6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个月</w:t>
            </w:r>
          </w:p>
        </w:tc>
      </w:tr>
      <w:tr w14:paraId="50548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9" w:hRule="atLeast"/>
        </w:trPr>
        <w:tc>
          <w:tcPr>
            <w:tcW w:w="1922" w:type="dxa"/>
            <w:gridSpan w:val="2"/>
            <w:tcMar>
              <w:top w:w="16" w:type="dxa"/>
              <w:left w:w="16" w:type="dxa"/>
              <w:right w:w="16" w:type="dxa"/>
            </w:tcMar>
            <w:vAlign w:val="center"/>
          </w:tcPr>
          <w:p w14:paraId="465B78C8">
            <w:pPr>
              <w:adjustRightInd w:val="0"/>
              <w:snapToGrid w:val="0"/>
              <w:spacing w:line="4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是否开工建设</w:t>
            </w:r>
          </w:p>
        </w:tc>
        <w:tc>
          <w:tcPr>
            <w:tcW w:w="7785" w:type="dxa"/>
            <w:gridSpan w:val="3"/>
            <w:vAlign w:val="center"/>
          </w:tcPr>
          <w:p w14:paraId="3A8C5424">
            <w:pPr>
              <w:adjustRightInd w:val="0"/>
              <w:snapToGrid w:val="0"/>
              <w:spacing w:line="46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否</w:t>
            </w:r>
          </w:p>
          <w:p w14:paraId="0DB5C6E2">
            <w:pPr>
              <w:adjustRightInd w:val="0"/>
              <w:snapToGrid w:val="0"/>
              <w:spacing w:line="46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是</w:t>
            </w:r>
          </w:p>
        </w:tc>
      </w:tr>
      <w:tr w14:paraId="2B3C6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922" w:type="dxa"/>
            <w:gridSpan w:val="2"/>
            <w:vAlign w:val="center"/>
          </w:tcPr>
          <w:p w14:paraId="379DD75A">
            <w:pPr>
              <w:autoSpaceDE w:val="0"/>
              <w:autoSpaceDN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专项评价设置情况</w:t>
            </w:r>
          </w:p>
        </w:tc>
        <w:tc>
          <w:tcPr>
            <w:tcW w:w="7785" w:type="dxa"/>
            <w:gridSpan w:val="3"/>
            <w:vAlign w:val="center"/>
          </w:tcPr>
          <w:p w14:paraId="6F5B2DB3">
            <w:pPr>
              <w:autoSpaceDE w:val="0"/>
              <w:autoSpaceDN w:val="0"/>
              <w:adjustRightInd w:val="0"/>
              <w:snapToGrid w:val="0"/>
              <w:spacing w:line="460" w:lineRule="exact"/>
              <w:ind w:firstLine="480" w:firstLineChars="200"/>
              <w:rPr>
                <w:rFonts w:hint="eastAsia" w:ascii="Times New Roman" w:hAnsi="Times New Roman"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根据《建设项目环境影响报告表编制技术指南（生态影响类）》（试行）中“表1</w:t>
            </w:r>
            <w:r>
              <w:rPr>
                <w:rFonts w:hint="eastAsia" w:ascii="Times New Roman" w:hAnsi="Times New Roman" w:cs="Times New Roman"/>
                <w:kern w:val="0"/>
                <w:sz w:val="24"/>
                <w:szCs w:val="24"/>
                <w:highlight w:val="none"/>
                <w:lang w:val="en-US" w:eastAsia="zh-CN"/>
              </w:rPr>
              <w:t xml:space="preserve"> </w:t>
            </w:r>
            <w:r>
              <w:rPr>
                <w:rFonts w:hint="eastAsia" w:ascii="Times New Roman" w:hAnsi="Times New Roman" w:eastAsia="宋体" w:cs="Times New Roman"/>
                <w:kern w:val="0"/>
                <w:sz w:val="24"/>
                <w:szCs w:val="24"/>
                <w:highlight w:val="none"/>
                <w:lang w:val="en-US" w:eastAsia="zh-CN"/>
              </w:rPr>
              <w:t>专项评价设置原则表”，</w:t>
            </w:r>
            <w:r>
              <w:rPr>
                <w:rFonts w:hint="eastAsia" w:ascii="Times New Roman" w:hAnsi="Times New Roman" w:cs="Times New Roman"/>
                <w:kern w:val="0"/>
                <w:sz w:val="24"/>
                <w:szCs w:val="24"/>
                <w:highlight w:val="none"/>
                <w:lang w:val="en-US" w:eastAsia="zh-CN"/>
              </w:rPr>
              <w:t>分析结果如下：</w:t>
            </w:r>
          </w:p>
          <w:p w14:paraId="748BD713">
            <w:pPr>
              <w:autoSpaceDE w:val="0"/>
              <w:autoSpaceDN w:val="0"/>
              <w:adjustRightInd w:val="0"/>
              <w:snapToGrid w:val="0"/>
              <w:spacing w:line="460" w:lineRule="exact"/>
              <w:ind w:firstLine="480" w:firstLineChars="200"/>
              <w:rPr>
                <w:rFonts w:hint="default" w:ascii="Times New Roman" w:hAnsi="Times New Roman" w:eastAsia="宋体"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地表水：根据</w:t>
            </w:r>
            <w:r>
              <w:rPr>
                <w:rFonts w:hint="eastAsia" w:ascii="Times New Roman" w:hAnsi="Times New Roman" w:eastAsia="宋体" w:cs="Times New Roman"/>
                <w:kern w:val="0"/>
                <w:sz w:val="24"/>
                <w:szCs w:val="24"/>
                <w:highlight w:val="none"/>
                <w:lang w:val="en-US" w:eastAsia="zh-CN"/>
              </w:rPr>
              <w:t>底泥监测结果：重金属含量满足</w:t>
            </w:r>
            <w:r>
              <w:rPr>
                <w:rFonts w:hint="default" w:ascii="Times New Roman" w:hAnsi="Times New Roman" w:eastAsia="宋体" w:cs="Times New Roman"/>
                <w:kern w:val="0"/>
                <w:sz w:val="24"/>
                <w:szCs w:val="24"/>
                <w:highlight w:val="none"/>
                <w:lang w:val="en-US" w:eastAsia="zh-CN"/>
              </w:rPr>
              <w:t>《土壤环境质量 建设用地土壤污染风险管控标准（试行）》和《土壤环境质量 农用地土壤污染风险管控标准（试行）》中风险筛选值和管制值的要求</w:t>
            </w:r>
            <w:r>
              <w:rPr>
                <w:rFonts w:hint="eastAsia" w:ascii="Times New Roman" w:hAnsi="Times New Roman" w:eastAsia="宋体" w:cs="Times New Roman"/>
                <w:kern w:val="0"/>
                <w:sz w:val="24"/>
                <w:szCs w:val="24"/>
                <w:highlight w:val="none"/>
                <w:lang w:val="en-US" w:eastAsia="zh-CN"/>
              </w:rPr>
              <w:t>，不属于涉及清淤且底泥存在重金属污染的项目</w:t>
            </w:r>
            <w:r>
              <w:rPr>
                <w:rFonts w:hint="eastAsia" w:ascii="Times New Roman" w:hAnsi="Times New Roman" w:cs="Times New Roman"/>
                <w:kern w:val="0"/>
                <w:sz w:val="24"/>
                <w:szCs w:val="24"/>
                <w:highlight w:val="none"/>
                <w:lang w:val="en-US" w:eastAsia="zh-CN"/>
              </w:rPr>
              <w:t>，因此，无需设置地表水专项评价。</w:t>
            </w:r>
          </w:p>
          <w:p w14:paraId="2BCF6686">
            <w:pPr>
              <w:autoSpaceDE w:val="0"/>
              <w:autoSpaceDN w:val="0"/>
              <w:adjustRightInd w:val="0"/>
              <w:snapToGrid w:val="0"/>
              <w:spacing w:line="460" w:lineRule="exact"/>
              <w:ind w:firstLine="480" w:firstLineChars="200"/>
              <w:rPr>
                <w:rFonts w:hint="eastAsia" w:ascii="Times New Roman" w:hAnsi="Times New Roman" w:eastAsia="宋体"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生态：本项目属于水运辅助工程，根据本项目所在地理位置以及环境影响范围，本项目</w:t>
            </w:r>
            <w:r>
              <w:rPr>
                <w:rFonts w:hint="eastAsia" w:ascii="Times New Roman" w:hAnsi="Times New Roman" w:eastAsia="宋体" w:cs="Times New Roman"/>
                <w:kern w:val="0"/>
                <w:sz w:val="24"/>
                <w:szCs w:val="24"/>
                <w:highlight w:val="none"/>
                <w:lang w:val="en-US" w:eastAsia="zh-CN"/>
              </w:rPr>
              <w:t>不涉及《建设项目环境影响评价分类管理名录（2021版）》中“环境敏感区”，即第三条（一）国家公园、自然保护区、风景名胜区、世界文化和自然遗产地、海洋特别保护区、饮用水水源保护区；第三条（二）中的除（一）外的生态保护红线管控范围，重要水生生物的自然产卵场、索饵场、越冬场和洄游通道，天然渔场</w:t>
            </w:r>
            <w:r>
              <w:rPr>
                <w:rFonts w:hint="eastAsia" w:ascii="Times New Roman" w:hAnsi="Times New Roman"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lang w:val="en-US" w:eastAsia="zh-CN"/>
              </w:rPr>
              <w:t>故</w:t>
            </w:r>
            <w:r>
              <w:rPr>
                <w:rFonts w:hint="eastAsia" w:ascii="Times New Roman" w:hAnsi="Times New Roman"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lang w:val="en-US" w:eastAsia="zh-CN"/>
              </w:rPr>
              <w:t>本项目无需</w:t>
            </w:r>
            <w:r>
              <w:rPr>
                <w:rFonts w:hint="eastAsia" w:ascii="Times New Roman" w:hAnsi="Times New Roman" w:cs="Times New Roman"/>
                <w:kern w:val="0"/>
                <w:sz w:val="24"/>
                <w:szCs w:val="24"/>
                <w:highlight w:val="none"/>
                <w:lang w:val="en-US" w:eastAsia="zh-CN"/>
              </w:rPr>
              <w:t>设置生态</w:t>
            </w:r>
            <w:r>
              <w:rPr>
                <w:rFonts w:hint="eastAsia" w:ascii="Times New Roman" w:hAnsi="Times New Roman" w:eastAsia="宋体" w:cs="Times New Roman"/>
                <w:kern w:val="0"/>
                <w:sz w:val="24"/>
                <w:szCs w:val="24"/>
                <w:highlight w:val="none"/>
                <w:lang w:val="en-US" w:eastAsia="zh-CN"/>
              </w:rPr>
              <w:t>专项评价。</w:t>
            </w:r>
          </w:p>
          <w:p w14:paraId="6F6C22B2">
            <w:pPr>
              <w:autoSpaceDE w:val="0"/>
              <w:autoSpaceDN w:val="0"/>
              <w:adjustRightInd w:val="0"/>
              <w:snapToGrid w:val="0"/>
              <w:spacing w:line="460" w:lineRule="exact"/>
              <w:ind w:firstLine="480" w:firstLineChars="200"/>
              <w:rPr>
                <w:rFonts w:hint="eastAsia" w:ascii="Times New Roman" w:hAnsi="Times New Roman"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其他：本项目属于水运辅助工程，不属于地下水、大气、噪声、环境风险专项评价涉及的项目类别，因此，无需设置以上专项评价。</w:t>
            </w:r>
          </w:p>
          <w:p w14:paraId="6A9EDFBC">
            <w:pPr>
              <w:autoSpaceDE w:val="0"/>
              <w:autoSpaceDN w:val="0"/>
              <w:adjustRightInd w:val="0"/>
              <w:snapToGrid w:val="0"/>
              <w:spacing w:line="460" w:lineRule="exact"/>
              <w:ind w:firstLine="480" w:firstLineChars="200"/>
              <w:rPr>
                <w:rFonts w:hint="default" w:ascii="Times New Roman" w:hAnsi="Times New Roman"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综上，</w:t>
            </w:r>
            <w:r>
              <w:rPr>
                <w:rFonts w:hint="eastAsia" w:ascii="Times New Roman" w:hAnsi="Times New Roman" w:eastAsia="宋体" w:cs="Times New Roman"/>
                <w:kern w:val="0"/>
                <w:sz w:val="24"/>
                <w:szCs w:val="24"/>
                <w:highlight w:val="none"/>
                <w:lang w:val="en-US" w:eastAsia="zh-CN"/>
              </w:rPr>
              <w:t>本项目无需</w:t>
            </w:r>
            <w:r>
              <w:rPr>
                <w:rFonts w:hint="eastAsia" w:ascii="Times New Roman" w:hAnsi="Times New Roman" w:cs="Times New Roman"/>
                <w:kern w:val="0"/>
                <w:sz w:val="24"/>
                <w:szCs w:val="24"/>
                <w:highlight w:val="none"/>
                <w:lang w:val="en-US" w:eastAsia="zh-CN"/>
              </w:rPr>
              <w:t>设置</w:t>
            </w:r>
            <w:r>
              <w:rPr>
                <w:rFonts w:hint="eastAsia" w:ascii="Times New Roman" w:hAnsi="Times New Roman" w:eastAsia="宋体" w:cs="Times New Roman"/>
                <w:kern w:val="0"/>
                <w:sz w:val="24"/>
                <w:szCs w:val="24"/>
                <w:highlight w:val="none"/>
                <w:lang w:val="en-US" w:eastAsia="zh-CN"/>
              </w:rPr>
              <w:t>专项评价</w:t>
            </w:r>
            <w:r>
              <w:rPr>
                <w:rFonts w:hint="eastAsia" w:ascii="Times New Roman" w:hAnsi="Times New Roman" w:cs="Times New Roman"/>
                <w:kern w:val="0"/>
                <w:sz w:val="24"/>
                <w:szCs w:val="24"/>
                <w:highlight w:val="none"/>
                <w:lang w:val="en-US" w:eastAsia="zh-CN"/>
              </w:rPr>
              <w:t>。</w:t>
            </w:r>
          </w:p>
        </w:tc>
      </w:tr>
      <w:tr w14:paraId="44F7F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22" w:type="dxa"/>
            <w:gridSpan w:val="2"/>
            <w:vAlign w:val="center"/>
          </w:tcPr>
          <w:p w14:paraId="28B9DE5F">
            <w:pPr>
              <w:autoSpaceDE w:val="0"/>
              <w:autoSpaceDN w:val="0"/>
              <w:adjustRightInd w:val="0"/>
              <w:snapToGrid w:val="0"/>
              <w:spacing w:line="46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规划情况</w:t>
            </w:r>
          </w:p>
        </w:tc>
        <w:tc>
          <w:tcPr>
            <w:tcW w:w="7785" w:type="dxa"/>
            <w:gridSpan w:val="3"/>
          </w:tcPr>
          <w:p w14:paraId="35D9F318">
            <w:pPr>
              <w:autoSpaceDE w:val="0"/>
              <w:autoSpaceDN w:val="0"/>
              <w:adjustRightInd w:val="0"/>
              <w:snapToGrid w:val="0"/>
              <w:spacing w:line="460" w:lineRule="exact"/>
              <w:ind w:firstLine="480" w:firstLineChars="200"/>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规划名称：《</w:t>
            </w:r>
            <w:r>
              <w:rPr>
                <w:rFonts w:hint="default" w:ascii="Times New Roman" w:hAnsi="Times New Roman" w:eastAsia="宋体" w:cs="Times New Roman"/>
                <w:kern w:val="0"/>
                <w:sz w:val="24"/>
                <w:szCs w:val="24"/>
                <w:highlight w:val="none"/>
                <w:lang w:val="en-US" w:eastAsia="zh-CN"/>
              </w:rPr>
              <w:t>淮安</w:t>
            </w:r>
            <w:r>
              <w:rPr>
                <w:rFonts w:hint="default" w:ascii="Times New Roman" w:hAnsi="Times New Roman" w:eastAsia="宋体" w:cs="Times New Roman"/>
                <w:kern w:val="0"/>
                <w:sz w:val="24"/>
                <w:szCs w:val="24"/>
                <w:highlight w:val="none"/>
              </w:rPr>
              <w:t>港总体规划（20</w:t>
            </w:r>
            <w:r>
              <w:rPr>
                <w:rFonts w:hint="default" w:ascii="Times New Roman" w:hAnsi="Times New Roman" w:eastAsia="宋体" w:cs="Times New Roman"/>
                <w:kern w:val="0"/>
                <w:sz w:val="24"/>
                <w:szCs w:val="24"/>
                <w:highlight w:val="none"/>
                <w:lang w:val="en-US" w:eastAsia="zh-CN"/>
              </w:rPr>
              <w:t>20</w:t>
            </w:r>
            <w:r>
              <w:rPr>
                <w:rFonts w:hint="default" w:ascii="Times New Roman" w:hAnsi="Times New Roman" w:eastAsia="宋体" w:cs="Times New Roman"/>
                <w:kern w:val="0"/>
                <w:sz w:val="24"/>
                <w:szCs w:val="24"/>
                <w:highlight w:val="none"/>
              </w:rPr>
              <w:t xml:space="preserve">～2035年）》 </w:t>
            </w:r>
          </w:p>
          <w:p w14:paraId="064549DB">
            <w:pPr>
              <w:autoSpaceDE w:val="0"/>
              <w:autoSpaceDN w:val="0"/>
              <w:adjustRightInd w:val="0"/>
              <w:snapToGrid w:val="0"/>
              <w:spacing w:line="460" w:lineRule="exact"/>
              <w:ind w:firstLine="480" w:firstLineChars="200"/>
              <w:rPr>
                <w:rFonts w:hint="default" w:ascii="Times New Roman" w:hAnsi="Times New Roman" w:eastAsia="宋体" w:cs="Times New Roman"/>
                <w:kern w:val="0"/>
                <w:sz w:val="24"/>
                <w:szCs w:val="24"/>
                <w:highlight w:val="none"/>
                <w:lang w:val="en-US"/>
              </w:rPr>
            </w:pPr>
            <w:r>
              <w:rPr>
                <w:rFonts w:hint="default" w:ascii="Times New Roman" w:hAnsi="Times New Roman" w:eastAsia="宋体" w:cs="Times New Roman"/>
                <w:kern w:val="0"/>
                <w:sz w:val="24"/>
                <w:szCs w:val="24"/>
                <w:highlight w:val="none"/>
              </w:rPr>
              <w:t>审批机关：</w:t>
            </w:r>
            <w:r>
              <w:rPr>
                <w:rFonts w:hint="eastAsia"/>
                <w:kern w:val="0"/>
                <w:sz w:val="24"/>
                <w:highlight w:val="none"/>
                <w:lang w:val="en-US" w:eastAsia="zh-CN"/>
              </w:rPr>
              <w:t>江苏省人民政府</w:t>
            </w:r>
          </w:p>
          <w:p w14:paraId="50B6DB5B">
            <w:pPr>
              <w:autoSpaceDE w:val="0"/>
              <w:autoSpaceDN w:val="0"/>
              <w:adjustRightInd w:val="0"/>
              <w:snapToGrid w:val="0"/>
              <w:spacing w:line="46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highlight w:val="none"/>
              </w:rPr>
              <w:t>审批文件名称及文号：</w:t>
            </w:r>
            <w:r>
              <w:rPr>
                <w:rFonts w:hint="default"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lang w:val="en-US" w:eastAsia="zh-CN"/>
              </w:rPr>
              <w:t>省</w:t>
            </w:r>
            <w:r>
              <w:rPr>
                <w:rFonts w:hint="eastAsia" w:cs="Times New Roman"/>
                <w:kern w:val="0"/>
                <w:sz w:val="24"/>
                <w:szCs w:val="24"/>
                <w:highlight w:val="none"/>
                <w:lang w:val="en-US" w:eastAsia="zh-CN"/>
              </w:rPr>
              <w:t>政府</w:t>
            </w:r>
            <w:r>
              <w:rPr>
                <w:rFonts w:hint="default" w:ascii="Times New Roman" w:hAnsi="Times New Roman" w:eastAsia="宋体" w:cs="Times New Roman"/>
                <w:kern w:val="0"/>
                <w:sz w:val="24"/>
                <w:szCs w:val="24"/>
                <w:highlight w:val="none"/>
              </w:rPr>
              <w:t>关于</w:t>
            </w:r>
            <w:r>
              <w:rPr>
                <w:rFonts w:hint="eastAsia" w:cs="Times New Roman"/>
                <w:kern w:val="0"/>
                <w:sz w:val="24"/>
                <w:szCs w:val="24"/>
                <w:highlight w:val="none"/>
                <w:lang w:val="en-US" w:eastAsia="zh-CN"/>
              </w:rPr>
              <w:t>同意</w:t>
            </w:r>
            <w:r>
              <w:rPr>
                <w:rFonts w:hint="default" w:ascii="Times New Roman" w:hAnsi="Times New Roman" w:eastAsia="宋体" w:cs="Times New Roman"/>
                <w:kern w:val="0"/>
                <w:sz w:val="24"/>
                <w:szCs w:val="24"/>
                <w:highlight w:val="none"/>
                <w:lang w:val="en-US" w:eastAsia="zh-CN"/>
              </w:rPr>
              <w:t>淮安</w:t>
            </w:r>
            <w:r>
              <w:rPr>
                <w:rFonts w:hint="default" w:ascii="Times New Roman" w:hAnsi="Times New Roman" w:eastAsia="宋体" w:cs="Times New Roman"/>
                <w:kern w:val="0"/>
                <w:sz w:val="24"/>
                <w:szCs w:val="24"/>
                <w:highlight w:val="none"/>
              </w:rPr>
              <w:t>港总体规划（20</w:t>
            </w:r>
            <w:r>
              <w:rPr>
                <w:rFonts w:hint="eastAsia" w:cs="Times New Roman"/>
                <w:kern w:val="0"/>
                <w:sz w:val="24"/>
                <w:szCs w:val="24"/>
                <w:highlight w:val="none"/>
                <w:lang w:val="en-US" w:eastAsia="zh-CN"/>
              </w:rPr>
              <w:t>20</w:t>
            </w:r>
            <w:r>
              <w:rPr>
                <w:rFonts w:hint="default" w:ascii="Times New Roman" w:hAnsi="Times New Roman" w:eastAsia="宋体" w:cs="Times New Roman"/>
                <w:kern w:val="0"/>
                <w:sz w:val="24"/>
                <w:szCs w:val="24"/>
                <w:highlight w:val="none"/>
              </w:rPr>
              <w:t>～2035年）的</w:t>
            </w:r>
            <w:r>
              <w:rPr>
                <w:rFonts w:hint="eastAsia" w:cs="Times New Roman"/>
                <w:kern w:val="0"/>
                <w:sz w:val="24"/>
                <w:szCs w:val="24"/>
                <w:highlight w:val="none"/>
                <w:lang w:val="en-US" w:eastAsia="zh-CN"/>
              </w:rPr>
              <w:t>批复</w:t>
            </w:r>
            <w:r>
              <w:rPr>
                <w:rFonts w:hint="default" w:ascii="Times New Roman" w:hAnsi="Times New Roman" w:eastAsia="宋体" w:cs="Times New Roman"/>
                <w:kern w:val="0"/>
                <w:sz w:val="24"/>
                <w:szCs w:val="24"/>
                <w:highlight w:val="none"/>
              </w:rPr>
              <w:t>》</w:t>
            </w:r>
            <w:r>
              <w:rPr>
                <w:rFonts w:hint="eastAsia" w:cs="Times New Roman"/>
                <w:kern w:val="0"/>
                <w:sz w:val="24"/>
                <w:szCs w:val="24"/>
                <w:highlight w:val="none"/>
                <w:lang w:val="en-US" w:eastAsia="zh-CN"/>
              </w:rPr>
              <w:t>（苏政复</w:t>
            </w:r>
            <w:r>
              <w:rPr>
                <w:rFonts w:hint="default" w:ascii="Times New Roman" w:hAnsi="Times New Roman" w:eastAsia="宋体" w:cs="Times New Roman"/>
                <w:kern w:val="0"/>
                <w:sz w:val="24"/>
                <w:szCs w:val="24"/>
                <w:highlight w:val="none"/>
              </w:rPr>
              <w:t>〔20</w:t>
            </w:r>
            <w:r>
              <w:rPr>
                <w:rFonts w:hint="eastAsia" w:cs="Times New Roman"/>
                <w:kern w:val="0"/>
                <w:sz w:val="24"/>
                <w:szCs w:val="24"/>
                <w:highlight w:val="none"/>
                <w:lang w:val="en-US" w:eastAsia="zh-CN"/>
              </w:rPr>
              <w:t>20</w:t>
            </w:r>
            <w:r>
              <w:rPr>
                <w:rFonts w:hint="default" w:ascii="Times New Roman" w:hAnsi="Times New Roman" w:eastAsia="宋体" w:cs="Times New Roman"/>
                <w:kern w:val="0"/>
                <w:sz w:val="24"/>
                <w:szCs w:val="24"/>
                <w:highlight w:val="none"/>
              </w:rPr>
              <w:t>〕</w:t>
            </w:r>
            <w:r>
              <w:rPr>
                <w:rFonts w:hint="eastAsia" w:cs="Times New Roman"/>
                <w:kern w:val="0"/>
                <w:sz w:val="24"/>
                <w:szCs w:val="24"/>
                <w:highlight w:val="none"/>
                <w:lang w:val="en-US" w:eastAsia="zh-CN"/>
              </w:rPr>
              <w:t>108</w:t>
            </w:r>
            <w:r>
              <w:rPr>
                <w:rFonts w:hint="default" w:ascii="Times New Roman" w:hAnsi="Times New Roman" w:eastAsia="宋体" w:cs="Times New Roman"/>
                <w:kern w:val="0"/>
                <w:sz w:val="24"/>
                <w:szCs w:val="24"/>
                <w:highlight w:val="none"/>
              </w:rPr>
              <w:t>号</w:t>
            </w:r>
            <w:r>
              <w:rPr>
                <w:rFonts w:hint="eastAsia" w:cs="Times New Roman"/>
                <w:kern w:val="0"/>
                <w:sz w:val="24"/>
                <w:szCs w:val="24"/>
                <w:highlight w:val="none"/>
                <w:lang w:val="en-US" w:eastAsia="zh-CN"/>
              </w:rPr>
              <w:t>）</w:t>
            </w:r>
          </w:p>
        </w:tc>
      </w:tr>
      <w:tr w14:paraId="49353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922" w:type="dxa"/>
            <w:gridSpan w:val="2"/>
            <w:vAlign w:val="center"/>
          </w:tcPr>
          <w:p w14:paraId="65D7FA73">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规划环境影响</w:t>
            </w:r>
          </w:p>
          <w:p w14:paraId="6D22E572">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评价情况</w:t>
            </w:r>
          </w:p>
        </w:tc>
        <w:tc>
          <w:tcPr>
            <w:tcW w:w="7785" w:type="dxa"/>
            <w:gridSpan w:val="3"/>
          </w:tcPr>
          <w:p w14:paraId="3E8596B7">
            <w:pPr>
              <w:autoSpaceDE w:val="0"/>
              <w:autoSpaceDN w:val="0"/>
              <w:adjustRightInd w:val="0"/>
              <w:snapToGrid w:val="0"/>
              <w:spacing w:line="460" w:lineRule="exact"/>
              <w:ind w:firstLine="480" w:firstLineChars="200"/>
              <w:rPr>
                <w:rFonts w:hint="default" w:cs="Times New Roman"/>
                <w:kern w:val="0"/>
                <w:sz w:val="24"/>
                <w:szCs w:val="24"/>
                <w:highlight w:val="none"/>
                <w:lang w:val="en-US" w:eastAsia="zh-CN"/>
              </w:rPr>
            </w:pPr>
            <w:r>
              <w:rPr>
                <w:rFonts w:hint="default" w:cs="Times New Roman"/>
                <w:kern w:val="0"/>
                <w:sz w:val="24"/>
                <w:szCs w:val="24"/>
                <w:highlight w:val="none"/>
                <w:lang w:val="en-US" w:eastAsia="zh-CN"/>
              </w:rPr>
              <w:t>规划环境影响评价文件</w:t>
            </w:r>
            <w:r>
              <w:rPr>
                <w:rFonts w:hint="eastAsia" w:cs="Times New Roman"/>
                <w:kern w:val="0"/>
                <w:sz w:val="24"/>
                <w:szCs w:val="24"/>
                <w:highlight w:val="none"/>
                <w:lang w:val="en-US" w:eastAsia="zh-CN"/>
              </w:rPr>
              <w:t>名称</w:t>
            </w:r>
            <w:r>
              <w:rPr>
                <w:rFonts w:hint="default" w:cs="Times New Roman"/>
                <w:kern w:val="0"/>
                <w:sz w:val="24"/>
                <w:szCs w:val="24"/>
                <w:highlight w:val="none"/>
                <w:lang w:val="en-US" w:eastAsia="zh-CN"/>
              </w:rPr>
              <w:t>：《淮安港总体规划（2020～2035年）</w:t>
            </w:r>
            <w:r>
              <w:rPr>
                <w:rFonts w:hint="eastAsia" w:cs="Times New Roman"/>
                <w:kern w:val="0"/>
                <w:sz w:val="24"/>
                <w:szCs w:val="24"/>
                <w:highlight w:val="none"/>
                <w:lang w:val="en-US" w:eastAsia="zh-CN"/>
              </w:rPr>
              <w:t>环境影响报告书</w:t>
            </w:r>
            <w:r>
              <w:rPr>
                <w:rFonts w:hint="default" w:cs="Times New Roman"/>
                <w:kern w:val="0"/>
                <w:sz w:val="24"/>
                <w:szCs w:val="24"/>
                <w:highlight w:val="none"/>
                <w:lang w:val="en-US" w:eastAsia="zh-CN"/>
              </w:rPr>
              <w:t>》</w:t>
            </w:r>
          </w:p>
          <w:p w14:paraId="52719D31">
            <w:pPr>
              <w:autoSpaceDE w:val="0"/>
              <w:autoSpaceDN w:val="0"/>
              <w:adjustRightInd w:val="0"/>
              <w:snapToGrid w:val="0"/>
              <w:spacing w:line="460" w:lineRule="exact"/>
              <w:ind w:firstLine="480" w:firstLineChars="200"/>
              <w:rPr>
                <w:rFonts w:hint="default" w:cs="Times New Roman"/>
                <w:kern w:val="0"/>
                <w:sz w:val="24"/>
                <w:szCs w:val="24"/>
                <w:highlight w:val="none"/>
                <w:lang w:val="en-US" w:eastAsia="zh-CN"/>
              </w:rPr>
            </w:pPr>
            <w:r>
              <w:rPr>
                <w:rFonts w:hint="eastAsia" w:cs="Times New Roman"/>
                <w:kern w:val="0"/>
                <w:sz w:val="24"/>
                <w:szCs w:val="24"/>
                <w:highlight w:val="none"/>
                <w:lang w:val="en-US" w:eastAsia="zh-CN"/>
              </w:rPr>
              <w:t>召集审查</w:t>
            </w:r>
            <w:r>
              <w:rPr>
                <w:rFonts w:hint="default" w:cs="Times New Roman"/>
                <w:kern w:val="0"/>
                <w:sz w:val="24"/>
                <w:szCs w:val="24"/>
                <w:highlight w:val="none"/>
                <w:lang w:val="en-US" w:eastAsia="zh-CN"/>
              </w:rPr>
              <w:t>机关：</w:t>
            </w:r>
            <w:r>
              <w:rPr>
                <w:rFonts w:hint="eastAsia" w:cs="Times New Roman"/>
                <w:kern w:val="0"/>
                <w:sz w:val="24"/>
                <w:szCs w:val="24"/>
                <w:highlight w:val="none"/>
                <w:lang w:val="en-US" w:eastAsia="zh-CN"/>
              </w:rPr>
              <w:t>江苏省生态环境厅</w:t>
            </w:r>
          </w:p>
          <w:p w14:paraId="4B71DAE1">
            <w:pPr>
              <w:autoSpaceDE w:val="0"/>
              <w:autoSpaceDN w:val="0"/>
              <w:adjustRightInd w:val="0"/>
              <w:snapToGrid w:val="0"/>
              <w:spacing w:line="460" w:lineRule="exact"/>
              <w:ind w:firstLine="480" w:firstLineChars="200"/>
              <w:rPr>
                <w:rFonts w:hint="default"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rPr>
              <w:t>审</w:t>
            </w:r>
            <w:r>
              <w:rPr>
                <w:rFonts w:hint="eastAsia" w:cs="Times New Roman"/>
                <w:kern w:val="0"/>
                <w:sz w:val="24"/>
                <w:szCs w:val="24"/>
                <w:highlight w:val="none"/>
                <w:lang w:val="en-US" w:eastAsia="zh-CN"/>
              </w:rPr>
              <w:t>查</w:t>
            </w:r>
            <w:r>
              <w:rPr>
                <w:rFonts w:hint="default" w:ascii="Times New Roman" w:hAnsi="Times New Roman" w:eastAsia="宋体" w:cs="Times New Roman"/>
                <w:kern w:val="0"/>
                <w:sz w:val="24"/>
                <w:szCs w:val="24"/>
                <w:highlight w:val="none"/>
              </w:rPr>
              <w:t>文件名称及文号：</w:t>
            </w:r>
            <w:r>
              <w:rPr>
                <w:rFonts w:hint="default" w:cs="Times New Roman"/>
                <w:kern w:val="0"/>
                <w:sz w:val="24"/>
                <w:szCs w:val="24"/>
                <w:highlight w:val="none"/>
                <w:lang w:val="en-US" w:eastAsia="zh-CN"/>
              </w:rPr>
              <w:t>《</w:t>
            </w:r>
            <w:r>
              <w:rPr>
                <w:rFonts w:hint="eastAsia" w:cs="Times New Roman"/>
                <w:kern w:val="0"/>
                <w:sz w:val="24"/>
                <w:szCs w:val="24"/>
                <w:highlight w:val="none"/>
                <w:lang w:val="en-US" w:eastAsia="zh-CN"/>
              </w:rPr>
              <w:t>省生态环境厅</w:t>
            </w:r>
            <w:r>
              <w:rPr>
                <w:rFonts w:hint="default" w:cs="Times New Roman"/>
                <w:kern w:val="0"/>
                <w:sz w:val="24"/>
                <w:szCs w:val="24"/>
                <w:highlight w:val="none"/>
                <w:lang w:val="en-US" w:eastAsia="zh-CN"/>
              </w:rPr>
              <w:t>关于淮安港总体规划（20</w:t>
            </w:r>
            <w:r>
              <w:rPr>
                <w:rFonts w:hint="eastAsia" w:cs="Times New Roman"/>
                <w:kern w:val="0"/>
                <w:sz w:val="24"/>
                <w:szCs w:val="24"/>
                <w:highlight w:val="none"/>
                <w:lang w:val="en-US" w:eastAsia="zh-CN"/>
              </w:rPr>
              <w:t>20</w:t>
            </w:r>
            <w:r>
              <w:rPr>
                <w:rFonts w:hint="default" w:cs="Times New Roman"/>
                <w:kern w:val="0"/>
                <w:sz w:val="24"/>
                <w:szCs w:val="24"/>
                <w:highlight w:val="none"/>
                <w:lang w:val="en-US" w:eastAsia="zh-CN"/>
              </w:rPr>
              <w:t>～2035年）环境影响报告书审查意见》</w:t>
            </w:r>
            <w:r>
              <w:rPr>
                <w:rFonts w:hint="eastAsia" w:cs="Times New Roman"/>
                <w:kern w:val="0"/>
                <w:sz w:val="24"/>
                <w:szCs w:val="24"/>
                <w:highlight w:val="none"/>
                <w:lang w:val="en-US" w:eastAsia="zh-CN"/>
              </w:rPr>
              <w:t>（苏环审</w:t>
            </w:r>
            <w:r>
              <w:rPr>
                <w:rFonts w:hint="default" w:cs="Times New Roman"/>
                <w:kern w:val="0"/>
                <w:sz w:val="24"/>
                <w:szCs w:val="24"/>
                <w:highlight w:val="none"/>
                <w:lang w:val="en-US" w:eastAsia="zh-CN"/>
              </w:rPr>
              <w:t>〔20</w:t>
            </w:r>
            <w:r>
              <w:rPr>
                <w:rFonts w:hint="eastAsia" w:cs="Times New Roman"/>
                <w:kern w:val="0"/>
                <w:sz w:val="24"/>
                <w:szCs w:val="24"/>
                <w:highlight w:val="none"/>
                <w:lang w:val="en-US" w:eastAsia="zh-CN"/>
              </w:rPr>
              <w:t>20</w:t>
            </w:r>
            <w:r>
              <w:rPr>
                <w:rFonts w:hint="default" w:cs="Times New Roman"/>
                <w:kern w:val="0"/>
                <w:sz w:val="24"/>
                <w:szCs w:val="24"/>
                <w:highlight w:val="none"/>
                <w:lang w:val="en-US" w:eastAsia="zh-CN"/>
              </w:rPr>
              <w:t>〕</w:t>
            </w:r>
            <w:r>
              <w:rPr>
                <w:rFonts w:hint="eastAsia" w:cs="Times New Roman"/>
                <w:kern w:val="0"/>
                <w:sz w:val="24"/>
                <w:szCs w:val="24"/>
                <w:highlight w:val="none"/>
                <w:lang w:val="en-US" w:eastAsia="zh-CN"/>
              </w:rPr>
              <w:t>16</w:t>
            </w:r>
            <w:r>
              <w:rPr>
                <w:rFonts w:hint="default" w:cs="Times New Roman"/>
                <w:kern w:val="0"/>
                <w:sz w:val="24"/>
                <w:szCs w:val="24"/>
                <w:highlight w:val="none"/>
                <w:lang w:val="en-US" w:eastAsia="zh-CN"/>
              </w:rPr>
              <w:t>号</w:t>
            </w:r>
            <w:r>
              <w:rPr>
                <w:rFonts w:hint="eastAsia" w:cs="Times New Roman"/>
                <w:kern w:val="0"/>
                <w:sz w:val="24"/>
                <w:szCs w:val="24"/>
                <w:highlight w:val="none"/>
                <w:lang w:val="en-US" w:eastAsia="zh-CN"/>
              </w:rPr>
              <w:t>）</w:t>
            </w:r>
          </w:p>
        </w:tc>
      </w:tr>
      <w:tr w14:paraId="163ED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82" w:type="dxa"/>
            <w:vAlign w:val="center"/>
          </w:tcPr>
          <w:p w14:paraId="1D019F13">
            <w:pPr>
              <w:autoSpaceDE w:val="0"/>
              <w:autoSpaceDN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b w:val="0"/>
                <w:bCs w:val="0"/>
                <w:kern w:val="0"/>
                <w:sz w:val="24"/>
                <w:szCs w:val="24"/>
              </w:rPr>
              <w:t>规划及规划环境影响评价符合性分析</w:t>
            </w:r>
          </w:p>
        </w:tc>
        <w:tc>
          <w:tcPr>
            <w:tcW w:w="8925" w:type="dxa"/>
            <w:gridSpan w:val="4"/>
            <w:vAlign w:val="center"/>
          </w:tcPr>
          <w:p w14:paraId="246526FB">
            <w:pPr>
              <w:adjustRightInd w:val="0"/>
              <w:snapToGrid w:val="0"/>
              <w:spacing w:line="460" w:lineRule="exact"/>
              <w:ind w:firstLine="482" w:firstLineChars="200"/>
              <w:rPr>
                <w:rFonts w:hint="default" w:ascii="Times New Roman" w:hAnsi="Times New Roman" w:eastAsia="宋体" w:cs="Times New Roman"/>
                <w:b/>
                <w:sz w:val="24"/>
                <w:szCs w:val="24"/>
                <w:lang w:bidi="ar"/>
              </w:rPr>
            </w:pPr>
            <w:r>
              <w:rPr>
                <w:rFonts w:hint="default" w:ascii="Times New Roman" w:hAnsi="Times New Roman" w:eastAsia="宋体" w:cs="Times New Roman"/>
                <w:b/>
                <w:sz w:val="24"/>
                <w:szCs w:val="24"/>
                <w:lang w:bidi="ar"/>
              </w:rPr>
              <w:t>1、与《</w:t>
            </w:r>
            <w:r>
              <w:rPr>
                <w:rFonts w:hint="default" w:ascii="Times New Roman" w:hAnsi="Times New Roman" w:eastAsia="宋体" w:cs="Times New Roman"/>
                <w:b/>
                <w:sz w:val="24"/>
                <w:szCs w:val="24"/>
                <w:lang w:val="en-US" w:eastAsia="zh-CN" w:bidi="ar"/>
              </w:rPr>
              <w:t>淮安</w:t>
            </w:r>
            <w:r>
              <w:rPr>
                <w:rFonts w:hint="default" w:ascii="Times New Roman" w:hAnsi="Times New Roman" w:eastAsia="宋体" w:cs="Times New Roman"/>
                <w:b/>
                <w:sz w:val="24"/>
                <w:szCs w:val="24"/>
                <w:lang w:bidi="ar"/>
              </w:rPr>
              <w:t>港总体规划（20</w:t>
            </w:r>
            <w:r>
              <w:rPr>
                <w:rFonts w:hint="default" w:ascii="Times New Roman" w:hAnsi="Times New Roman" w:eastAsia="宋体" w:cs="Times New Roman"/>
                <w:b/>
                <w:sz w:val="24"/>
                <w:szCs w:val="24"/>
                <w:lang w:val="en-US" w:eastAsia="zh-CN" w:bidi="ar"/>
              </w:rPr>
              <w:t>20</w:t>
            </w:r>
            <w:r>
              <w:rPr>
                <w:rFonts w:hint="default" w:ascii="Times New Roman" w:hAnsi="Times New Roman" w:eastAsia="宋体" w:cs="Times New Roman"/>
                <w:kern w:val="0"/>
                <w:sz w:val="24"/>
                <w:szCs w:val="24"/>
                <w:highlight w:val="none"/>
              </w:rPr>
              <w:t>～</w:t>
            </w:r>
            <w:r>
              <w:rPr>
                <w:rFonts w:hint="default" w:ascii="Times New Roman" w:hAnsi="Times New Roman" w:eastAsia="宋体" w:cs="Times New Roman"/>
                <w:b/>
                <w:sz w:val="24"/>
                <w:szCs w:val="24"/>
                <w:lang w:bidi="ar"/>
              </w:rPr>
              <w:t>2035）》相符性分析</w:t>
            </w:r>
          </w:p>
          <w:p w14:paraId="42742C83">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《淮安港总体规划（2020</w:t>
            </w:r>
            <w:r>
              <w:rPr>
                <w:rFonts w:hint="default" w:ascii="Times New Roman" w:hAnsi="Times New Roman" w:eastAsia="宋体" w:cs="Times New Roman"/>
                <w:kern w:val="0"/>
                <w:sz w:val="24"/>
                <w:szCs w:val="24"/>
                <w:highlight w:val="none"/>
              </w:rPr>
              <w:t>～</w:t>
            </w:r>
            <w:r>
              <w:rPr>
                <w:rFonts w:hint="default" w:ascii="Times New Roman" w:hAnsi="Times New Roman" w:eastAsia="宋体" w:cs="Times New Roman"/>
                <w:color w:val="auto"/>
                <w:kern w:val="0"/>
                <w:sz w:val="24"/>
                <w:szCs w:val="24"/>
              </w:rPr>
              <w:t>2035）》已于2020年11月10日取得江苏省人民政府批复</w:t>
            </w:r>
            <w:r>
              <w:rPr>
                <w:rFonts w:hint="eastAsia" w:cs="Times New Roman"/>
                <w:kern w:val="0"/>
                <w:sz w:val="24"/>
                <w:szCs w:val="24"/>
                <w:highlight w:val="none"/>
                <w:lang w:val="en-US" w:eastAsia="zh-CN"/>
              </w:rPr>
              <w:t>（苏政复</w:t>
            </w:r>
            <w:r>
              <w:rPr>
                <w:rFonts w:hint="default" w:ascii="Times New Roman" w:hAnsi="Times New Roman" w:eastAsia="宋体" w:cs="Times New Roman"/>
                <w:kern w:val="0"/>
                <w:sz w:val="24"/>
                <w:szCs w:val="24"/>
                <w:highlight w:val="none"/>
              </w:rPr>
              <w:t>〔20</w:t>
            </w:r>
            <w:r>
              <w:rPr>
                <w:rFonts w:hint="eastAsia" w:cs="Times New Roman"/>
                <w:kern w:val="0"/>
                <w:sz w:val="24"/>
                <w:szCs w:val="24"/>
                <w:highlight w:val="none"/>
                <w:lang w:val="en-US" w:eastAsia="zh-CN"/>
              </w:rPr>
              <w:t>20</w:t>
            </w:r>
            <w:r>
              <w:rPr>
                <w:rFonts w:hint="default" w:ascii="Times New Roman" w:hAnsi="Times New Roman" w:eastAsia="宋体" w:cs="Times New Roman"/>
                <w:kern w:val="0"/>
                <w:sz w:val="24"/>
                <w:szCs w:val="24"/>
                <w:highlight w:val="none"/>
              </w:rPr>
              <w:t>〕</w:t>
            </w:r>
            <w:r>
              <w:rPr>
                <w:rFonts w:hint="eastAsia" w:cs="Times New Roman"/>
                <w:kern w:val="0"/>
                <w:sz w:val="24"/>
                <w:szCs w:val="24"/>
                <w:highlight w:val="none"/>
                <w:lang w:val="en-US" w:eastAsia="zh-CN"/>
              </w:rPr>
              <w:t>108</w:t>
            </w:r>
            <w:r>
              <w:rPr>
                <w:rFonts w:hint="default" w:ascii="Times New Roman" w:hAnsi="Times New Roman" w:eastAsia="宋体" w:cs="Times New Roman"/>
                <w:kern w:val="0"/>
                <w:sz w:val="24"/>
                <w:szCs w:val="24"/>
                <w:highlight w:val="none"/>
              </w:rPr>
              <w:t>号</w:t>
            </w:r>
            <w:r>
              <w:rPr>
                <w:rFonts w:hint="eastAsia" w:cs="Times New Roman"/>
                <w:kern w:val="0"/>
                <w:sz w:val="24"/>
                <w:szCs w:val="24"/>
                <w:highlight w:val="none"/>
                <w:lang w:val="en-US" w:eastAsia="zh-CN"/>
              </w:rPr>
              <w:t>）</w:t>
            </w:r>
            <w:r>
              <w:rPr>
                <w:rFonts w:hint="default" w:ascii="Times New Roman" w:hAnsi="Times New Roman" w:eastAsia="宋体" w:cs="Times New Roman"/>
                <w:color w:val="auto"/>
                <w:kern w:val="0"/>
                <w:sz w:val="24"/>
                <w:szCs w:val="24"/>
              </w:rPr>
              <w:t>，《淮安港总体规划（2020</w:t>
            </w:r>
            <w:r>
              <w:rPr>
                <w:rFonts w:hint="default" w:ascii="Times New Roman" w:hAnsi="Times New Roman" w:eastAsia="宋体" w:cs="Times New Roman"/>
                <w:kern w:val="0"/>
                <w:sz w:val="24"/>
                <w:szCs w:val="24"/>
                <w:highlight w:val="none"/>
              </w:rPr>
              <w:t>～</w:t>
            </w:r>
            <w:r>
              <w:rPr>
                <w:rFonts w:hint="default" w:ascii="Times New Roman" w:hAnsi="Times New Roman" w:eastAsia="宋体" w:cs="Times New Roman"/>
                <w:color w:val="auto"/>
                <w:kern w:val="0"/>
                <w:sz w:val="24"/>
                <w:szCs w:val="24"/>
              </w:rPr>
              <w:t>2035）》相关内容如下：</w:t>
            </w:r>
          </w:p>
          <w:p w14:paraId="4C3D0166">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（1）规划范围：规划范围为淮安市等级航道岸线及相关水域和陆域。</w:t>
            </w:r>
          </w:p>
          <w:p w14:paraId="2D18306D">
            <w:pPr>
              <w:widowControl/>
              <w:wordWrap w:val="0"/>
              <w:adjustRightInd w:val="0"/>
              <w:snapToGrid w:val="0"/>
              <w:spacing w:line="500" w:lineRule="exact"/>
              <w:jc w:val="center"/>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w:t>
            </w:r>
            <w:r>
              <w:rPr>
                <w:rFonts w:hint="default" w:ascii="Times New Roman" w:hAnsi="Times New Roman" w:eastAsia="宋体" w:cs="Times New Roman"/>
                <w:b/>
                <w:color w:val="auto"/>
                <w:kern w:val="0"/>
                <w:sz w:val="24"/>
                <w:szCs w:val="24"/>
                <w:lang w:val="en-US" w:eastAsia="zh-CN"/>
              </w:rPr>
              <w:t>1</w:t>
            </w:r>
            <w:r>
              <w:rPr>
                <w:rFonts w:hint="eastAsia" w:cs="Times New Roman"/>
                <w:b/>
                <w:color w:val="auto"/>
                <w:kern w:val="0"/>
                <w:sz w:val="24"/>
                <w:szCs w:val="24"/>
                <w:lang w:val="en-US" w:eastAsia="zh-CN"/>
              </w:rPr>
              <w:t>-1</w:t>
            </w:r>
            <w:r>
              <w:rPr>
                <w:rFonts w:hint="default" w:ascii="Times New Roman" w:hAnsi="Times New Roman" w:eastAsia="宋体" w:cs="Times New Roman"/>
                <w:b/>
                <w:color w:val="auto"/>
                <w:kern w:val="0"/>
                <w:sz w:val="24"/>
                <w:szCs w:val="24"/>
              </w:rPr>
              <w:t xml:space="preserve">  规划岸线所在航道一览表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5131"/>
              <w:gridCol w:w="1538"/>
            </w:tblGrid>
            <w:tr w14:paraId="59589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19E367A9">
                  <w:pPr>
                    <w:widowControl/>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序号</w:t>
                  </w:r>
                </w:p>
              </w:tc>
              <w:tc>
                <w:tcPr>
                  <w:tcW w:w="3576" w:type="dxa"/>
                  <w:vAlign w:val="center"/>
                </w:tcPr>
                <w:p w14:paraId="61138A85">
                  <w:pPr>
                    <w:widowControl/>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航道</w:t>
                  </w:r>
                </w:p>
              </w:tc>
              <w:tc>
                <w:tcPr>
                  <w:tcW w:w="1071" w:type="dxa"/>
                  <w:vAlign w:val="center"/>
                </w:tcPr>
                <w:p w14:paraId="1D6E0A4C">
                  <w:pPr>
                    <w:widowControl/>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等级</w:t>
                  </w:r>
                </w:p>
              </w:tc>
            </w:tr>
            <w:tr w14:paraId="443F8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137FAC59">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w:t>
                  </w:r>
                </w:p>
              </w:tc>
              <w:tc>
                <w:tcPr>
                  <w:tcW w:w="3576" w:type="dxa"/>
                  <w:vAlign w:val="center"/>
                </w:tcPr>
                <w:p w14:paraId="0BA42FBD">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京杭运河</w:t>
                  </w:r>
                </w:p>
              </w:tc>
              <w:tc>
                <w:tcPr>
                  <w:tcW w:w="1071" w:type="dxa"/>
                  <w:vAlign w:val="center"/>
                </w:tcPr>
                <w:p w14:paraId="1225B92F">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二级</w:t>
                  </w:r>
                </w:p>
              </w:tc>
            </w:tr>
            <w:tr w14:paraId="0A475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4079D231">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3576" w:type="dxa"/>
                  <w:vAlign w:val="center"/>
                </w:tcPr>
                <w:p w14:paraId="2B0D23A2">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盐河</w:t>
                  </w:r>
                </w:p>
              </w:tc>
              <w:tc>
                <w:tcPr>
                  <w:tcW w:w="1071" w:type="dxa"/>
                  <w:vAlign w:val="center"/>
                </w:tcPr>
                <w:p w14:paraId="7360DEB8">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三级</w:t>
                  </w:r>
                </w:p>
              </w:tc>
            </w:tr>
            <w:tr w14:paraId="21E1E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7EA59A8F">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3576" w:type="dxa"/>
                  <w:vAlign w:val="center"/>
                </w:tcPr>
                <w:p w14:paraId="747F05C4">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苏北灌溉总渠</w:t>
                  </w:r>
                </w:p>
              </w:tc>
              <w:tc>
                <w:tcPr>
                  <w:tcW w:w="1071" w:type="dxa"/>
                  <w:vAlign w:val="center"/>
                </w:tcPr>
                <w:p w14:paraId="4468B576">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三级</w:t>
                  </w:r>
                </w:p>
              </w:tc>
            </w:tr>
            <w:tr w14:paraId="3616E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19998168">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3576" w:type="dxa"/>
                  <w:vAlign w:val="center"/>
                </w:tcPr>
                <w:p w14:paraId="7398F437">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金宝航道</w:t>
                  </w:r>
                </w:p>
              </w:tc>
              <w:tc>
                <w:tcPr>
                  <w:tcW w:w="1071" w:type="dxa"/>
                  <w:vAlign w:val="center"/>
                </w:tcPr>
                <w:p w14:paraId="0299F2DB">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三级</w:t>
                  </w:r>
                </w:p>
              </w:tc>
            </w:tr>
            <w:tr w14:paraId="130ED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3D59FB65">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3576" w:type="dxa"/>
                  <w:vAlign w:val="center"/>
                </w:tcPr>
                <w:p w14:paraId="6C7732EF">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淮沭新河</w:t>
                  </w:r>
                </w:p>
              </w:tc>
              <w:tc>
                <w:tcPr>
                  <w:tcW w:w="1071" w:type="dxa"/>
                  <w:vAlign w:val="center"/>
                </w:tcPr>
                <w:p w14:paraId="4114D620">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五级</w:t>
                  </w:r>
                </w:p>
              </w:tc>
            </w:tr>
            <w:tr w14:paraId="79121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6ED5B565">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3576" w:type="dxa"/>
                  <w:vAlign w:val="center"/>
                </w:tcPr>
                <w:p w14:paraId="56981DD1">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里运河</w:t>
                  </w:r>
                </w:p>
              </w:tc>
              <w:tc>
                <w:tcPr>
                  <w:tcW w:w="1071" w:type="dxa"/>
                  <w:vAlign w:val="center"/>
                </w:tcPr>
                <w:p w14:paraId="2686D4A2">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五级</w:t>
                  </w:r>
                </w:p>
              </w:tc>
            </w:tr>
            <w:tr w14:paraId="4BCD6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171A8510">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3576" w:type="dxa"/>
                  <w:vAlign w:val="center"/>
                </w:tcPr>
                <w:p w14:paraId="1EA155DB">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张福河</w:t>
                  </w:r>
                </w:p>
              </w:tc>
              <w:tc>
                <w:tcPr>
                  <w:tcW w:w="1071" w:type="dxa"/>
                  <w:vAlign w:val="center"/>
                </w:tcPr>
                <w:p w14:paraId="2F5543BF">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三级</w:t>
                  </w:r>
                </w:p>
              </w:tc>
            </w:tr>
            <w:tr w14:paraId="4F6FE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0402AADB">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3576" w:type="dxa"/>
                  <w:vAlign w:val="center"/>
                </w:tcPr>
                <w:p w14:paraId="1FF3E80C">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洪泽湖南线</w:t>
                  </w:r>
                </w:p>
              </w:tc>
              <w:tc>
                <w:tcPr>
                  <w:tcW w:w="1071" w:type="dxa"/>
                  <w:vAlign w:val="center"/>
                </w:tcPr>
                <w:p w14:paraId="024E14F6">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三级</w:t>
                  </w:r>
                </w:p>
              </w:tc>
            </w:tr>
            <w:tr w14:paraId="23187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695DB018">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3576" w:type="dxa"/>
                  <w:vAlign w:val="center"/>
                </w:tcPr>
                <w:p w14:paraId="3C62FA68">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电厂航道（废黄河）</w:t>
                  </w:r>
                </w:p>
              </w:tc>
              <w:tc>
                <w:tcPr>
                  <w:tcW w:w="1071" w:type="dxa"/>
                  <w:vAlign w:val="center"/>
                </w:tcPr>
                <w:p w14:paraId="2D7F1097">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三级</w:t>
                  </w:r>
                </w:p>
              </w:tc>
            </w:tr>
            <w:tr w14:paraId="7CC97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31F56FEF">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3576" w:type="dxa"/>
                  <w:vAlign w:val="center"/>
                </w:tcPr>
                <w:p w14:paraId="738D2A10">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南六塘河</w:t>
                  </w:r>
                </w:p>
              </w:tc>
              <w:tc>
                <w:tcPr>
                  <w:tcW w:w="1071" w:type="dxa"/>
                  <w:vAlign w:val="center"/>
                </w:tcPr>
                <w:p w14:paraId="2D76BF78">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五级</w:t>
                  </w:r>
                </w:p>
              </w:tc>
            </w:tr>
            <w:tr w14:paraId="5CBBC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226C1735">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w:t>
                  </w:r>
                </w:p>
              </w:tc>
              <w:tc>
                <w:tcPr>
                  <w:tcW w:w="3576" w:type="dxa"/>
                  <w:vAlign w:val="center"/>
                </w:tcPr>
                <w:p w14:paraId="2F4FBDFE">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清水坝河</w:t>
                  </w:r>
                </w:p>
              </w:tc>
              <w:tc>
                <w:tcPr>
                  <w:tcW w:w="1071" w:type="dxa"/>
                  <w:vAlign w:val="center"/>
                </w:tcPr>
                <w:p w14:paraId="7FC9C07F">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五级</w:t>
                  </w:r>
                </w:p>
              </w:tc>
            </w:tr>
            <w:tr w14:paraId="71E6F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6646C1C8">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w:t>
                  </w:r>
                </w:p>
              </w:tc>
              <w:tc>
                <w:tcPr>
                  <w:tcW w:w="3576" w:type="dxa"/>
                  <w:vAlign w:val="center"/>
                </w:tcPr>
                <w:p w14:paraId="2D64F795">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官滩河</w:t>
                  </w:r>
                </w:p>
              </w:tc>
              <w:tc>
                <w:tcPr>
                  <w:tcW w:w="1071" w:type="dxa"/>
                  <w:vAlign w:val="center"/>
                </w:tcPr>
                <w:p w14:paraId="717C6236">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五级</w:t>
                  </w:r>
                </w:p>
              </w:tc>
            </w:tr>
            <w:tr w14:paraId="52C18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2EB50595">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w:t>
                  </w:r>
                </w:p>
              </w:tc>
              <w:tc>
                <w:tcPr>
                  <w:tcW w:w="3576" w:type="dxa"/>
                  <w:vAlign w:val="center"/>
                </w:tcPr>
                <w:p w14:paraId="12A9DF95">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三河农场河</w:t>
                  </w:r>
                </w:p>
              </w:tc>
              <w:tc>
                <w:tcPr>
                  <w:tcW w:w="1071" w:type="dxa"/>
                  <w:vAlign w:val="center"/>
                </w:tcPr>
                <w:p w14:paraId="286B1CAD">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五级</w:t>
                  </w:r>
                </w:p>
              </w:tc>
            </w:tr>
            <w:tr w14:paraId="3352A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7" w:type="dxa"/>
                  <w:vAlign w:val="center"/>
                </w:tcPr>
                <w:p w14:paraId="49A6F09E">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w:t>
                  </w:r>
                </w:p>
              </w:tc>
              <w:tc>
                <w:tcPr>
                  <w:tcW w:w="3576" w:type="dxa"/>
                  <w:vAlign w:val="center"/>
                </w:tcPr>
                <w:p w14:paraId="6298F8BF">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头溪河</w:t>
                  </w:r>
                </w:p>
              </w:tc>
              <w:tc>
                <w:tcPr>
                  <w:tcW w:w="1071" w:type="dxa"/>
                  <w:vAlign w:val="center"/>
                </w:tcPr>
                <w:p w14:paraId="706D62DC">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五级</w:t>
                  </w:r>
                </w:p>
              </w:tc>
            </w:tr>
            <w:tr w14:paraId="08159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 w:type="dxa"/>
                  <w:vAlign w:val="center"/>
                </w:tcPr>
                <w:p w14:paraId="1BD1DBD9">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3576" w:type="dxa"/>
                  <w:vAlign w:val="center"/>
                </w:tcPr>
                <w:p w14:paraId="08AEDB28">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东环城河</w:t>
                  </w:r>
                </w:p>
              </w:tc>
              <w:tc>
                <w:tcPr>
                  <w:tcW w:w="1071" w:type="dxa"/>
                  <w:vAlign w:val="center"/>
                </w:tcPr>
                <w:p w14:paraId="165C680B">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三级</w:t>
                  </w:r>
                </w:p>
              </w:tc>
            </w:tr>
          </w:tbl>
          <w:p w14:paraId="68DD90A9">
            <w:pPr>
              <w:widowControl/>
              <w:adjustRightInd w:val="0"/>
              <w:snapToGrid w:val="0"/>
              <w:spacing w:line="500" w:lineRule="exact"/>
              <w:ind w:firstLine="480" w:firstLineChars="200"/>
              <w:rPr>
                <w:rFonts w:hint="default" w:ascii="Times New Roman" w:hAnsi="Times New Roman" w:eastAsia="宋体" w:cs="Times New Roman"/>
                <w:b w:val="0"/>
                <w:bCs/>
                <w:color w:val="auto"/>
                <w:kern w:val="0"/>
                <w:sz w:val="24"/>
                <w:szCs w:val="24"/>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作业区布局规划：本次规划将淮安港划分为七个港区，分别为市区港区、淮阴港区、淮安港区、涟水港区、盱眙港区、洪泽港区和金湖港区。各港区共规划作业区45个。</w:t>
            </w:r>
            <w:r>
              <w:rPr>
                <w:rFonts w:hint="default" w:ascii="Times New Roman" w:hAnsi="Times New Roman" w:eastAsia="宋体" w:cs="Times New Roman"/>
                <w:b w:val="0"/>
                <w:bCs/>
                <w:color w:val="auto"/>
                <w:kern w:val="0"/>
                <w:sz w:val="24"/>
                <w:szCs w:val="24"/>
              </w:rPr>
              <w:t>黄码作业区：位于京杭运河右岸，是淮安港主要作业区之一，主要服务于淮安市城区及南部地区物资运输需求，兼顾苏北、鲁南等地区物资中转。</w:t>
            </w:r>
          </w:p>
          <w:p w14:paraId="18647047">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本</w:t>
            </w:r>
            <w:r>
              <w:rPr>
                <w:rFonts w:hint="default" w:ascii="Times New Roman" w:hAnsi="Times New Roman" w:eastAsia="宋体" w:cs="Times New Roman"/>
                <w:color w:val="auto"/>
                <w:kern w:val="0"/>
                <w:sz w:val="24"/>
                <w:szCs w:val="24"/>
                <w:lang w:val="en-US" w:eastAsia="zh-CN"/>
              </w:rPr>
              <w:t>项目位于淮安市清江浦区和淮安区境内</w:t>
            </w:r>
            <w:r>
              <w:rPr>
                <w:rFonts w:hint="default"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京杭大运河淮安段。其中，锚地扩建工程位于黄码大桥下游约650m，京杭大运河东岸</w:t>
            </w:r>
            <w:r>
              <w:rPr>
                <w:rFonts w:hint="default"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黄码已建淮安锚地上下游两端</w:t>
            </w:r>
            <w:r>
              <w:rPr>
                <w:rFonts w:hint="default"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桩号</w:t>
            </w:r>
            <w:r>
              <w:rPr>
                <w:rFonts w:hint="default"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146+060~146+537，148+037~148+489。根据《淮安港总体规划</w:t>
            </w:r>
            <w:r>
              <w:rPr>
                <w:rFonts w:hint="default" w:ascii="Times New Roman" w:hAnsi="Times New Roman" w:eastAsia="宋体" w:cs="Times New Roman"/>
                <w:b w:val="0"/>
                <w:color w:val="auto"/>
                <w:kern w:val="0"/>
                <w:sz w:val="24"/>
                <w:szCs w:val="24"/>
                <w:lang w:bidi="ar"/>
              </w:rPr>
              <w:t>（20</w:t>
            </w:r>
            <w:r>
              <w:rPr>
                <w:rFonts w:hint="default" w:ascii="Times New Roman" w:hAnsi="Times New Roman" w:eastAsia="宋体" w:cs="Times New Roman"/>
                <w:b w:val="0"/>
                <w:color w:val="auto"/>
                <w:kern w:val="0"/>
                <w:sz w:val="24"/>
                <w:szCs w:val="24"/>
                <w:lang w:val="en-US" w:eastAsia="zh-CN" w:bidi="ar"/>
              </w:rPr>
              <w:t>20</w:t>
            </w:r>
            <w:r>
              <w:rPr>
                <w:rFonts w:hint="default" w:ascii="Times New Roman" w:hAnsi="Times New Roman" w:eastAsia="宋体" w:cs="Times New Roman"/>
                <w:b w:val="0"/>
                <w:color w:val="auto"/>
                <w:kern w:val="0"/>
                <w:sz w:val="24"/>
                <w:szCs w:val="24"/>
                <w:lang w:bidi="ar"/>
              </w:rPr>
              <w:t>~2035）</w:t>
            </w:r>
            <w:r>
              <w:rPr>
                <w:rFonts w:hint="default" w:ascii="Times New Roman" w:hAnsi="Times New Roman" w:eastAsia="宋体" w:cs="Times New Roman"/>
                <w:color w:val="auto"/>
                <w:kern w:val="0"/>
                <w:sz w:val="24"/>
                <w:szCs w:val="24"/>
                <w:lang w:val="en-US" w:eastAsia="zh-CN"/>
              </w:rPr>
              <w:t>》（2020</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2035年），黄码大桥下游400米～2100米航道右岸规划为淮安港黄码作业区，下游航道左岸没有规划港口岸线，</w:t>
            </w:r>
            <w:r>
              <w:rPr>
                <w:rFonts w:hint="eastAsia" w:cs="Times New Roman"/>
                <w:color w:val="auto"/>
                <w:kern w:val="0"/>
                <w:sz w:val="24"/>
                <w:szCs w:val="24"/>
                <w:lang w:val="en-US" w:eastAsia="zh-CN"/>
              </w:rPr>
              <w:t>故</w:t>
            </w:r>
            <w:r>
              <w:rPr>
                <w:rFonts w:hint="default" w:ascii="Times New Roman" w:hAnsi="Times New Roman" w:eastAsia="宋体" w:cs="Times New Roman"/>
                <w:color w:val="auto"/>
                <w:kern w:val="0"/>
                <w:sz w:val="24"/>
                <w:szCs w:val="24"/>
                <w:lang w:val="en-US" w:eastAsia="zh-CN"/>
              </w:rPr>
              <w:t>淮安锚地扩建与港口规划没有冲突。</w:t>
            </w:r>
            <w:r>
              <w:rPr>
                <w:rFonts w:hint="eastAsia" w:cs="Times New Roman"/>
                <w:color w:val="auto"/>
                <w:kern w:val="0"/>
                <w:sz w:val="24"/>
                <w:szCs w:val="24"/>
                <w:lang w:val="en-US" w:eastAsia="zh-CN"/>
              </w:rPr>
              <w:t>此外本项目锚地已取得由淮安市交通运输综合行政执法支队核准的《港外锚地划定核准信息表》（具体见附件6）。</w:t>
            </w:r>
          </w:p>
          <w:p w14:paraId="58358017">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eastAsia"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综上，本项目符合《淮安港总体规划</w:t>
            </w:r>
            <w:r>
              <w:rPr>
                <w:rFonts w:hint="default" w:ascii="Times New Roman" w:hAnsi="Times New Roman" w:eastAsia="宋体" w:cs="Times New Roman"/>
                <w:b w:val="0"/>
                <w:color w:val="auto"/>
                <w:kern w:val="0"/>
                <w:sz w:val="24"/>
                <w:szCs w:val="24"/>
                <w:lang w:bidi="ar"/>
              </w:rPr>
              <w:t>（20</w:t>
            </w:r>
            <w:r>
              <w:rPr>
                <w:rFonts w:hint="default" w:ascii="Times New Roman" w:hAnsi="Times New Roman" w:eastAsia="宋体" w:cs="Times New Roman"/>
                <w:b w:val="0"/>
                <w:color w:val="auto"/>
                <w:kern w:val="0"/>
                <w:sz w:val="24"/>
                <w:szCs w:val="24"/>
                <w:lang w:val="en-US" w:eastAsia="zh-CN" w:bidi="ar"/>
              </w:rPr>
              <w:t>20</w:t>
            </w:r>
            <w:r>
              <w:rPr>
                <w:rFonts w:hint="default" w:ascii="Times New Roman" w:hAnsi="Times New Roman" w:eastAsia="宋体" w:cs="Times New Roman"/>
                <w:b w:val="0"/>
                <w:color w:val="auto"/>
                <w:kern w:val="0"/>
                <w:sz w:val="24"/>
                <w:szCs w:val="24"/>
                <w:lang w:bidi="ar"/>
              </w:rPr>
              <w:t>~2035）</w:t>
            </w:r>
            <w:r>
              <w:rPr>
                <w:rFonts w:hint="default"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w:t>
            </w:r>
          </w:p>
          <w:p w14:paraId="007BCD5E">
            <w:pPr>
              <w:widowControl/>
              <w:adjustRightInd w:val="0"/>
              <w:snapToGrid w:val="0"/>
              <w:spacing w:line="460" w:lineRule="exact"/>
              <w:ind w:firstLine="482" w:firstLineChars="200"/>
              <w:rPr>
                <w:b/>
                <w:sz w:val="24"/>
                <w:szCs w:val="24"/>
                <w:lang w:bidi="ar"/>
              </w:rPr>
            </w:pPr>
            <w:r>
              <w:rPr>
                <w:rFonts w:hint="default"/>
                <w:b/>
                <w:sz w:val="24"/>
                <w:szCs w:val="24"/>
                <w:lang w:val="en-US" w:eastAsia="zh-CN" w:bidi="ar"/>
              </w:rPr>
              <w:t>2、</w:t>
            </w:r>
            <w:r>
              <w:rPr>
                <w:b/>
                <w:sz w:val="24"/>
                <w:szCs w:val="24"/>
                <w:lang w:bidi="ar"/>
              </w:rPr>
              <w:t>与淮安港总体规划环评</w:t>
            </w:r>
            <w:r>
              <w:rPr>
                <w:rFonts w:hint="eastAsia"/>
                <w:b/>
                <w:sz w:val="24"/>
                <w:szCs w:val="24"/>
                <w:lang w:val="en-US" w:eastAsia="zh-CN" w:bidi="ar"/>
              </w:rPr>
              <w:t>结论</w:t>
            </w:r>
            <w:r>
              <w:rPr>
                <w:b/>
                <w:sz w:val="24"/>
                <w:szCs w:val="24"/>
                <w:lang w:bidi="ar"/>
              </w:rPr>
              <w:t>及审查意见相符性分析</w:t>
            </w:r>
          </w:p>
          <w:p w14:paraId="01116FED">
            <w:pPr>
              <w:widowControl/>
              <w:adjustRightInd w:val="0"/>
              <w:snapToGrid w:val="0"/>
              <w:spacing w:line="500" w:lineRule="exact"/>
              <w:ind w:firstLine="480" w:firstLineChars="200"/>
              <w:rPr>
                <w:bCs/>
                <w:color w:val="auto"/>
                <w:kern w:val="0"/>
                <w:sz w:val="24"/>
                <w:szCs w:val="24"/>
              </w:rPr>
            </w:pPr>
            <w:r>
              <w:rPr>
                <w:bCs/>
                <w:color w:val="auto"/>
                <w:kern w:val="0"/>
                <w:sz w:val="24"/>
                <w:szCs w:val="24"/>
              </w:rPr>
              <w:t>2020年4月14日，江苏省生态环境厅会同省自然资源厅、交通运输厅、水利厅、省林业局等部门在南京市召开《淮安港总体规划</w:t>
            </w:r>
            <w:r>
              <w:rPr>
                <w:rFonts w:hint="default"/>
                <w:bCs/>
                <w:color w:val="auto"/>
                <w:kern w:val="0"/>
                <w:sz w:val="24"/>
                <w:szCs w:val="24"/>
              </w:rPr>
              <w:t>（</w:t>
            </w:r>
            <w:r>
              <w:rPr>
                <w:bCs/>
                <w:color w:val="auto"/>
                <w:kern w:val="0"/>
                <w:sz w:val="24"/>
                <w:szCs w:val="24"/>
              </w:rPr>
              <w:t>2020</w:t>
            </w:r>
            <w:r>
              <w:rPr>
                <w:rFonts w:hint="eastAsia"/>
                <w:bCs/>
                <w:color w:val="auto"/>
                <w:kern w:val="0"/>
                <w:sz w:val="24"/>
                <w:szCs w:val="24"/>
                <w:lang w:eastAsia="zh-CN"/>
              </w:rPr>
              <w:t>～</w:t>
            </w:r>
            <w:r>
              <w:rPr>
                <w:bCs/>
                <w:color w:val="auto"/>
                <w:kern w:val="0"/>
                <w:sz w:val="24"/>
                <w:szCs w:val="24"/>
              </w:rPr>
              <w:t>2035年）环境影响报告书》审查会。2020年6月9日，江苏省生态环境厅发布了《省生态环境厅关于淮安港总体规划</w:t>
            </w:r>
            <w:r>
              <w:rPr>
                <w:rFonts w:hint="default"/>
                <w:bCs/>
                <w:color w:val="auto"/>
                <w:kern w:val="0"/>
                <w:sz w:val="24"/>
                <w:szCs w:val="24"/>
              </w:rPr>
              <w:t>（</w:t>
            </w:r>
            <w:r>
              <w:rPr>
                <w:bCs/>
                <w:color w:val="auto"/>
                <w:kern w:val="0"/>
                <w:sz w:val="24"/>
                <w:szCs w:val="24"/>
              </w:rPr>
              <w:t>2020</w:t>
            </w:r>
            <w:r>
              <w:rPr>
                <w:rFonts w:hint="eastAsia"/>
                <w:bCs/>
                <w:color w:val="auto"/>
                <w:kern w:val="0"/>
                <w:sz w:val="24"/>
                <w:szCs w:val="24"/>
                <w:lang w:eastAsia="zh-CN"/>
              </w:rPr>
              <w:t>～</w:t>
            </w:r>
            <w:r>
              <w:rPr>
                <w:bCs/>
                <w:color w:val="auto"/>
                <w:kern w:val="0"/>
                <w:sz w:val="24"/>
                <w:szCs w:val="24"/>
              </w:rPr>
              <w:t>2035年）环境影响报告书的审查意见》</w:t>
            </w:r>
            <w:r>
              <w:rPr>
                <w:rFonts w:hint="default"/>
                <w:bCs/>
                <w:color w:val="auto"/>
                <w:kern w:val="0"/>
                <w:sz w:val="24"/>
                <w:szCs w:val="24"/>
              </w:rPr>
              <w:t>（</w:t>
            </w:r>
            <w:r>
              <w:rPr>
                <w:bCs/>
                <w:color w:val="auto"/>
                <w:kern w:val="0"/>
                <w:sz w:val="24"/>
                <w:szCs w:val="24"/>
              </w:rPr>
              <w:t>苏环审</w:t>
            </w:r>
            <w:r>
              <w:rPr>
                <w:rFonts w:hint="default"/>
                <w:bCs/>
                <w:color w:val="auto"/>
                <w:kern w:val="0"/>
                <w:sz w:val="24"/>
                <w:szCs w:val="24"/>
              </w:rPr>
              <w:t>〔</w:t>
            </w:r>
            <w:r>
              <w:rPr>
                <w:bCs/>
                <w:color w:val="auto"/>
                <w:kern w:val="0"/>
                <w:sz w:val="24"/>
                <w:szCs w:val="24"/>
              </w:rPr>
              <w:t>2020</w:t>
            </w:r>
            <w:r>
              <w:rPr>
                <w:rFonts w:hint="default"/>
                <w:bCs/>
                <w:color w:val="auto"/>
                <w:kern w:val="0"/>
                <w:sz w:val="24"/>
                <w:szCs w:val="24"/>
              </w:rPr>
              <w:t>〕</w:t>
            </w:r>
            <w:r>
              <w:rPr>
                <w:bCs/>
                <w:color w:val="auto"/>
                <w:kern w:val="0"/>
                <w:sz w:val="24"/>
                <w:szCs w:val="24"/>
              </w:rPr>
              <w:t>16号</w:t>
            </w:r>
            <w:r>
              <w:rPr>
                <w:rFonts w:hint="default"/>
                <w:bCs/>
                <w:color w:val="auto"/>
                <w:kern w:val="0"/>
                <w:sz w:val="24"/>
                <w:szCs w:val="24"/>
              </w:rPr>
              <w:t>）</w:t>
            </w:r>
            <w:r>
              <w:rPr>
                <w:bCs/>
                <w:color w:val="auto"/>
                <w:kern w:val="0"/>
                <w:sz w:val="24"/>
                <w:szCs w:val="24"/>
              </w:rPr>
              <w:t>，根据优化调整和实施过程中的意见、对《淮安港总体规划</w:t>
            </w:r>
            <w:r>
              <w:rPr>
                <w:rFonts w:hint="default"/>
                <w:bCs/>
                <w:color w:val="auto"/>
                <w:kern w:val="0"/>
                <w:sz w:val="24"/>
                <w:szCs w:val="24"/>
              </w:rPr>
              <w:t>（</w:t>
            </w:r>
            <w:r>
              <w:rPr>
                <w:bCs/>
                <w:color w:val="auto"/>
                <w:kern w:val="0"/>
                <w:sz w:val="24"/>
                <w:szCs w:val="24"/>
              </w:rPr>
              <w:t>2020</w:t>
            </w:r>
            <w:r>
              <w:rPr>
                <w:rFonts w:hint="default"/>
                <w:bCs/>
                <w:color w:val="auto"/>
                <w:kern w:val="0"/>
                <w:sz w:val="24"/>
                <w:szCs w:val="24"/>
              </w:rPr>
              <w:t>-</w:t>
            </w:r>
            <w:r>
              <w:rPr>
                <w:bCs/>
                <w:color w:val="auto"/>
                <w:kern w:val="0"/>
                <w:sz w:val="24"/>
                <w:szCs w:val="24"/>
              </w:rPr>
              <w:t>2035年）环境影响报告书》包含的近期建设项目环评的意见，本项目与规划环评</w:t>
            </w:r>
            <w:r>
              <w:rPr>
                <w:rFonts w:hint="eastAsia"/>
                <w:bCs/>
                <w:color w:val="auto"/>
                <w:kern w:val="0"/>
                <w:sz w:val="24"/>
                <w:szCs w:val="24"/>
                <w:lang w:val="en-US" w:eastAsia="zh-CN"/>
              </w:rPr>
              <w:t>结论及审查意见</w:t>
            </w:r>
            <w:r>
              <w:rPr>
                <w:bCs/>
                <w:color w:val="auto"/>
                <w:kern w:val="0"/>
                <w:sz w:val="24"/>
                <w:szCs w:val="24"/>
              </w:rPr>
              <w:t>相符性分析主要内容详见表1</w:t>
            </w:r>
            <w:r>
              <w:rPr>
                <w:rFonts w:hint="eastAsia"/>
                <w:bCs/>
                <w:color w:val="auto"/>
                <w:kern w:val="0"/>
                <w:sz w:val="24"/>
                <w:szCs w:val="24"/>
                <w:lang w:val="en-US" w:eastAsia="zh-CN"/>
              </w:rPr>
              <w:t>-2</w:t>
            </w:r>
            <w:r>
              <w:rPr>
                <w:bCs/>
                <w:color w:val="auto"/>
                <w:kern w:val="0"/>
                <w:sz w:val="24"/>
                <w:szCs w:val="24"/>
              </w:rPr>
              <w:t>。</w:t>
            </w:r>
          </w:p>
          <w:p w14:paraId="5D06042D">
            <w:pPr>
              <w:widowControl/>
              <w:wordWrap w:val="0"/>
              <w:adjustRightInd w:val="0"/>
              <w:snapToGrid w:val="0"/>
              <w:spacing w:line="500" w:lineRule="exact"/>
              <w:jc w:val="center"/>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表</w:t>
            </w:r>
            <w:r>
              <w:rPr>
                <w:rFonts w:hint="eastAsia" w:ascii="Times New Roman" w:hAnsi="Times New Roman" w:eastAsia="宋体" w:cs="Times New Roman"/>
                <w:b/>
                <w:color w:val="auto"/>
                <w:kern w:val="0"/>
                <w:sz w:val="24"/>
                <w:szCs w:val="24"/>
                <w:lang w:val="en-US" w:eastAsia="zh-CN"/>
              </w:rPr>
              <w:t>1-</w:t>
            </w:r>
            <w:r>
              <w:rPr>
                <w:rFonts w:hint="default" w:ascii="Times New Roman" w:hAnsi="Times New Roman" w:eastAsia="宋体" w:cs="Times New Roman"/>
                <w:b/>
                <w:color w:val="auto"/>
                <w:kern w:val="0"/>
                <w:sz w:val="24"/>
                <w:szCs w:val="24"/>
                <w:lang w:val="en-US" w:eastAsia="zh-CN"/>
              </w:rPr>
              <w:t xml:space="preserve">2 </w:t>
            </w:r>
            <w:r>
              <w:rPr>
                <w:rFonts w:ascii="Times New Roman" w:hAnsi="Times New Roman" w:eastAsia="宋体" w:cs="Times New Roman"/>
                <w:b/>
                <w:color w:val="auto"/>
                <w:kern w:val="0"/>
                <w:sz w:val="24"/>
                <w:szCs w:val="24"/>
              </w:rPr>
              <w:t xml:space="preserve"> 本项目与规划环评</w:t>
            </w:r>
            <w:r>
              <w:rPr>
                <w:rFonts w:hint="eastAsia" w:ascii="Times New Roman" w:hAnsi="Times New Roman" w:eastAsia="宋体" w:cs="Times New Roman"/>
                <w:b/>
                <w:color w:val="auto"/>
                <w:kern w:val="0"/>
                <w:sz w:val="24"/>
                <w:szCs w:val="24"/>
                <w:lang w:val="en-US" w:eastAsia="zh-CN"/>
              </w:rPr>
              <w:t>结论及审查意见</w:t>
            </w:r>
            <w:r>
              <w:rPr>
                <w:rFonts w:ascii="Times New Roman" w:hAnsi="Times New Roman" w:eastAsia="宋体" w:cs="Times New Roman"/>
                <w:b/>
                <w:color w:val="auto"/>
                <w:kern w:val="0"/>
                <w:sz w:val="24"/>
                <w:szCs w:val="24"/>
              </w:rPr>
              <w:t>相符性分析</w:t>
            </w:r>
          </w:p>
          <w:tbl>
            <w:tblPr>
              <w:tblStyle w:val="9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2"/>
              <w:gridCol w:w="3935"/>
              <w:gridCol w:w="3070"/>
              <w:gridCol w:w="876"/>
            </w:tblGrid>
            <w:tr w14:paraId="61A67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22" w:type="dxa"/>
                  <w:tcBorders>
                    <w:tl2br w:val="nil"/>
                    <w:tr2bl w:val="nil"/>
                  </w:tcBorders>
                  <w:vAlign w:val="center"/>
                </w:tcPr>
                <w:p w14:paraId="7CC2F6AD">
                  <w:pPr>
                    <w:widowControl/>
                    <w:adjustRightInd w:val="0"/>
                    <w:snapToGrid w:val="0"/>
                    <w:spacing w:line="480" w:lineRule="exact"/>
                    <w:jc w:val="center"/>
                    <w:rPr>
                      <w:b/>
                      <w:bCs/>
                      <w:color w:val="000000"/>
                      <w:sz w:val="21"/>
                      <w:szCs w:val="21"/>
                      <w:lang w:bidi="ar"/>
                    </w:rPr>
                  </w:pPr>
                  <w:r>
                    <w:rPr>
                      <w:b/>
                      <w:bCs/>
                      <w:color w:val="000000"/>
                      <w:sz w:val="21"/>
                      <w:szCs w:val="21"/>
                      <w:lang w:bidi="ar"/>
                    </w:rPr>
                    <w:t>序号</w:t>
                  </w:r>
                </w:p>
              </w:tc>
              <w:tc>
                <w:tcPr>
                  <w:tcW w:w="3935" w:type="dxa"/>
                  <w:tcBorders>
                    <w:tl2br w:val="nil"/>
                    <w:tr2bl w:val="nil"/>
                  </w:tcBorders>
                  <w:vAlign w:val="center"/>
                </w:tcPr>
                <w:p w14:paraId="678F43F3">
                  <w:pPr>
                    <w:widowControl/>
                    <w:adjustRightInd w:val="0"/>
                    <w:snapToGrid w:val="0"/>
                    <w:spacing w:line="480" w:lineRule="exact"/>
                    <w:jc w:val="center"/>
                    <w:rPr>
                      <w:b/>
                      <w:bCs/>
                      <w:color w:val="000000"/>
                      <w:sz w:val="21"/>
                      <w:szCs w:val="21"/>
                      <w:lang w:bidi="ar"/>
                    </w:rPr>
                  </w:pPr>
                  <w:r>
                    <w:rPr>
                      <w:rFonts w:hint="eastAsia"/>
                      <w:b/>
                      <w:bCs/>
                      <w:color w:val="000000"/>
                      <w:sz w:val="21"/>
                      <w:szCs w:val="21"/>
                      <w:lang w:val="en-US" w:eastAsia="zh-CN" w:bidi="ar"/>
                    </w:rPr>
                    <w:t>规划环评结论/</w:t>
                  </w:r>
                  <w:r>
                    <w:rPr>
                      <w:b/>
                      <w:bCs/>
                      <w:color w:val="000000"/>
                      <w:sz w:val="21"/>
                      <w:szCs w:val="21"/>
                      <w:lang w:bidi="ar"/>
                    </w:rPr>
                    <w:t>审查意见</w:t>
                  </w:r>
                </w:p>
              </w:tc>
              <w:tc>
                <w:tcPr>
                  <w:tcW w:w="3070" w:type="dxa"/>
                  <w:tcBorders>
                    <w:tl2br w:val="nil"/>
                    <w:tr2bl w:val="nil"/>
                  </w:tcBorders>
                  <w:vAlign w:val="center"/>
                </w:tcPr>
                <w:p w14:paraId="7B76255C">
                  <w:pPr>
                    <w:widowControl/>
                    <w:adjustRightInd w:val="0"/>
                    <w:snapToGrid w:val="0"/>
                    <w:spacing w:line="480" w:lineRule="exact"/>
                    <w:jc w:val="center"/>
                    <w:rPr>
                      <w:b/>
                      <w:bCs/>
                      <w:color w:val="000000"/>
                      <w:sz w:val="21"/>
                      <w:szCs w:val="21"/>
                      <w:lang w:bidi="ar"/>
                    </w:rPr>
                  </w:pPr>
                  <w:r>
                    <w:rPr>
                      <w:b/>
                      <w:bCs/>
                      <w:color w:val="000000"/>
                      <w:sz w:val="21"/>
                      <w:szCs w:val="21"/>
                      <w:lang w:bidi="ar"/>
                    </w:rPr>
                    <w:t>符合性分析</w:t>
                  </w:r>
                </w:p>
              </w:tc>
              <w:tc>
                <w:tcPr>
                  <w:tcW w:w="876" w:type="dxa"/>
                  <w:tcBorders>
                    <w:tl2br w:val="nil"/>
                    <w:tr2bl w:val="nil"/>
                  </w:tcBorders>
                  <w:vAlign w:val="center"/>
                </w:tcPr>
                <w:p w14:paraId="0223D40F">
                  <w:pPr>
                    <w:widowControl/>
                    <w:adjustRightInd w:val="0"/>
                    <w:snapToGrid w:val="0"/>
                    <w:spacing w:line="480" w:lineRule="exact"/>
                    <w:jc w:val="center"/>
                    <w:rPr>
                      <w:rFonts w:hint="eastAsia" w:eastAsia="宋体"/>
                      <w:b/>
                      <w:bCs/>
                      <w:color w:val="000000"/>
                      <w:sz w:val="21"/>
                      <w:szCs w:val="21"/>
                      <w:lang w:eastAsia="zh-CN" w:bidi="ar"/>
                    </w:rPr>
                  </w:pPr>
                  <w:r>
                    <w:rPr>
                      <w:b/>
                      <w:bCs/>
                      <w:color w:val="000000"/>
                      <w:sz w:val="21"/>
                      <w:szCs w:val="21"/>
                      <w:lang w:bidi="ar"/>
                    </w:rPr>
                    <w:t>相符</w:t>
                  </w:r>
                  <w:r>
                    <w:rPr>
                      <w:rFonts w:hint="eastAsia"/>
                      <w:b/>
                      <w:bCs/>
                      <w:color w:val="000000"/>
                      <w:sz w:val="21"/>
                      <w:szCs w:val="21"/>
                      <w:lang w:val="en-US" w:eastAsia="zh-CN" w:bidi="ar"/>
                    </w:rPr>
                    <w:t>性</w:t>
                  </w:r>
                </w:p>
              </w:tc>
            </w:tr>
            <w:tr w14:paraId="7DB34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2" w:type="dxa"/>
                  <w:tcBorders>
                    <w:tl2br w:val="nil"/>
                    <w:tr2bl w:val="nil"/>
                  </w:tcBorders>
                  <w:vAlign w:val="center"/>
                </w:tcPr>
                <w:p w14:paraId="2F0F1C46">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3935" w:type="dxa"/>
                  <w:tcBorders>
                    <w:tl2br w:val="nil"/>
                    <w:tr2bl w:val="nil"/>
                  </w:tcBorders>
                  <w:vAlign w:val="center"/>
                </w:tcPr>
                <w:p w14:paraId="548AC6A2">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正确处理保护和发展的关系。坚持生态优先、绿色发展战略定位，明确规划期水环境、大气环境质量改善目标以及生态系统修复目标，作为开发建设的底线。立足大运河保护、南水北调东线工程水环境保护、清水通道维护区管控要求、水源地保护、生态系统完整性保护以及自然岸线和湿地等保护，强化对港口开发的引导和约束作用，进一步优化开发方案，落实环保对策措施。加强《规划》与有关规划要求衔接，确保符合国土空间规划、国家级生态保护红线、生态空间管控区域、环境功能区划等管理要求。</w:t>
                  </w:r>
                </w:p>
              </w:tc>
              <w:tc>
                <w:tcPr>
                  <w:tcW w:w="3070" w:type="dxa"/>
                  <w:tcBorders>
                    <w:tl2br w:val="nil"/>
                    <w:tr2bl w:val="nil"/>
                  </w:tcBorders>
                  <w:vAlign w:val="center"/>
                </w:tcPr>
                <w:p w14:paraId="47C47E66">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本项目新建项目，项目所在地未占用依法应当禁止开发的区域及生态环境敏感区。本工程符合国土空间规划、国家级生态保护红线、生态空间管控区域、环境功能区划等管理要求。</w:t>
                  </w:r>
                </w:p>
              </w:tc>
              <w:tc>
                <w:tcPr>
                  <w:tcW w:w="876" w:type="dxa"/>
                  <w:tcBorders>
                    <w:tl2br w:val="nil"/>
                    <w:tr2bl w:val="nil"/>
                  </w:tcBorders>
                  <w:vAlign w:val="center"/>
                </w:tcPr>
                <w:p w14:paraId="63FB1109">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符合</w:t>
                  </w:r>
                </w:p>
              </w:tc>
            </w:tr>
            <w:tr w14:paraId="23448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2" w:type="dxa"/>
                  <w:tcBorders>
                    <w:tl2br w:val="nil"/>
                    <w:tr2bl w:val="nil"/>
                  </w:tcBorders>
                  <w:vAlign w:val="center"/>
                </w:tcPr>
                <w:p w14:paraId="4B195C35">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3935" w:type="dxa"/>
                  <w:tcBorders>
                    <w:tl2br w:val="nil"/>
                    <w:tr2bl w:val="nil"/>
                  </w:tcBorders>
                  <w:vAlign w:val="center"/>
                </w:tcPr>
                <w:p w14:paraId="2FC98A59">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明确并落实生态空间管控要求。部分岸线及</w:t>
                  </w:r>
                  <w:r>
                    <w:rPr>
                      <w:rFonts w:hint="eastAsia" w:cs="Times New Roman"/>
                      <w:color w:val="auto"/>
                      <w:kern w:val="0"/>
                      <w:sz w:val="21"/>
                      <w:szCs w:val="21"/>
                      <w:lang w:val="en-US" w:eastAsia="zh-CN"/>
                    </w:rPr>
                    <w:t>锚地</w:t>
                  </w:r>
                  <w:r>
                    <w:rPr>
                      <w:rFonts w:hint="default" w:ascii="Times New Roman" w:hAnsi="Times New Roman" w:eastAsia="宋体" w:cs="Times New Roman"/>
                      <w:color w:val="auto"/>
                      <w:kern w:val="0"/>
                      <w:sz w:val="21"/>
                      <w:szCs w:val="21"/>
                    </w:rPr>
                    <w:t>涉及江苏省生态空间管控区域清水通道维护区的，应严格执行《南水北调工程供用水管理条例》《江苏省河道管理条例》等有关规定，并严格环保措施，不设置排污口。</w:t>
                  </w:r>
                </w:p>
              </w:tc>
              <w:tc>
                <w:tcPr>
                  <w:tcW w:w="3070" w:type="dxa"/>
                  <w:tcBorders>
                    <w:tl2br w:val="nil"/>
                    <w:tr2bl w:val="nil"/>
                  </w:tcBorders>
                  <w:vAlign w:val="center"/>
                </w:tcPr>
                <w:p w14:paraId="399A9702">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本项目共占用</w:t>
                  </w:r>
                  <w:r>
                    <w:rPr>
                      <w:rFonts w:hint="default"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处生态空间管控区</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类型为清水通道维护区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经分析，</w:t>
                  </w:r>
                  <w:r>
                    <w:rPr>
                      <w:rFonts w:hint="default" w:ascii="Times New Roman" w:hAnsi="Times New Roman" w:eastAsia="宋体" w:cs="Times New Roman"/>
                      <w:color w:val="auto"/>
                      <w:kern w:val="0"/>
                      <w:sz w:val="21"/>
                      <w:szCs w:val="21"/>
                    </w:rPr>
                    <w:t>本项目建设和运营与清水通道维护区管控措施的相关要求不冲突</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严格执行</w:t>
                  </w:r>
                  <w:r>
                    <w:rPr>
                      <w:rFonts w:hint="default" w:ascii="Times New Roman" w:hAnsi="Times New Roman" w:eastAsia="宋体" w:cs="Times New Roman"/>
                      <w:color w:val="auto"/>
                      <w:kern w:val="0"/>
                      <w:sz w:val="21"/>
                      <w:szCs w:val="21"/>
                    </w:rPr>
                    <w:t>《南水北调工程供用水管理条例》</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《江苏省河道管理条例》</w:t>
                  </w:r>
                  <w:r>
                    <w:rPr>
                      <w:rFonts w:hint="default" w:ascii="Times New Roman" w:hAnsi="Times New Roman" w:eastAsia="宋体" w:cs="Times New Roman"/>
                      <w:color w:val="auto"/>
                      <w:kern w:val="0"/>
                      <w:sz w:val="21"/>
                      <w:szCs w:val="21"/>
                      <w:lang w:val="en-US" w:eastAsia="zh-CN"/>
                    </w:rPr>
                    <w:t>等有关规定，具体分析见1.3节</w:t>
                  </w:r>
                  <w:r>
                    <w:rPr>
                      <w:rFonts w:hint="eastAsia" w:ascii="Times New Roman" w:hAnsi="Times New Roman" w:eastAsia="宋体" w:cs="Times New Roman"/>
                      <w:color w:val="auto"/>
                      <w:kern w:val="0"/>
                      <w:sz w:val="21"/>
                      <w:szCs w:val="21"/>
                      <w:lang w:val="en-US" w:eastAsia="zh-CN"/>
                    </w:rPr>
                    <w:t>。</w:t>
                  </w:r>
                </w:p>
              </w:tc>
              <w:tc>
                <w:tcPr>
                  <w:tcW w:w="876" w:type="dxa"/>
                  <w:tcBorders>
                    <w:tl2br w:val="nil"/>
                    <w:tr2bl w:val="nil"/>
                  </w:tcBorders>
                  <w:vAlign w:val="center"/>
                </w:tcPr>
                <w:p w14:paraId="0A2C7857">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8083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2" w:type="dxa"/>
                  <w:tcBorders>
                    <w:tl2br w:val="nil"/>
                    <w:tr2bl w:val="nil"/>
                  </w:tcBorders>
                  <w:vAlign w:val="center"/>
                </w:tcPr>
                <w:p w14:paraId="040C65F0">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3935" w:type="dxa"/>
                  <w:tcBorders>
                    <w:tl2br w:val="nil"/>
                    <w:tr2bl w:val="nil"/>
                  </w:tcBorders>
                  <w:vAlign w:val="center"/>
                </w:tcPr>
                <w:p w14:paraId="1498B6C6">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严格港区环境准入。执行《报告书》提出的环境准入清单。禁止建设区为国家级生态保护红线区域、饮用水水源地一级保护区和二级保护区、永久基本农田；在禁止建设区内严禁码头作业区开发建设活动。限制开发区为清水通道维护区、洪水调蓄区、饮用水水源地的准保护区，需符合相应管控要求。根据环境准入清单，各规划岸线的作业区禁止装卸列入《内河禁运危险化学品目录》的危险化学品。</w:t>
                  </w:r>
                </w:p>
              </w:tc>
              <w:tc>
                <w:tcPr>
                  <w:tcW w:w="3070" w:type="dxa"/>
                  <w:tcBorders>
                    <w:tl2br w:val="nil"/>
                    <w:tr2bl w:val="nil"/>
                  </w:tcBorders>
                  <w:vAlign w:val="center"/>
                </w:tcPr>
                <w:p w14:paraId="09E1A14E">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本项目不占用国家级生态保护红线区域、饮用水水源地一级保护区和二级保护区、永久基本农田；</w:t>
                  </w:r>
                  <w:r>
                    <w:rPr>
                      <w:rFonts w:hint="eastAsia" w:ascii="Times New Roman" w:hAnsi="Times New Roman" w:eastAsia="宋体" w:cs="Times New Roman"/>
                      <w:bCs/>
                      <w:sz w:val="21"/>
                      <w:szCs w:val="21"/>
                      <w:lang w:val="en-US" w:eastAsia="zh-CN"/>
                    </w:rPr>
                    <w:t>根据</w:t>
                  </w:r>
                  <w:r>
                    <w:rPr>
                      <w:rFonts w:hint="default" w:ascii="Times New Roman" w:hAnsi="Times New Roman" w:eastAsia="宋体" w:cs="Times New Roman"/>
                      <w:bCs/>
                      <w:sz w:val="21"/>
                      <w:szCs w:val="21"/>
                      <w:lang w:val="en-US" w:eastAsia="zh-CN"/>
                    </w:rPr>
                    <w:t>最新的《江苏省生态空间管控区域规划》，本项目占用京杭大运河（淮安区）清水通道维护区</w:t>
                  </w:r>
                  <w:r>
                    <w:rPr>
                      <w:rFonts w:hint="eastAsia" w:ascii="Times New Roman" w:hAnsi="Times New Roman" w:eastAsia="宋体" w:cs="Times New Roman"/>
                      <w:bCs/>
                      <w:sz w:val="21"/>
                      <w:szCs w:val="21"/>
                      <w:lang w:val="en-US" w:eastAsia="zh-CN"/>
                    </w:rPr>
                    <w:t>和</w:t>
                  </w:r>
                  <w:r>
                    <w:rPr>
                      <w:rFonts w:hint="default" w:ascii="Times New Roman" w:hAnsi="Times New Roman" w:eastAsia="宋体" w:cs="Times New Roman"/>
                      <w:bCs/>
                      <w:sz w:val="21"/>
                      <w:szCs w:val="21"/>
                      <w:lang w:val="en-US" w:eastAsia="zh-CN"/>
                    </w:rPr>
                    <w:t>京杭大运河（淮安</w:t>
                  </w:r>
                  <w:r>
                    <w:rPr>
                      <w:rFonts w:hint="eastAsia" w:ascii="Times New Roman" w:hAnsi="Times New Roman" w:eastAsia="宋体" w:cs="Times New Roman"/>
                      <w:bCs/>
                      <w:sz w:val="21"/>
                      <w:szCs w:val="21"/>
                      <w:lang w:val="en-US" w:eastAsia="zh-CN"/>
                    </w:rPr>
                    <w:t>市</w:t>
                  </w:r>
                  <w:r>
                    <w:rPr>
                      <w:rFonts w:hint="default" w:ascii="Times New Roman" w:hAnsi="Times New Roman" w:eastAsia="宋体" w:cs="Times New Roman"/>
                      <w:bCs/>
                      <w:sz w:val="21"/>
                      <w:szCs w:val="21"/>
                      <w:lang w:val="en-US" w:eastAsia="zh-CN"/>
                    </w:rPr>
                    <w:t>区）清水通道维护区，项目的施工期和运营期不存在清水通道维护区管控措施中明确禁止的行为活动</w:t>
                  </w:r>
                  <w:r>
                    <w:rPr>
                      <w:rFonts w:hint="eastAsia" w:ascii="Times New Roman" w:hAnsi="Times New Roman" w:eastAsia="宋体" w:cs="Times New Roman"/>
                      <w:bCs/>
                      <w:sz w:val="21"/>
                      <w:szCs w:val="21"/>
                      <w:lang w:val="en-US" w:eastAsia="zh-CN"/>
                    </w:rPr>
                    <w:t>（具体见1.3节），</w:t>
                  </w:r>
                  <w:r>
                    <w:rPr>
                      <w:rFonts w:hint="default" w:ascii="Times New Roman" w:hAnsi="Times New Roman" w:eastAsia="宋体" w:cs="Times New Roman"/>
                      <w:bCs/>
                      <w:sz w:val="21"/>
                      <w:szCs w:val="21"/>
                      <w:lang w:val="en-US" w:eastAsia="zh-CN"/>
                    </w:rPr>
                    <w:t>符合相应管控要求；本项目转运的货种不涉及《内河禁运危险化学品目录》中的危险化学品。</w:t>
                  </w:r>
                </w:p>
              </w:tc>
              <w:tc>
                <w:tcPr>
                  <w:tcW w:w="876" w:type="dxa"/>
                  <w:tcBorders>
                    <w:tl2br w:val="nil"/>
                    <w:tr2bl w:val="nil"/>
                  </w:tcBorders>
                  <w:vAlign w:val="center"/>
                </w:tcPr>
                <w:p w14:paraId="7002FC51">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符合</w:t>
                  </w:r>
                </w:p>
              </w:tc>
            </w:tr>
            <w:tr w14:paraId="3C6EB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2" w:type="dxa"/>
                  <w:tcBorders>
                    <w:tl2br w:val="nil"/>
                    <w:tr2bl w:val="nil"/>
                  </w:tcBorders>
                  <w:vAlign w:val="center"/>
                </w:tcPr>
                <w:p w14:paraId="716F3362">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w:t>
                  </w:r>
                </w:p>
              </w:tc>
              <w:tc>
                <w:tcPr>
                  <w:tcW w:w="3935" w:type="dxa"/>
                  <w:tcBorders>
                    <w:tl2br w:val="nil"/>
                    <w:tr2bl w:val="nil"/>
                  </w:tcBorders>
                  <w:vAlign w:val="center"/>
                </w:tcPr>
                <w:p w14:paraId="117F784F">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强化生态保护以及污染防治措施。采取防风抑尘网、湿式除尘系统、洒水喷淋系统、封闭式输送廊道、散货堆场封闭式大棚等国内外先进的除尘、防尘技术和设备，最大限度地降低颗粒物排放量，按照相关规定，逐步完善船舶岸电系统及接口，提高在港船舶岸电使用率，减少船舶尾气排放；落实报告书提出的各项船舶污水处理措施，不得外排洗舱废水。进一步加快各作业区污水收集管网建设，规划各作业区生活污水、生产废水等各类废水应尽可能接管至污水处理厂（站）进行处理，暂不具备接管条件的，应提出切实可行的污染治理措施并满足 环境管理要求。各作业区固体废物应按要求规范收集处置。</w:t>
                  </w:r>
                </w:p>
              </w:tc>
              <w:tc>
                <w:tcPr>
                  <w:tcW w:w="3070" w:type="dxa"/>
                  <w:tcBorders>
                    <w:tl2br w:val="nil"/>
                    <w:tr2bl w:val="nil"/>
                  </w:tcBorders>
                  <w:vAlign w:val="center"/>
                </w:tcPr>
                <w:p w14:paraId="6F13F654">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本项目</w:t>
                  </w:r>
                  <w:r>
                    <w:rPr>
                      <w:rFonts w:hint="default" w:ascii="Times New Roman" w:hAnsi="Times New Roman" w:eastAsia="宋体" w:cs="Times New Roman"/>
                      <w:bCs/>
                      <w:sz w:val="21"/>
                      <w:szCs w:val="21"/>
                      <w:lang w:val="en-US" w:eastAsia="zh-CN"/>
                    </w:rPr>
                    <w:t>优化施工设备和工艺，采用选用对水质影响小的施工船舶和施工方式；船舶生活污水由具备相应作业资质的污水接收船接收处理，运送到岸上集中处理；船舶含油污水由当地交通运输部门认可的有资质的单位接收处理；陆域施工人员生活依托当地居民设施，陆域生活污水接管市政污水管</w:t>
                  </w:r>
                  <w:r>
                    <w:rPr>
                      <w:rFonts w:hint="eastAsia" w:ascii="Times New Roman" w:hAnsi="Times New Roman" w:eastAsia="宋体" w:cs="Times New Roman"/>
                      <w:bCs/>
                      <w:sz w:val="21"/>
                      <w:szCs w:val="21"/>
                      <w:lang w:val="en-US" w:eastAsia="zh-CN"/>
                    </w:rPr>
                    <w:t>网；</w:t>
                  </w:r>
                  <w:r>
                    <w:rPr>
                      <w:rFonts w:hint="default" w:ascii="Times New Roman" w:hAnsi="Times New Roman" w:eastAsia="宋体" w:cs="Times New Roman"/>
                      <w:bCs/>
                      <w:sz w:val="21"/>
                      <w:szCs w:val="21"/>
                      <w:lang w:val="en-US" w:eastAsia="zh-CN"/>
                    </w:rPr>
                    <w:t>生活垃圾收集后</w:t>
                  </w:r>
                  <w:r>
                    <w:rPr>
                      <w:rFonts w:hint="eastAsia" w:ascii="Times New Roman" w:hAnsi="Times New Roman" w:eastAsia="宋体" w:cs="Times New Roman"/>
                      <w:bCs/>
                      <w:sz w:val="21"/>
                      <w:szCs w:val="21"/>
                      <w:lang w:val="en-US" w:eastAsia="zh-CN"/>
                    </w:rPr>
                    <w:t>交由当地环卫部门接收处理。</w:t>
                  </w:r>
                </w:p>
              </w:tc>
              <w:tc>
                <w:tcPr>
                  <w:tcW w:w="876" w:type="dxa"/>
                  <w:tcBorders>
                    <w:tl2br w:val="nil"/>
                    <w:tr2bl w:val="nil"/>
                  </w:tcBorders>
                  <w:vAlign w:val="center"/>
                </w:tcPr>
                <w:p w14:paraId="36AA23C8">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符合</w:t>
                  </w:r>
                </w:p>
              </w:tc>
            </w:tr>
            <w:tr w14:paraId="19D93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2" w:type="dxa"/>
                  <w:tcBorders>
                    <w:tl2br w:val="nil"/>
                    <w:tr2bl w:val="nil"/>
                  </w:tcBorders>
                  <w:vAlign w:val="center"/>
                </w:tcPr>
                <w:p w14:paraId="53C1754B">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w:t>
                  </w:r>
                </w:p>
              </w:tc>
              <w:tc>
                <w:tcPr>
                  <w:tcW w:w="3935" w:type="dxa"/>
                  <w:tcBorders>
                    <w:tl2br w:val="nil"/>
                    <w:tr2bl w:val="nil"/>
                  </w:tcBorders>
                  <w:vAlign w:val="center"/>
                </w:tcPr>
                <w:p w14:paraId="0F107FE7">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加强环境风险防范。严格限定和管理各作业区运输和存储的货种，加强港区安全保障和风险防范力度。落实港区环境风险应急能力建设要求，各作业区应</w:t>
                  </w:r>
                  <w:r>
                    <w:rPr>
                      <w:rFonts w:hint="eastAsia" w:cs="Times New Roman"/>
                      <w:bCs/>
                      <w:sz w:val="21"/>
                      <w:szCs w:val="21"/>
                      <w:lang w:val="en-US" w:eastAsia="zh-CN"/>
                    </w:rPr>
                    <w:t>按要求</w:t>
                  </w:r>
                  <w:r>
                    <w:rPr>
                      <w:rFonts w:hint="default" w:ascii="Times New Roman" w:hAnsi="Times New Roman" w:eastAsia="宋体" w:cs="Times New Roman"/>
                      <w:bCs/>
                      <w:sz w:val="21"/>
                      <w:szCs w:val="21"/>
                      <w:lang w:val="en-US" w:eastAsia="zh-CN"/>
                    </w:rPr>
                    <w:t>编制环境风险防范和应急预案，完善区域联动应急反应体系，合理配备应急设备设施，加强日常应急管理演练，及时应对可能出现的突发环境污染事故。</w:t>
                  </w:r>
                </w:p>
              </w:tc>
              <w:tc>
                <w:tcPr>
                  <w:tcW w:w="3070" w:type="dxa"/>
                  <w:tcBorders>
                    <w:tl2br w:val="nil"/>
                    <w:tr2bl w:val="nil"/>
                  </w:tcBorders>
                  <w:vAlign w:val="center"/>
                </w:tcPr>
                <w:p w14:paraId="639B2D73">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本项目环境风险隐患主要为船舶溢油导致的近岸水域水环境污染事件。本次环评提出环境风险防范措施及突发环境事件应急预案，建设与港区环境风险相匹配的应急能力。</w:t>
                  </w:r>
                </w:p>
              </w:tc>
              <w:tc>
                <w:tcPr>
                  <w:tcW w:w="876" w:type="dxa"/>
                  <w:tcBorders>
                    <w:tl2br w:val="nil"/>
                    <w:tr2bl w:val="nil"/>
                  </w:tcBorders>
                  <w:vAlign w:val="center"/>
                </w:tcPr>
                <w:p w14:paraId="51A84DAA">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符合</w:t>
                  </w:r>
                </w:p>
              </w:tc>
            </w:tr>
          </w:tbl>
          <w:p w14:paraId="28B0EB0F">
            <w:pPr>
              <w:adjustRightInd w:val="0"/>
              <w:snapToGrid w:val="0"/>
              <w:spacing w:line="460" w:lineRule="exact"/>
              <w:rPr>
                <w:rFonts w:hint="default" w:ascii="Times New Roman" w:hAnsi="Times New Roman" w:eastAsia="宋体" w:cs="Times New Roman"/>
                <w:b/>
                <w:sz w:val="24"/>
                <w:szCs w:val="24"/>
              </w:rPr>
            </w:pPr>
          </w:p>
        </w:tc>
      </w:tr>
      <w:tr w14:paraId="55980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2" w:type="dxa"/>
            <w:vAlign w:val="center"/>
          </w:tcPr>
          <w:p w14:paraId="3EC46E4C">
            <w:pPr>
              <w:autoSpaceDE w:val="0"/>
              <w:autoSpaceDN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b w:val="0"/>
                <w:bCs w:val="0"/>
                <w:kern w:val="0"/>
                <w:sz w:val="24"/>
                <w:szCs w:val="24"/>
              </w:rPr>
              <w:t>其他符合性分析</w:t>
            </w:r>
          </w:p>
        </w:tc>
        <w:tc>
          <w:tcPr>
            <w:tcW w:w="8925" w:type="dxa"/>
            <w:gridSpan w:val="4"/>
            <w:vAlign w:val="center"/>
          </w:tcPr>
          <w:p w14:paraId="4D4706DD">
            <w:pPr>
              <w:adjustRightInd w:val="0"/>
              <w:snapToGrid w:val="0"/>
              <w:spacing w:line="460" w:lineRule="exact"/>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w:t>
            </w:r>
            <w:r>
              <w:rPr>
                <w:rFonts w:hint="default"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产业政策相符性分析</w:t>
            </w:r>
          </w:p>
          <w:p w14:paraId="7228B099">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bidi="ar"/>
              </w:rPr>
              <w:t>本项目为锚地建设</w:t>
            </w:r>
            <w:r>
              <w:rPr>
                <w:rFonts w:hint="default" w:ascii="Times New Roman" w:hAnsi="Times New Roman" w:eastAsia="宋体" w:cs="Times New Roman"/>
                <w:sz w:val="24"/>
                <w:szCs w:val="24"/>
                <w:lang w:bidi="ar"/>
              </w:rPr>
              <w:t>，</w:t>
            </w:r>
            <w:r>
              <w:rPr>
                <w:rFonts w:hint="eastAsia" w:cs="Times New Roman"/>
                <w:sz w:val="24"/>
                <w:szCs w:val="24"/>
                <w:lang w:val="en-US" w:eastAsia="zh-CN" w:bidi="ar"/>
              </w:rPr>
              <w:t xml:space="preserve">属于G5539 </w:t>
            </w:r>
            <w:r>
              <w:rPr>
                <w:rFonts w:hint="default" w:ascii="Times New Roman" w:hAnsi="Times New Roman" w:eastAsia="宋体" w:cs="Times New Roman"/>
                <w:sz w:val="24"/>
                <w:szCs w:val="24"/>
                <w:lang w:val="en-US" w:eastAsia="zh-CN" w:bidi="ar"/>
              </w:rPr>
              <w:t>其他水上辅助运输活动</w:t>
            </w:r>
            <w:r>
              <w:rPr>
                <w:rFonts w:hint="default" w:ascii="Times New Roman" w:hAnsi="Times New Roman" w:eastAsia="宋体" w:cs="Times New Roman"/>
                <w:sz w:val="24"/>
                <w:szCs w:val="24"/>
                <w:lang w:bidi="ar"/>
              </w:rPr>
              <w:t>，对照《产业结构调整指导目录（20</w:t>
            </w:r>
            <w:r>
              <w:rPr>
                <w:rFonts w:hint="default" w:ascii="Times New Roman" w:hAnsi="Times New Roman" w:eastAsia="宋体" w:cs="Times New Roman"/>
                <w:sz w:val="24"/>
                <w:szCs w:val="24"/>
                <w:lang w:val="en-US" w:eastAsia="zh-CN" w:bidi="ar"/>
              </w:rPr>
              <w:t>24</w:t>
            </w:r>
            <w:r>
              <w:rPr>
                <w:rFonts w:hint="default" w:ascii="Times New Roman" w:hAnsi="Times New Roman" w:eastAsia="宋体" w:cs="Times New Roman"/>
                <w:sz w:val="24"/>
                <w:szCs w:val="24"/>
                <w:lang w:bidi="ar"/>
              </w:rPr>
              <w:t>年本）》，本项目不属于其中的限制类或淘汰类，为允许类，符合产业政策</w:t>
            </w:r>
            <w:r>
              <w:rPr>
                <w:rFonts w:hint="eastAsia" w:cs="Times New Roman"/>
                <w:sz w:val="24"/>
                <w:szCs w:val="24"/>
                <w:lang w:val="en-US" w:eastAsia="zh-CN" w:bidi="ar"/>
              </w:rPr>
              <w:t>要求</w:t>
            </w:r>
            <w:r>
              <w:rPr>
                <w:rFonts w:hint="default" w:ascii="Times New Roman" w:hAnsi="Times New Roman" w:eastAsia="宋体" w:cs="Times New Roman"/>
                <w:sz w:val="24"/>
                <w:szCs w:val="24"/>
                <w:lang w:bidi="ar"/>
              </w:rPr>
              <w:t>。</w:t>
            </w:r>
          </w:p>
          <w:p w14:paraId="3CC8294B">
            <w:pPr>
              <w:adjustRightInd w:val="0"/>
              <w:snapToGrid w:val="0"/>
              <w:spacing w:line="460" w:lineRule="exact"/>
              <w:ind w:firstLine="482" w:firstLineChars="200"/>
              <w:rPr>
                <w:rFonts w:hint="default" w:ascii="Times New Roman" w:hAnsi="Times New Roman" w:eastAsia="宋体" w:cs="Times New Roman"/>
                <w:b/>
                <w:bCs/>
                <w:sz w:val="24"/>
                <w:szCs w:val="24"/>
                <w:lang w:bidi="ar"/>
              </w:rPr>
            </w:pPr>
            <w:r>
              <w:rPr>
                <w:rFonts w:hint="default"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2</w:t>
            </w:r>
            <w:r>
              <w:rPr>
                <w:rFonts w:hint="default" w:ascii="Times New Roman" w:hAnsi="Times New Roman" w:eastAsia="宋体" w:cs="Times New Roman"/>
                <w:b/>
                <w:sz w:val="24"/>
                <w:szCs w:val="24"/>
                <w:lang w:val="en-US" w:eastAsia="zh-CN"/>
              </w:rPr>
              <w:t xml:space="preserve"> </w:t>
            </w:r>
            <w:r>
              <w:rPr>
                <w:rFonts w:hint="default" w:ascii="Times New Roman" w:hAnsi="Times New Roman" w:eastAsia="宋体" w:cs="Times New Roman"/>
                <w:b/>
                <w:bCs/>
                <w:sz w:val="24"/>
                <w:szCs w:val="24"/>
                <w:lang w:bidi="ar"/>
              </w:rPr>
              <w:t>与“三线一单”相符性分析</w:t>
            </w:r>
          </w:p>
          <w:p w14:paraId="3326CDDA">
            <w:pPr>
              <w:pStyle w:val="157"/>
              <w:adjustRightInd w:val="0"/>
              <w:spacing w:line="460" w:lineRule="exact"/>
              <w:ind w:left="480" w:firstLine="0" w:firstLineChars="0"/>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val="en-US" w:eastAsia="zh-CN" w:bidi="ar"/>
              </w:rPr>
              <w:t>1</w:t>
            </w: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与生态保护红线的相符性</w:t>
            </w:r>
          </w:p>
          <w:p w14:paraId="3DEFF70C">
            <w:pPr>
              <w:adjustRightInd w:val="0"/>
              <w:snapToGrid w:val="0"/>
              <w:spacing w:line="480" w:lineRule="exact"/>
              <w:ind w:firstLine="480" w:firstLineChars="200"/>
              <w:rPr>
                <w:rFonts w:hint="default" w:ascii="Times New Roman" w:hAnsi="Times New Roman" w:eastAsia="宋体" w:cs="Times New Roman"/>
                <w:kern w:val="2"/>
                <w:sz w:val="24"/>
                <w:szCs w:val="24"/>
                <w:lang w:val="en-US" w:eastAsia="zh-CN" w:bidi="ar"/>
              </w:rPr>
            </w:pPr>
            <w:r>
              <w:rPr>
                <w:rFonts w:hint="default" w:ascii="Times New Roman" w:hAnsi="Times New Roman" w:eastAsia="宋体" w:cs="Times New Roman"/>
                <w:sz w:val="24"/>
                <w:szCs w:val="24"/>
                <w:lang w:bidi="ar"/>
              </w:rPr>
              <w:t>①</w:t>
            </w:r>
            <w:r>
              <w:rPr>
                <w:rFonts w:hint="default" w:ascii="Times New Roman" w:hAnsi="Times New Roman" w:eastAsia="宋体" w:cs="Times New Roman"/>
                <w:kern w:val="2"/>
                <w:sz w:val="24"/>
                <w:szCs w:val="24"/>
                <w:lang w:val="en-US" w:eastAsia="zh-CN" w:bidi="ar"/>
              </w:rPr>
              <w:t>江苏省国家级生态红线规划相符性</w:t>
            </w:r>
          </w:p>
          <w:p w14:paraId="3767A274">
            <w:pPr>
              <w:adjustRightInd w:val="0"/>
              <w:snapToGrid w:val="0"/>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lang w:bidi="ar"/>
              </w:rPr>
              <w:t>根据《省政府关于印发江苏省国家级生态保护红线规划的通知》（苏政发〔2018〕74号）及江苏省</w:t>
            </w:r>
            <w:r>
              <w:rPr>
                <w:rFonts w:hint="default" w:ascii="Times New Roman" w:hAnsi="Times New Roman" w:eastAsia="宋体" w:cs="Times New Roman"/>
                <w:sz w:val="24"/>
                <w:szCs w:val="24"/>
                <w:lang w:val="en-US" w:eastAsia="zh-CN" w:bidi="ar"/>
              </w:rPr>
              <w:t>淮安市淮安</w:t>
            </w:r>
            <w:r>
              <w:rPr>
                <w:rFonts w:hint="default" w:ascii="Times New Roman" w:hAnsi="Times New Roman" w:eastAsia="宋体" w:cs="Times New Roman"/>
                <w:sz w:val="24"/>
                <w:szCs w:val="24"/>
                <w:lang w:bidi="ar"/>
              </w:rPr>
              <w:t>区</w:t>
            </w: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val="en-US" w:eastAsia="zh-CN" w:bidi="ar"/>
              </w:rPr>
              <w:t>清江浦区</w:t>
            </w:r>
            <w:r>
              <w:rPr>
                <w:rFonts w:hint="default" w:ascii="Times New Roman" w:hAnsi="Times New Roman" w:eastAsia="宋体" w:cs="Times New Roman"/>
                <w:sz w:val="24"/>
                <w:szCs w:val="24"/>
                <w:lang w:bidi="ar"/>
              </w:rPr>
              <w:t>“三区三线”划定成果，</w:t>
            </w:r>
            <w:r>
              <w:rPr>
                <w:rFonts w:hint="eastAsia" w:cs="Times New Roman"/>
                <w:sz w:val="24"/>
                <w:szCs w:val="24"/>
                <w:lang w:val="en-US" w:eastAsia="zh-CN" w:bidi="ar"/>
              </w:rPr>
              <w:t>本项目不涉及</w:t>
            </w:r>
            <w:r>
              <w:rPr>
                <w:rFonts w:hint="default" w:ascii="Times New Roman" w:hAnsi="Times New Roman" w:eastAsia="宋体" w:cs="Times New Roman"/>
                <w:kern w:val="2"/>
                <w:sz w:val="24"/>
                <w:szCs w:val="24"/>
                <w:lang w:val="en-US" w:eastAsia="zh-CN" w:bidi="ar"/>
              </w:rPr>
              <w:t>江苏省国家级生态红线</w:t>
            </w:r>
            <w:r>
              <w:rPr>
                <w:rFonts w:hint="eastAsia" w:cs="Times New Roman"/>
                <w:kern w:val="2"/>
                <w:sz w:val="24"/>
                <w:szCs w:val="24"/>
                <w:lang w:val="en-US" w:eastAsia="zh-CN" w:bidi="ar"/>
              </w:rPr>
              <w:t>，</w:t>
            </w:r>
            <w:r>
              <w:rPr>
                <w:rFonts w:hint="default" w:ascii="Times New Roman" w:hAnsi="Times New Roman" w:eastAsia="宋体" w:cs="Times New Roman"/>
                <w:sz w:val="24"/>
                <w:szCs w:val="24"/>
                <w:highlight w:val="none"/>
                <w:lang w:bidi="ar"/>
              </w:rPr>
              <w:t>距离最近的生态保护红线为</w:t>
            </w:r>
            <w:r>
              <w:rPr>
                <w:rFonts w:hint="eastAsia" w:cs="Times New Roman"/>
                <w:sz w:val="24"/>
                <w:szCs w:val="24"/>
                <w:highlight w:val="none"/>
                <w:lang w:val="en-US" w:eastAsia="zh-CN" w:bidi="ar"/>
              </w:rPr>
              <w:t>北京路水厂废黄河饮用水水源保护地</w:t>
            </w:r>
            <w:r>
              <w:rPr>
                <w:rFonts w:hint="default" w:ascii="Times New Roman" w:hAnsi="Times New Roman" w:eastAsia="宋体" w:cs="Times New Roman"/>
                <w:sz w:val="24"/>
                <w:szCs w:val="24"/>
                <w:highlight w:val="none"/>
                <w:lang w:bidi="ar"/>
              </w:rPr>
              <w:t>，距离</w:t>
            </w:r>
            <w:r>
              <w:rPr>
                <w:rFonts w:hint="eastAsia" w:cs="Times New Roman"/>
                <w:sz w:val="24"/>
                <w:szCs w:val="24"/>
                <w:highlight w:val="none"/>
                <w:lang w:val="en-US" w:eastAsia="zh-CN" w:bidi="ar"/>
              </w:rPr>
              <w:t>4.5</w:t>
            </w:r>
            <w:r>
              <w:rPr>
                <w:rFonts w:hint="default" w:ascii="Times New Roman" w:hAnsi="Times New Roman" w:eastAsia="宋体" w:cs="Times New Roman"/>
                <w:sz w:val="24"/>
                <w:szCs w:val="24"/>
                <w:highlight w:val="none"/>
                <w:lang w:bidi="ar"/>
              </w:rPr>
              <w:t>km，</w:t>
            </w:r>
            <w:r>
              <w:rPr>
                <w:rFonts w:hint="default" w:ascii="Times New Roman" w:hAnsi="Times New Roman" w:eastAsia="宋体" w:cs="Times New Roman"/>
                <w:sz w:val="24"/>
                <w:szCs w:val="24"/>
                <w:lang w:bidi="ar"/>
              </w:rPr>
              <w:t>符合江苏省国家级生态保护红线规划。</w:t>
            </w:r>
          </w:p>
          <w:p w14:paraId="18956EF3">
            <w:pPr>
              <w:adjustRightInd w:val="0"/>
              <w:snapToGrid w:val="0"/>
              <w:spacing w:line="480" w:lineRule="exact"/>
              <w:ind w:firstLine="480" w:firstLineChars="200"/>
              <w:rPr>
                <w:rFonts w:hint="default" w:ascii="Times New Roman" w:hAnsi="Times New Roman" w:eastAsia="宋体" w:cs="Times New Roman"/>
                <w:kern w:val="2"/>
                <w:sz w:val="24"/>
                <w:szCs w:val="24"/>
                <w:lang w:val="en-US" w:eastAsia="zh-CN" w:bidi="ar"/>
              </w:rPr>
            </w:pPr>
            <w:r>
              <w:rPr>
                <w:rFonts w:hint="default" w:ascii="Times New Roman" w:hAnsi="Times New Roman" w:eastAsia="宋体" w:cs="Times New Roman"/>
                <w:kern w:val="2"/>
                <w:sz w:val="24"/>
                <w:szCs w:val="24"/>
                <w:lang w:val="en-US" w:eastAsia="zh-CN" w:bidi="ar"/>
              </w:rPr>
              <w:t>②省政府关于印发江苏省生态空间管控区域规划相符性</w:t>
            </w:r>
          </w:p>
          <w:p w14:paraId="14FF7D0E">
            <w:pPr>
              <w:pStyle w:val="21"/>
              <w:snapToGrid w:val="0"/>
              <w:spacing w:line="480" w:lineRule="exact"/>
              <w:ind w:firstLine="480"/>
              <w:rPr>
                <w:rFonts w:hint="default" w:ascii="Times New Roman" w:hAnsi="Times New Roman" w:eastAsia="宋体" w:cs="Times New Roman"/>
                <w:sz w:val="24"/>
                <w:szCs w:val="24"/>
                <w:highlight w:val="green"/>
                <w:lang w:val="en-US" w:eastAsia="zh-CN" w:bidi="ar"/>
              </w:rPr>
            </w:pPr>
            <w:r>
              <w:rPr>
                <w:rFonts w:hint="default" w:ascii="Times New Roman" w:hAnsi="Times New Roman" w:eastAsia="宋体" w:cs="Times New Roman"/>
                <w:sz w:val="24"/>
                <w:szCs w:val="24"/>
                <w:lang w:bidi="ar"/>
              </w:rPr>
              <w:t>根据《省政府关于印发江苏省生态空间管控区域规划的通知》（苏政发〔2020〕1号）</w:t>
            </w: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rPr>
              <w:t>本项目共占用</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处生态空间管控区</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类型为清水通道维护区。在生态空间管控区内建设内容主要为：</w:t>
            </w:r>
            <w:r>
              <w:rPr>
                <w:rFonts w:hint="default" w:ascii="Times New Roman" w:hAnsi="Times New Roman" w:eastAsia="宋体" w:cs="Times New Roman"/>
                <w:sz w:val="24"/>
                <w:szCs w:val="24"/>
                <w:lang w:val="en-US" w:eastAsia="zh-CN"/>
              </w:rPr>
              <w:t>疏浚</w:t>
            </w:r>
            <w:r>
              <w:rPr>
                <w:rFonts w:hint="default" w:ascii="Times New Roman" w:hAnsi="Times New Roman" w:eastAsia="宋体" w:cs="Times New Roman"/>
                <w:sz w:val="24"/>
                <w:szCs w:val="24"/>
              </w:rPr>
              <w:t>工程、</w:t>
            </w:r>
            <w:r>
              <w:rPr>
                <w:rFonts w:hint="default" w:ascii="Times New Roman" w:hAnsi="Times New Roman" w:eastAsia="宋体" w:cs="Times New Roman"/>
                <w:sz w:val="24"/>
                <w:szCs w:val="24"/>
                <w:lang w:val="en-US" w:eastAsia="zh-CN"/>
              </w:rPr>
              <w:t>锚地工程</w:t>
            </w:r>
            <w:r>
              <w:rPr>
                <w:rFonts w:hint="default" w:ascii="Times New Roman" w:hAnsi="Times New Roman" w:eastAsia="宋体" w:cs="Times New Roman"/>
                <w:sz w:val="24"/>
                <w:szCs w:val="24"/>
              </w:rPr>
              <w:t>。</w:t>
            </w:r>
          </w:p>
          <w:p w14:paraId="1852298F">
            <w:pPr>
              <w:pStyle w:val="21"/>
              <w:snapToGrid w:val="0"/>
              <w:spacing w:line="480" w:lineRule="exact"/>
              <w:ind w:firstLine="480"/>
            </w:pPr>
            <w:r>
              <w:rPr>
                <w:rFonts w:hint="eastAsia" w:ascii="Times New Roman" w:hAnsi="Times New Roman" w:eastAsia="宋体" w:cs="Times New Roman"/>
                <w:sz w:val="24"/>
                <w:szCs w:val="24"/>
                <w:lang w:val="en-US" w:eastAsia="zh-CN"/>
              </w:rPr>
              <w:t>经分析</w:t>
            </w:r>
            <w:r>
              <w:rPr>
                <w:rFonts w:hint="default" w:ascii="Times New Roman" w:hAnsi="Times New Roman" w:eastAsia="宋体" w:cs="Times New Roman"/>
                <w:sz w:val="24"/>
                <w:szCs w:val="24"/>
              </w:rPr>
              <w:t>，本项目建设和运营与清水通道维护区管控措施的相关要求不冲突</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严格执行</w:t>
            </w:r>
            <w:r>
              <w:rPr>
                <w:rFonts w:hint="default" w:ascii="Times New Roman" w:hAnsi="Times New Roman" w:eastAsia="宋体" w:cs="Times New Roman"/>
                <w:sz w:val="24"/>
                <w:szCs w:val="24"/>
              </w:rPr>
              <w:t>《南水北调工程供用水管理条例》</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《江苏省河道管理条例》</w:t>
            </w:r>
            <w:r>
              <w:rPr>
                <w:rFonts w:hint="default" w:ascii="Times New Roman" w:hAnsi="Times New Roman" w:eastAsia="宋体" w:cs="Times New Roman"/>
                <w:sz w:val="24"/>
                <w:szCs w:val="24"/>
                <w:lang w:val="en-US" w:eastAsia="zh-CN"/>
              </w:rPr>
              <w:t>等有关规定，</w:t>
            </w:r>
            <w:r>
              <w:rPr>
                <w:rFonts w:hint="eastAsia" w:ascii="Times New Roman" w:hAnsi="Times New Roman" w:eastAsia="宋体" w:cs="Times New Roman"/>
                <w:sz w:val="24"/>
                <w:szCs w:val="24"/>
                <w:lang w:val="en-US" w:eastAsia="zh-CN"/>
              </w:rPr>
              <w:t>符合生态空间管控要求，</w:t>
            </w:r>
            <w:r>
              <w:rPr>
                <w:rFonts w:hint="default" w:ascii="Times New Roman" w:hAnsi="Times New Roman" w:eastAsia="宋体" w:cs="Times New Roman"/>
                <w:sz w:val="24"/>
                <w:szCs w:val="24"/>
                <w:lang w:val="en-US" w:eastAsia="zh-CN"/>
              </w:rPr>
              <w:t>具体分析见1.3节</w:t>
            </w:r>
            <w:r>
              <w:rPr>
                <w:rFonts w:hint="default" w:ascii="Times New Roman" w:hAnsi="Times New Roman" w:eastAsia="宋体" w:cs="Times New Roman"/>
                <w:sz w:val="24"/>
                <w:szCs w:val="24"/>
                <w:lang w:eastAsia="zh-CN"/>
              </w:rPr>
              <w:t>。</w:t>
            </w:r>
          </w:p>
          <w:p w14:paraId="3C6D5EF4">
            <w:pPr>
              <w:widowControl w:val="0"/>
              <w:adjustRightInd/>
              <w:snapToGrid/>
              <w:spacing w:after="0" w:line="500" w:lineRule="exact"/>
              <w:ind w:firstLine="482"/>
              <w:jc w:val="center"/>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表</w:t>
            </w:r>
            <w:r>
              <w:rPr>
                <w:rFonts w:hint="default" w:ascii="Times New Roman" w:hAnsi="Times New Roman" w:eastAsia="宋体" w:cs="Times New Roman"/>
                <w:b/>
                <w:bCs/>
                <w:kern w:val="2"/>
                <w:sz w:val="24"/>
                <w:szCs w:val="24"/>
                <w:lang w:val="en-US" w:eastAsia="zh-CN"/>
              </w:rPr>
              <w:t xml:space="preserve">1.2-1 </w:t>
            </w:r>
            <w:r>
              <w:rPr>
                <w:rFonts w:hint="default" w:ascii="Times New Roman" w:hAnsi="Times New Roman" w:eastAsia="宋体" w:cs="Times New Roman"/>
                <w:b/>
                <w:bCs/>
                <w:kern w:val="2"/>
                <w:sz w:val="24"/>
                <w:szCs w:val="24"/>
              </w:rPr>
              <w:t xml:space="preserve"> 本项目</w:t>
            </w:r>
            <w:r>
              <w:rPr>
                <w:rFonts w:hint="default" w:ascii="Times New Roman" w:hAnsi="Times New Roman" w:eastAsia="宋体" w:cs="Times New Roman"/>
                <w:b/>
                <w:bCs/>
                <w:kern w:val="2"/>
                <w:sz w:val="24"/>
                <w:szCs w:val="24"/>
                <w:lang w:val="en-US" w:eastAsia="zh-CN"/>
              </w:rPr>
              <w:t>与</w:t>
            </w:r>
            <w:r>
              <w:rPr>
                <w:rFonts w:hint="default" w:ascii="Times New Roman" w:hAnsi="Times New Roman" w:eastAsia="宋体" w:cs="Times New Roman"/>
                <w:b/>
                <w:bCs/>
                <w:kern w:val="2"/>
                <w:sz w:val="24"/>
                <w:szCs w:val="24"/>
              </w:rPr>
              <w:t>周边生态</w:t>
            </w:r>
            <w:r>
              <w:rPr>
                <w:rFonts w:hint="default" w:ascii="Times New Roman" w:hAnsi="Times New Roman" w:eastAsia="宋体" w:cs="Times New Roman"/>
                <w:b/>
                <w:bCs/>
                <w:kern w:val="2"/>
                <w:sz w:val="24"/>
                <w:szCs w:val="24"/>
                <w:lang w:val="en-US" w:eastAsia="zh-CN"/>
              </w:rPr>
              <w:t>空间管控区</w:t>
            </w:r>
            <w:r>
              <w:rPr>
                <w:rFonts w:hint="default" w:ascii="Times New Roman" w:hAnsi="Times New Roman" w:eastAsia="宋体" w:cs="Times New Roman"/>
                <w:b/>
                <w:bCs/>
                <w:kern w:val="2"/>
                <w:sz w:val="24"/>
                <w:szCs w:val="24"/>
              </w:rPr>
              <w:t>情况</w:t>
            </w:r>
          </w:p>
          <w:tbl>
            <w:tblPr>
              <w:tblStyle w:val="90"/>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517"/>
              <w:gridCol w:w="955"/>
              <w:gridCol w:w="1065"/>
              <w:gridCol w:w="2964"/>
              <w:gridCol w:w="1725"/>
            </w:tblGrid>
            <w:tr w14:paraId="631CA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271" w:type="pct"/>
                  <w:tcBorders>
                    <w:tl2br w:val="nil"/>
                    <w:tr2bl w:val="nil"/>
                  </w:tcBorders>
                  <w:vAlign w:val="center"/>
                </w:tcPr>
                <w:p w14:paraId="6ECBB3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bidi="ar"/>
                    </w:rPr>
                  </w:pPr>
                  <w:r>
                    <w:rPr>
                      <w:rFonts w:hint="default" w:ascii="Times New Roman" w:hAnsi="Times New Roman" w:eastAsia="宋体" w:cs="Times New Roman"/>
                      <w:b/>
                      <w:bCs/>
                      <w:sz w:val="21"/>
                      <w:szCs w:val="21"/>
                      <w:lang w:val="en-US" w:eastAsia="zh-CN" w:bidi="ar"/>
                    </w:rPr>
                    <w:t>序号</w:t>
                  </w:r>
                </w:p>
              </w:tc>
              <w:tc>
                <w:tcPr>
                  <w:tcW w:w="872" w:type="pct"/>
                  <w:tcBorders>
                    <w:tl2br w:val="nil"/>
                    <w:tr2bl w:val="nil"/>
                  </w:tcBorders>
                  <w:vAlign w:val="center"/>
                </w:tcPr>
                <w:p w14:paraId="0AEA6B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bidi="ar"/>
                    </w:rPr>
                  </w:pPr>
                  <w:r>
                    <w:rPr>
                      <w:rFonts w:hint="default" w:ascii="Times New Roman" w:hAnsi="Times New Roman" w:eastAsia="宋体" w:cs="Times New Roman"/>
                      <w:b/>
                      <w:bCs/>
                      <w:sz w:val="21"/>
                      <w:szCs w:val="21"/>
                      <w:lang w:val="en-US" w:eastAsia="zh-CN" w:bidi="ar"/>
                    </w:rPr>
                    <w:t>生态管控区名称</w:t>
                  </w:r>
                </w:p>
              </w:tc>
              <w:tc>
                <w:tcPr>
                  <w:tcW w:w="548" w:type="pct"/>
                  <w:tcBorders>
                    <w:tl2br w:val="nil"/>
                    <w:tr2bl w:val="nil"/>
                  </w:tcBorders>
                  <w:vAlign w:val="center"/>
                </w:tcPr>
                <w:p w14:paraId="3B0F48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bidi="ar"/>
                    </w:rPr>
                  </w:pPr>
                  <w:r>
                    <w:rPr>
                      <w:rFonts w:hint="default" w:ascii="Times New Roman" w:hAnsi="Times New Roman" w:eastAsia="宋体" w:cs="Times New Roman"/>
                      <w:b/>
                      <w:bCs/>
                      <w:sz w:val="21"/>
                      <w:szCs w:val="21"/>
                      <w:lang w:val="en-US" w:eastAsia="zh-CN" w:bidi="ar"/>
                    </w:rPr>
                    <w:t>县（市、区）</w:t>
                  </w:r>
                </w:p>
              </w:tc>
              <w:tc>
                <w:tcPr>
                  <w:tcW w:w="612" w:type="pct"/>
                  <w:tcBorders>
                    <w:tl2br w:val="nil"/>
                    <w:tr2bl w:val="nil"/>
                  </w:tcBorders>
                  <w:vAlign w:val="center"/>
                </w:tcPr>
                <w:p w14:paraId="7747A2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bidi="ar"/>
                    </w:rPr>
                  </w:pPr>
                  <w:r>
                    <w:rPr>
                      <w:rFonts w:hint="default" w:ascii="Times New Roman" w:hAnsi="Times New Roman" w:eastAsia="宋体" w:cs="Times New Roman"/>
                      <w:b/>
                      <w:bCs/>
                      <w:sz w:val="21"/>
                      <w:szCs w:val="21"/>
                      <w:lang w:val="en-US" w:eastAsia="zh-CN" w:bidi="ar"/>
                    </w:rPr>
                    <w:t>主导生态功能</w:t>
                  </w:r>
                </w:p>
              </w:tc>
              <w:tc>
                <w:tcPr>
                  <w:tcW w:w="1703" w:type="pct"/>
                  <w:tcBorders>
                    <w:tl2br w:val="nil"/>
                    <w:tr2bl w:val="nil"/>
                  </w:tcBorders>
                  <w:vAlign w:val="center"/>
                </w:tcPr>
                <w:p w14:paraId="1EA939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bidi="ar"/>
                    </w:rPr>
                  </w:pPr>
                  <w:r>
                    <w:rPr>
                      <w:rFonts w:hint="default" w:ascii="Times New Roman" w:hAnsi="Times New Roman" w:eastAsia="宋体" w:cs="Times New Roman"/>
                      <w:b/>
                      <w:bCs/>
                      <w:sz w:val="21"/>
                      <w:szCs w:val="21"/>
                      <w:lang w:val="en-US" w:eastAsia="zh-CN" w:bidi="ar"/>
                    </w:rPr>
                    <w:t>范围</w:t>
                  </w:r>
                </w:p>
              </w:tc>
              <w:tc>
                <w:tcPr>
                  <w:tcW w:w="991" w:type="pct"/>
                  <w:tcBorders>
                    <w:tl2br w:val="nil"/>
                    <w:tr2bl w:val="nil"/>
                  </w:tcBorders>
                  <w:vAlign w:val="center"/>
                </w:tcPr>
                <w:p w14:paraId="2B27A1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bidi="ar"/>
                    </w:rPr>
                  </w:pPr>
                  <w:r>
                    <w:rPr>
                      <w:rFonts w:hint="default" w:ascii="Times New Roman" w:hAnsi="Times New Roman" w:eastAsia="宋体" w:cs="Times New Roman"/>
                      <w:b/>
                      <w:bCs/>
                      <w:sz w:val="21"/>
                      <w:szCs w:val="21"/>
                      <w:lang w:val="en-US" w:eastAsia="zh-CN" w:bidi="ar"/>
                    </w:rPr>
                    <w:t>与本项目</w:t>
                  </w:r>
                </w:p>
                <w:p w14:paraId="657AC4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bidi="ar"/>
                    </w:rPr>
                  </w:pPr>
                  <w:r>
                    <w:rPr>
                      <w:rFonts w:hint="default" w:ascii="Times New Roman" w:hAnsi="Times New Roman" w:eastAsia="宋体" w:cs="Times New Roman"/>
                      <w:b/>
                      <w:bCs/>
                      <w:sz w:val="21"/>
                      <w:szCs w:val="21"/>
                      <w:lang w:val="en-US" w:eastAsia="zh-CN" w:bidi="ar"/>
                    </w:rPr>
                    <w:t>位置关系</w:t>
                  </w:r>
                </w:p>
              </w:tc>
            </w:tr>
            <w:tr w14:paraId="030FE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71" w:type="pct"/>
                  <w:tcBorders>
                    <w:tl2br w:val="nil"/>
                    <w:tr2bl w:val="nil"/>
                  </w:tcBorders>
                  <w:vAlign w:val="center"/>
                </w:tcPr>
                <w:p w14:paraId="324A15CE">
                  <w:pPr>
                    <w:adjustRightInd w:val="0"/>
                    <w:snapToGrid w:val="0"/>
                    <w:spacing w:line="480" w:lineRule="exact"/>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872" w:type="pct"/>
                  <w:tcBorders>
                    <w:tl2br w:val="nil"/>
                    <w:tr2bl w:val="nil"/>
                  </w:tcBorders>
                  <w:vAlign w:val="center"/>
                </w:tcPr>
                <w:p w14:paraId="537A69E4">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bidi="ar"/>
                    </w:rPr>
                    <w:t>京杭大运河（淮安区）清水通道维护区</w:t>
                  </w:r>
                </w:p>
              </w:tc>
              <w:tc>
                <w:tcPr>
                  <w:tcW w:w="548" w:type="pct"/>
                  <w:tcBorders>
                    <w:tl2br w:val="nil"/>
                    <w:tr2bl w:val="nil"/>
                  </w:tcBorders>
                  <w:vAlign w:val="center"/>
                </w:tcPr>
                <w:p w14:paraId="186C93DC">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bidi="ar"/>
                    </w:rPr>
                    <w:t>淮安区</w:t>
                  </w:r>
                </w:p>
              </w:tc>
              <w:tc>
                <w:tcPr>
                  <w:tcW w:w="612" w:type="pct"/>
                  <w:tcBorders>
                    <w:tl2br w:val="nil"/>
                    <w:tr2bl w:val="nil"/>
                  </w:tcBorders>
                  <w:vAlign w:val="center"/>
                </w:tcPr>
                <w:p w14:paraId="6D748DBD">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bidi="ar"/>
                    </w:rPr>
                    <w:t>水源水质保护</w:t>
                  </w:r>
                </w:p>
              </w:tc>
              <w:tc>
                <w:tcPr>
                  <w:tcW w:w="1703" w:type="pct"/>
                  <w:tcBorders>
                    <w:tl2br w:val="nil"/>
                    <w:tr2bl w:val="nil"/>
                  </w:tcBorders>
                  <w:vAlign w:val="center"/>
                </w:tcPr>
                <w:p w14:paraId="3406B605">
                  <w:pPr>
                    <w:widowControl/>
                    <w:spacing w:line="260" w:lineRule="exact"/>
                    <w:ind w:firstLine="0" w:firstLineChars="0"/>
                    <w:jc w:val="both"/>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bidi="ar"/>
                    </w:rPr>
                    <w:t>流经三树、吴城、凌桥、码头4个乡镇，沿河有三坝、三岔、新堡、三园、豆办集、头庄、仲弓、双闸、许渡9个村。为大运河及两岸外侧100米范围</w:t>
                  </w:r>
                </w:p>
              </w:tc>
              <w:tc>
                <w:tcPr>
                  <w:tcW w:w="991" w:type="pct"/>
                  <w:tcBorders>
                    <w:tl2br w:val="nil"/>
                    <w:tr2bl w:val="nil"/>
                  </w:tcBorders>
                  <w:vAlign w:val="center"/>
                </w:tcPr>
                <w:p w14:paraId="5771FCD1">
                  <w:pPr>
                    <w:widowControl/>
                    <w:snapToGrid w:val="0"/>
                    <w:jc w:val="center"/>
                    <w:rPr>
                      <w:rFonts w:hint="default" w:ascii="Times New Roman" w:hAnsi="Times New Roman" w:eastAsia="宋体" w:cs="Times New Roman"/>
                      <w:color w:val="000000"/>
                      <w:sz w:val="21"/>
                      <w:szCs w:val="21"/>
                      <w:lang w:val="en-US" w:eastAsia="zh-CN" w:bidi="ar"/>
                    </w:rPr>
                  </w:pPr>
                  <w:r>
                    <w:rPr>
                      <w:rFonts w:hint="eastAsia" w:cs="Times New Roman"/>
                      <w:kern w:val="0"/>
                      <w:sz w:val="21"/>
                      <w:szCs w:val="21"/>
                      <w:lang w:val="en-US" w:eastAsia="zh-CN"/>
                    </w:rPr>
                    <w:t>本项目锚地工程位于</w:t>
                  </w:r>
                  <w:r>
                    <w:rPr>
                      <w:rFonts w:hint="default" w:ascii="Times New Roman" w:hAnsi="Times New Roman" w:eastAsia="宋体" w:cs="Times New Roman"/>
                      <w:color w:val="000000"/>
                      <w:sz w:val="21"/>
                      <w:szCs w:val="21"/>
                      <w:lang w:bidi="ar"/>
                    </w:rPr>
                    <w:t>京杭大运河（淮安区）清水通道维护区</w:t>
                  </w:r>
                  <w:r>
                    <w:rPr>
                      <w:rFonts w:hint="eastAsia" w:cs="Times New Roman"/>
                      <w:color w:val="000000"/>
                      <w:sz w:val="21"/>
                      <w:szCs w:val="21"/>
                      <w:lang w:val="en-US" w:eastAsia="zh-CN" w:bidi="ar"/>
                    </w:rPr>
                    <w:t>内</w:t>
                  </w:r>
                </w:p>
              </w:tc>
            </w:tr>
            <w:tr w14:paraId="390B7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71" w:type="pct"/>
                  <w:tcBorders>
                    <w:tl2br w:val="nil"/>
                    <w:tr2bl w:val="nil"/>
                  </w:tcBorders>
                  <w:vAlign w:val="center"/>
                </w:tcPr>
                <w:p w14:paraId="6D4C407B">
                  <w:pPr>
                    <w:adjustRightInd w:val="0"/>
                    <w:snapToGrid w:val="0"/>
                    <w:spacing w:line="480" w:lineRule="exact"/>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872" w:type="pct"/>
                  <w:tcBorders>
                    <w:tl2br w:val="nil"/>
                    <w:tr2bl w:val="nil"/>
                  </w:tcBorders>
                  <w:vAlign w:val="center"/>
                </w:tcPr>
                <w:p w14:paraId="7CD0D4AD">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bidi="ar"/>
                    </w:rPr>
                    <w:t>京杭大运河（淮安市区）清水通道维护区</w:t>
                  </w:r>
                </w:p>
              </w:tc>
              <w:tc>
                <w:tcPr>
                  <w:tcW w:w="548" w:type="pct"/>
                  <w:tcBorders>
                    <w:tl2br w:val="nil"/>
                    <w:tr2bl w:val="nil"/>
                  </w:tcBorders>
                  <w:vAlign w:val="center"/>
                </w:tcPr>
                <w:p w14:paraId="0067C022">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淮安</w:t>
                  </w:r>
                </w:p>
                <w:p w14:paraId="6742D3B3">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bidi="ar"/>
                    </w:rPr>
                    <w:t>市区</w:t>
                  </w:r>
                </w:p>
              </w:tc>
              <w:tc>
                <w:tcPr>
                  <w:tcW w:w="612" w:type="pct"/>
                  <w:tcBorders>
                    <w:tl2br w:val="nil"/>
                    <w:tr2bl w:val="nil"/>
                  </w:tcBorders>
                  <w:vAlign w:val="center"/>
                </w:tcPr>
                <w:p w14:paraId="2DDE1E28">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bidi="ar"/>
                    </w:rPr>
                    <w:t>水源水质保护</w:t>
                  </w:r>
                </w:p>
              </w:tc>
              <w:tc>
                <w:tcPr>
                  <w:tcW w:w="1703" w:type="pct"/>
                  <w:tcBorders>
                    <w:tl2br w:val="nil"/>
                    <w:tr2bl w:val="nil"/>
                  </w:tcBorders>
                  <w:vAlign w:val="center"/>
                </w:tcPr>
                <w:p w14:paraId="355F82CB">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bidi="ar"/>
                    </w:rPr>
                    <w:t>京杭大运河淮安市区段，两侧至河堤外100米范围（城区部分两侧仅到河堤）</w:t>
                  </w:r>
                </w:p>
              </w:tc>
              <w:tc>
                <w:tcPr>
                  <w:tcW w:w="991" w:type="pct"/>
                  <w:tcBorders>
                    <w:tl2br w:val="nil"/>
                    <w:tr2bl w:val="nil"/>
                  </w:tcBorders>
                  <w:vAlign w:val="center"/>
                </w:tcPr>
                <w:p w14:paraId="7EF2D145">
                  <w:pPr>
                    <w:widowControl/>
                    <w:snapToGrid w:val="0"/>
                    <w:jc w:val="center"/>
                    <w:rPr>
                      <w:rFonts w:hint="default" w:ascii="Times New Roman" w:hAnsi="Times New Roman" w:eastAsia="宋体" w:cs="Times New Roman"/>
                      <w:sz w:val="21"/>
                      <w:szCs w:val="21"/>
                      <w:vertAlign w:val="baseline"/>
                      <w:lang w:val="en-US" w:eastAsia="zh-CN"/>
                    </w:rPr>
                  </w:pPr>
                  <w:r>
                    <w:rPr>
                      <w:rFonts w:hint="eastAsia" w:cs="Times New Roman"/>
                      <w:kern w:val="0"/>
                      <w:sz w:val="21"/>
                      <w:szCs w:val="21"/>
                      <w:lang w:val="en-US" w:eastAsia="zh-CN"/>
                    </w:rPr>
                    <w:t>本项目</w:t>
                  </w:r>
                  <w:r>
                    <w:rPr>
                      <w:rFonts w:hint="eastAsia" w:cs="Times New Roman"/>
                      <w:sz w:val="21"/>
                      <w:szCs w:val="21"/>
                      <w:lang w:val="en-US" w:eastAsia="zh-CN"/>
                    </w:rPr>
                    <w:t>南港岸线疏浚段</w:t>
                  </w:r>
                  <w:r>
                    <w:rPr>
                      <w:rFonts w:hint="eastAsia" w:cs="Times New Roman"/>
                      <w:kern w:val="0"/>
                      <w:sz w:val="21"/>
                      <w:szCs w:val="21"/>
                      <w:lang w:val="en-US" w:eastAsia="zh-CN"/>
                    </w:rPr>
                    <w:t>位于</w:t>
                  </w:r>
                  <w:r>
                    <w:rPr>
                      <w:rFonts w:hint="default" w:ascii="Times New Roman" w:hAnsi="Times New Roman" w:eastAsia="宋体" w:cs="Times New Roman"/>
                      <w:color w:val="000000"/>
                      <w:sz w:val="21"/>
                      <w:szCs w:val="21"/>
                      <w:lang w:bidi="ar"/>
                    </w:rPr>
                    <w:t>京杭大运河（淮安市区）清水通道维护区</w:t>
                  </w:r>
                  <w:r>
                    <w:rPr>
                      <w:rFonts w:hint="eastAsia" w:cs="Times New Roman"/>
                      <w:color w:val="000000"/>
                      <w:sz w:val="21"/>
                      <w:szCs w:val="21"/>
                      <w:lang w:val="en-US" w:eastAsia="zh-CN" w:bidi="ar"/>
                    </w:rPr>
                    <w:t>内</w:t>
                  </w:r>
                </w:p>
              </w:tc>
            </w:tr>
          </w:tbl>
          <w:p w14:paraId="56956933">
            <w:pPr>
              <w:adjustRightInd w:val="0"/>
              <w:spacing w:line="46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bidi="ar"/>
              </w:rPr>
              <w:t>本项目与</w:t>
            </w:r>
            <w:r>
              <w:rPr>
                <w:rFonts w:hint="default" w:ascii="Times New Roman" w:hAnsi="Times New Roman" w:eastAsia="宋体" w:cs="Times New Roman"/>
                <w:sz w:val="24"/>
                <w:szCs w:val="24"/>
                <w:lang w:val="en-US" w:eastAsia="zh-CN" w:bidi="ar"/>
              </w:rPr>
              <w:t>淮安</w:t>
            </w:r>
            <w:r>
              <w:rPr>
                <w:rFonts w:hint="default" w:ascii="Times New Roman" w:hAnsi="Times New Roman" w:eastAsia="宋体" w:cs="Times New Roman"/>
                <w:sz w:val="24"/>
                <w:szCs w:val="24"/>
                <w:lang w:bidi="ar"/>
              </w:rPr>
              <w:t>市生态保护红线的位置关系</w:t>
            </w:r>
            <w:r>
              <w:rPr>
                <w:rFonts w:hint="default" w:ascii="Times New Roman" w:hAnsi="Times New Roman" w:eastAsia="宋体" w:cs="Times New Roman"/>
                <w:sz w:val="24"/>
                <w:szCs w:val="24"/>
                <w:highlight w:val="none"/>
                <w:lang w:bidi="ar"/>
              </w:rPr>
              <w:t>见附图</w:t>
            </w:r>
            <w:r>
              <w:rPr>
                <w:rFonts w:hint="eastAsia" w:cs="Times New Roman"/>
                <w:sz w:val="24"/>
                <w:szCs w:val="24"/>
                <w:highlight w:val="none"/>
                <w:lang w:val="en-US" w:eastAsia="zh-CN" w:bidi="ar"/>
              </w:rPr>
              <w:t>3</w:t>
            </w:r>
            <w:r>
              <w:rPr>
                <w:rFonts w:hint="default" w:ascii="Times New Roman" w:hAnsi="Times New Roman" w:eastAsia="宋体" w:cs="Times New Roman"/>
                <w:sz w:val="24"/>
                <w:szCs w:val="24"/>
                <w:lang w:bidi="ar"/>
              </w:rPr>
              <w:t>。</w:t>
            </w:r>
          </w:p>
          <w:p w14:paraId="742A81A7">
            <w:pPr>
              <w:adjustRightIn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eastAsia" w:cs="Times New Roman"/>
                <w:sz w:val="24"/>
                <w:szCs w:val="24"/>
                <w:lang w:val="en-US" w:eastAsia="zh-CN"/>
              </w:rPr>
              <w:t>环境</w:t>
            </w:r>
            <w:r>
              <w:rPr>
                <w:rFonts w:hint="default" w:ascii="Times New Roman" w:hAnsi="Times New Roman" w:eastAsia="宋体" w:cs="Times New Roman"/>
                <w:sz w:val="24"/>
                <w:szCs w:val="24"/>
              </w:rPr>
              <w:t>质量底线</w:t>
            </w:r>
          </w:p>
          <w:p w14:paraId="68D590EF">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根据《202</w:t>
            </w:r>
            <w:r>
              <w:rPr>
                <w:rFonts w:hint="eastAsia" w:cs="Times New Roman"/>
                <w:sz w:val="24"/>
                <w:szCs w:val="24"/>
                <w:lang w:val="en-US" w:eastAsia="zh-CN" w:bidi="ar"/>
              </w:rPr>
              <w:t>3</w:t>
            </w:r>
            <w:r>
              <w:rPr>
                <w:rFonts w:hint="default" w:ascii="Times New Roman" w:hAnsi="Times New Roman" w:eastAsia="宋体" w:cs="Times New Roman"/>
                <w:sz w:val="24"/>
                <w:szCs w:val="24"/>
                <w:lang w:bidi="ar"/>
              </w:rPr>
              <w:t>年淮安市生态环境状况公报》，</w:t>
            </w:r>
            <w:r>
              <w:rPr>
                <w:rFonts w:hint="default" w:ascii="Times New Roman" w:hAnsi="Times New Roman" w:eastAsia="宋体" w:cs="Times New Roman"/>
                <w:color w:val="auto"/>
                <w:sz w:val="24"/>
                <w:szCs w:val="24"/>
                <w:highlight w:val="none"/>
                <w:lang w:val="en-US" w:eastAsia="zh-CN"/>
              </w:rPr>
              <w:t>2023年淮安市空气质量等级优良290天</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扣除沙尘影响异常超标天），优良率为81.3%。与2022年相比，空气质量为优的天数增加22天。全市细颗粒物（PM</w:t>
            </w:r>
            <w:r>
              <w:rPr>
                <w:rFonts w:hint="eastAsia" w:cs="Times New Roman"/>
                <w:color w:val="auto"/>
                <w:sz w:val="24"/>
                <w:szCs w:val="24"/>
                <w:highlight w:val="none"/>
                <w:vertAlign w:val="subscript"/>
                <w:lang w:val="en-US" w:eastAsia="zh-CN"/>
              </w:rPr>
              <w:t>2.5</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、可吸入颗粒物（PM</w:t>
            </w:r>
            <w:r>
              <w:rPr>
                <w:rFonts w:hint="eastAsia" w:cs="Times New Roman"/>
                <w:color w:val="auto"/>
                <w:sz w:val="24"/>
                <w:szCs w:val="24"/>
                <w:highlight w:val="none"/>
                <w:vertAlign w:val="subscript"/>
                <w:lang w:val="en-US" w:eastAsia="zh-CN"/>
              </w:rPr>
              <w:t>10</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、二氧化硫（SO</w:t>
            </w:r>
            <w:r>
              <w:rPr>
                <w:rFonts w:hint="default" w:ascii="Times New Roman" w:hAnsi="Times New Roman" w:eastAsia="宋体" w:cs="Times New Roman"/>
                <w:color w:val="auto"/>
                <w:sz w:val="24"/>
                <w:szCs w:val="24"/>
                <w:highlight w:val="none"/>
                <w:vertAlign w:val="sub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、二氧化氮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、一氧化碳（CO）和臭氧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O</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浓度年均浓度分别为36微克/立方米、58微克/立方米、8微克/立方米、25微克/立方米、1.0毫克/立方米、158微克/立方米。与2022年相比，O</w:t>
            </w:r>
            <w:r>
              <w:rPr>
                <w:rFonts w:hint="eastAsia"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污染有所改善，O</w:t>
            </w:r>
            <w:r>
              <w:rPr>
                <w:rFonts w:hint="eastAsia"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为首要污染物的超标天减少3天，PM</w:t>
            </w:r>
            <w:r>
              <w:rPr>
                <w:rFonts w:hint="default" w:ascii="Times New Roman" w:hAnsi="Times New Roman" w:eastAsia="宋体" w:cs="Times New Roman"/>
                <w:color w:val="auto"/>
                <w:sz w:val="24"/>
                <w:szCs w:val="24"/>
                <w:highlight w:val="none"/>
                <w:vertAlign w:val="subscript"/>
                <w:lang w:val="en-US" w:eastAsia="zh-CN"/>
              </w:rPr>
              <w:t>2.</w:t>
            </w:r>
            <w:r>
              <w:rPr>
                <w:rFonts w:hint="eastAsia"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浓度有所反弹，PM</w:t>
            </w:r>
            <w:r>
              <w:rPr>
                <w:rFonts w:hint="eastAsia"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为首要污染物的超标天增加7天。PM</w:t>
            </w:r>
            <w:r>
              <w:rPr>
                <w:rFonts w:hint="eastAsia"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、O</w:t>
            </w:r>
            <w:r>
              <w:rPr>
                <w:rFonts w:hint="eastAsia"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降幅分别为3.3%、11.1%、0.6%</w:t>
            </w:r>
            <w:r>
              <w:rPr>
                <w:rFonts w:hint="eastAsia" w:cs="Times New Roman"/>
                <w:color w:val="auto"/>
                <w:sz w:val="24"/>
                <w:szCs w:val="24"/>
                <w:highlight w:val="none"/>
                <w:lang w:val="en-US" w:eastAsia="zh-CN"/>
              </w:rPr>
              <w:t>。可吸入颗粒物（</w:t>
            </w:r>
            <w:r>
              <w:rPr>
                <w:rFonts w:hint="default" w:ascii="Times New Roman" w:hAnsi="Times New Roman" w:eastAsia="宋体" w:cs="Times New Roman"/>
                <w:color w:val="auto"/>
                <w:sz w:val="24"/>
                <w:szCs w:val="24"/>
                <w:highlight w:val="none"/>
                <w:lang w:val="en-US" w:eastAsia="zh-CN"/>
              </w:rPr>
              <w:t>PM</w:t>
            </w:r>
            <w:r>
              <w:rPr>
                <w:rFonts w:hint="eastAsia" w:cs="Times New Roman"/>
                <w:color w:val="auto"/>
                <w:sz w:val="24"/>
                <w:szCs w:val="24"/>
                <w:highlight w:val="none"/>
                <w:vertAlign w:val="subscript"/>
                <w:lang w:val="en-US" w:eastAsia="zh-CN"/>
              </w:rPr>
              <w:t>10</w:t>
            </w:r>
            <w:r>
              <w:rPr>
                <w:rFonts w:hint="eastAsia"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二氧化硫（SO</w:t>
            </w:r>
            <w:r>
              <w:rPr>
                <w:rFonts w:hint="default" w:ascii="Times New Roman" w:hAnsi="Times New Roman" w:eastAsia="宋体" w:cs="Times New Roman"/>
                <w:color w:val="auto"/>
                <w:sz w:val="24"/>
                <w:szCs w:val="24"/>
                <w:highlight w:val="none"/>
                <w:vertAlign w:val="sub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、二氧化氮（NO</w:t>
            </w:r>
            <w:r>
              <w:rPr>
                <w:rFonts w:hint="default" w:ascii="Times New Roman" w:hAnsi="Times New Roman" w:eastAsia="宋体" w:cs="Times New Roman"/>
                <w:color w:val="auto"/>
                <w:sz w:val="24"/>
                <w:szCs w:val="24"/>
                <w:highlight w:val="none"/>
                <w:vertAlign w:val="sub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、一氧化碳（CO）和臭氧（O</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浓度达到国家二级标准限值。</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所在区域为环境空气达标区。</w:t>
            </w:r>
            <w:r>
              <w:rPr>
                <w:rFonts w:hint="default" w:ascii="Times New Roman" w:hAnsi="Times New Roman" w:eastAsia="宋体" w:cs="Times New Roman"/>
                <w:sz w:val="24"/>
                <w:szCs w:val="24"/>
                <w:lang w:val="en-US" w:eastAsia="zh-CN"/>
              </w:rPr>
              <w:t>202</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年，</w:t>
            </w:r>
            <w:r>
              <w:rPr>
                <w:rFonts w:hint="default" w:ascii="Times New Roman" w:hAnsi="Times New Roman" w:eastAsia="宋体" w:cs="Times New Roman"/>
                <w:sz w:val="24"/>
                <w:szCs w:val="24"/>
                <w:highlight w:val="none"/>
                <w:lang w:val="en-US" w:eastAsia="zh-CN"/>
              </w:rPr>
              <w:t>纳入“十四五”国家地表水环境质量考核的11个国考断面中，年均水质达到或好于Ⅲ类标准的断面9个（Ⅱ类断面4个</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sz w:val="24"/>
                <w:szCs w:val="24"/>
                <w:highlight w:val="none"/>
                <w:lang w:val="en-US" w:eastAsia="zh-CN"/>
              </w:rPr>
              <w:t>，优Ⅲ比例81.8%，达标率100%，无V类和劣V类断面。纳入江苏省“十四五”水环境质量目标考核的57个断面中水质达到或好于Ⅲ类标准的断面有53个，优Ⅲ比例93%，达标率100%，无V类和劣V类断面。全市城镇饮用水以集中式供水为主。淮安市集中式饮用水水源地取水总量28301万吨，主要取水水源为古淮河、二河。12个集中式饮用水水源地水质状况稳定，均达到地表水IⅢ类标准，达标率为100%。2023年，淮安市声环境总体较好，全市各功能区昼夜噪声均达标。全市区域环境昼间噪声均值为55.1dB(A)，夜间均值为45.3dB(A)，同比均有所改善</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全市昼间交通噪声均值为65.4dB(A)，夜间交通噪声均值为55.4dB(A)，均保持稳定，处于“好”水平。</w:t>
            </w:r>
          </w:p>
          <w:p w14:paraId="471141E1">
            <w:pPr>
              <w:kinsoku w:val="0"/>
              <w:wordWrap w:val="0"/>
              <w:spacing w:line="460" w:lineRule="exact"/>
              <w:ind w:firstLine="480" w:firstLineChars="200"/>
              <w:rPr>
                <w:rFonts w:hint="default" w:ascii="Times New Roman" w:hAnsi="Times New Roman" w:eastAsia="宋体" w:cs="Times New Roman"/>
                <w:sz w:val="24"/>
                <w:szCs w:val="24"/>
                <w:lang w:bidi="ar"/>
              </w:rPr>
            </w:pPr>
            <w:r>
              <w:rPr>
                <w:rFonts w:hint="eastAsia" w:ascii="Times New Roman" w:hAnsi="Times New Roman" w:eastAsia="宋体" w:cs="Times New Roman"/>
                <w:bCs w:val="0"/>
                <w:sz w:val="24"/>
                <w:szCs w:val="24"/>
                <w:lang w:val="en-US" w:eastAsia="zh-CN"/>
              </w:rPr>
              <w:t>本项目运营期</w:t>
            </w:r>
            <w:r>
              <w:rPr>
                <w:rFonts w:hint="default" w:ascii="Times New Roman" w:hAnsi="Times New Roman" w:eastAsia="宋体" w:cs="Times New Roman"/>
                <w:bCs w:val="0"/>
                <w:sz w:val="24"/>
                <w:szCs w:val="24"/>
                <w:lang w:val="en-US" w:eastAsia="zh-CN"/>
              </w:rPr>
              <w:t>船舶生活污水经</w:t>
            </w:r>
            <w:r>
              <w:rPr>
                <w:rFonts w:ascii="Times New Roman" w:hAnsi="Times New Roman" w:eastAsia="宋体" w:cs="Times New Roman"/>
                <w:kern w:val="2"/>
                <w:sz w:val="24"/>
                <w:szCs w:val="24"/>
                <w:lang w:val="en-US" w:eastAsia="zh-CN" w:bidi="ar"/>
              </w:rPr>
              <w:t>锚地后沿</w:t>
            </w:r>
            <w:r>
              <w:rPr>
                <w:rFonts w:hint="default" w:ascii="Times New Roman" w:hAnsi="Times New Roman" w:eastAsia="宋体" w:cs="Times New Roman"/>
                <w:kern w:val="2"/>
                <w:sz w:val="24"/>
                <w:szCs w:val="24"/>
                <w:lang w:val="en-US" w:eastAsia="zh-CN" w:bidi="ar"/>
              </w:rPr>
              <w:t>污水箱收集后定期外运处理</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lang w:val="en-US" w:eastAsia="zh-CN"/>
              </w:rPr>
              <w:t>船舶含油污水</w:t>
            </w:r>
            <w:r>
              <w:rPr>
                <w:rFonts w:hint="default" w:ascii="Times New Roman" w:hAnsi="Times New Roman" w:eastAsia="宋体" w:cs="Times New Roman"/>
                <w:kern w:val="2"/>
                <w:sz w:val="24"/>
                <w:szCs w:val="24"/>
              </w:rPr>
              <w:t>由当地交通运输部门认可的有资质的</w:t>
            </w:r>
            <w:r>
              <w:rPr>
                <w:rFonts w:hint="default" w:ascii="Times New Roman" w:hAnsi="Times New Roman" w:eastAsia="宋体" w:cs="Times New Roman"/>
                <w:kern w:val="2"/>
                <w:sz w:val="24"/>
                <w:szCs w:val="24"/>
                <w:lang w:val="en-US" w:eastAsia="zh-CN"/>
              </w:rPr>
              <w:t>单位</w:t>
            </w:r>
            <w:r>
              <w:rPr>
                <w:rFonts w:hint="default" w:ascii="Times New Roman" w:hAnsi="Times New Roman" w:eastAsia="宋体" w:cs="Times New Roman"/>
                <w:kern w:val="2"/>
                <w:sz w:val="24"/>
                <w:szCs w:val="24"/>
              </w:rPr>
              <w:t>接收处理</w:t>
            </w:r>
            <w:r>
              <w:rPr>
                <w:rFonts w:hint="default" w:ascii="Times New Roman" w:hAnsi="Times New Roman" w:eastAsia="宋体" w:cs="Times New Roman"/>
                <w:bCs w:val="0"/>
                <w:sz w:val="24"/>
                <w:szCs w:val="24"/>
                <w:lang w:eastAsia="zh-CN"/>
              </w:rPr>
              <w:t>；</w:t>
            </w:r>
            <w:r>
              <w:rPr>
                <w:rFonts w:hint="default" w:ascii="Times New Roman" w:hAnsi="Times New Roman" w:eastAsia="宋体" w:cs="Times New Roman"/>
                <w:bCs w:val="0"/>
                <w:sz w:val="24"/>
                <w:szCs w:val="24"/>
                <w:lang w:val="en-US" w:eastAsia="zh-CN"/>
              </w:rPr>
              <w:t>初期雨水经收集后外运处理</w:t>
            </w:r>
            <w:r>
              <w:rPr>
                <w:rFonts w:hint="default" w:ascii="Times New Roman" w:hAnsi="Times New Roman" w:eastAsia="宋体" w:cs="Times New Roman"/>
                <w:sz w:val="24"/>
                <w:szCs w:val="24"/>
                <w:lang w:bidi="ar"/>
              </w:rPr>
              <w:t>，</w:t>
            </w:r>
            <w:r>
              <w:rPr>
                <w:rFonts w:hint="eastAsia" w:cs="Times New Roman"/>
                <w:sz w:val="24"/>
                <w:szCs w:val="24"/>
                <w:lang w:val="en-US" w:eastAsia="zh-CN" w:bidi="ar"/>
              </w:rPr>
              <w:t>均</w:t>
            </w:r>
            <w:r>
              <w:rPr>
                <w:rFonts w:hint="default" w:ascii="Times New Roman" w:hAnsi="Times New Roman" w:eastAsia="宋体" w:cs="Times New Roman"/>
                <w:sz w:val="24"/>
                <w:szCs w:val="24"/>
                <w:lang w:bidi="ar"/>
              </w:rPr>
              <w:t>不在项目区</w:t>
            </w:r>
            <w:r>
              <w:rPr>
                <w:rFonts w:hint="eastAsia" w:ascii="Times New Roman" w:hAnsi="Times New Roman" w:eastAsia="宋体" w:cs="Times New Roman"/>
                <w:sz w:val="24"/>
                <w:szCs w:val="24"/>
                <w:lang w:val="en-US" w:eastAsia="zh-CN" w:bidi="ar"/>
              </w:rPr>
              <w:t>水域</w:t>
            </w:r>
            <w:r>
              <w:rPr>
                <w:rFonts w:hint="default" w:ascii="Times New Roman" w:hAnsi="Times New Roman" w:eastAsia="宋体" w:cs="Times New Roman"/>
                <w:sz w:val="24"/>
                <w:szCs w:val="24"/>
                <w:lang w:bidi="ar"/>
              </w:rPr>
              <w:t>排放，本项目不会改变区域环境质量，满足环境质量底线要求。</w:t>
            </w:r>
          </w:p>
          <w:p w14:paraId="1C63F0B9">
            <w:pPr>
              <w:adjustRightIn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③资源利用上线</w:t>
            </w:r>
          </w:p>
          <w:p w14:paraId="28EFE37B">
            <w:pPr>
              <w:kinsoku w:val="0"/>
              <w:wordWrap w:val="0"/>
              <w:spacing w:line="460" w:lineRule="exact"/>
              <w:ind w:firstLine="480" w:firstLineChars="200"/>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bidi="ar"/>
              </w:rPr>
              <w:t>项目用水由当地的自来水部门供给，用电来自当地供电网。本项目的用水、用电不会对自来水厂、供电单位产生负担，项目用地符合</w:t>
            </w:r>
            <w:r>
              <w:rPr>
                <w:rFonts w:hint="default" w:ascii="Times New Roman" w:hAnsi="Times New Roman" w:eastAsia="宋体" w:cs="Times New Roman"/>
                <w:sz w:val="24"/>
                <w:szCs w:val="24"/>
                <w:lang w:val="en-US" w:eastAsia="zh-CN" w:bidi="ar"/>
              </w:rPr>
              <w:t>淮安市</w:t>
            </w:r>
            <w:r>
              <w:rPr>
                <w:rFonts w:hint="default" w:ascii="Times New Roman" w:hAnsi="Times New Roman" w:eastAsia="宋体" w:cs="Times New Roman"/>
                <w:sz w:val="24"/>
                <w:szCs w:val="24"/>
                <w:lang w:bidi="ar"/>
              </w:rPr>
              <w:t>土地利用总体规划。因此本项目不会超出资源利用上</w:t>
            </w:r>
            <w:r>
              <w:rPr>
                <w:rFonts w:hint="eastAsia" w:cs="Times New Roman"/>
                <w:sz w:val="24"/>
                <w:szCs w:val="24"/>
                <w:lang w:val="en-US" w:eastAsia="zh-CN" w:bidi="ar"/>
              </w:rPr>
              <w:t>线</w:t>
            </w:r>
            <w:r>
              <w:rPr>
                <w:rFonts w:hint="default" w:ascii="Times New Roman" w:hAnsi="Times New Roman" w:eastAsia="宋体" w:cs="Times New Roman"/>
                <w:sz w:val="24"/>
                <w:szCs w:val="24"/>
                <w:lang w:bidi="ar"/>
              </w:rPr>
              <w:t>。</w:t>
            </w:r>
          </w:p>
          <w:p w14:paraId="7BC68140">
            <w:pPr>
              <w:kinsoku w:val="0"/>
              <w:wordWrap w:val="0"/>
              <w:spacing w:line="460" w:lineRule="exact"/>
              <w:ind w:firstLine="480" w:firstLineChars="200"/>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bidi="ar"/>
              </w:rPr>
              <w:t>④环境准入负面清单</w:t>
            </w:r>
          </w:p>
          <w:p w14:paraId="77ABA64A">
            <w:pPr>
              <w:kinsoku w:val="0"/>
              <w:wordWrap w:val="0"/>
              <w:spacing w:line="460" w:lineRule="exact"/>
              <w:ind w:firstLine="480" w:firstLineChars="200"/>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bidi="ar"/>
              </w:rPr>
              <w:t>目前项目所在地区域</w:t>
            </w:r>
            <w:r>
              <w:rPr>
                <w:rFonts w:hint="default" w:ascii="Times New Roman" w:hAnsi="Times New Roman" w:eastAsia="宋体" w:cs="Times New Roman"/>
                <w:sz w:val="24"/>
                <w:szCs w:val="24"/>
                <w:lang w:val="en-US" w:eastAsia="zh-CN" w:bidi="ar"/>
              </w:rPr>
              <w:t>尚</w:t>
            </w:r>
            <w:r>
              <w:rPr>
                <w:rFonts w:hint="default" w:ascii="Times New Roman" w:hAnsi="Times New Roman" w:eastAsia="宋体" w:cs="Times New Roman"/>
                <w:sz w:val="24"/>
                <w:szCs w:val="24"/>
                <w:lang w:bidi="ar"/>
              </w:rPr>
              <w:t>未设置环境准入负面清单</w:t>
            </w: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对照</w:t>
            </w: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淮安港总体规划</w:t>
            </w: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2020~2035</w:t>
            </w: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环境影响报告书提出的环境准入清单，本项目为</w:t>
            </w:r>
            <w:r>
              <w:rPr>
                <w:rFonts w:hint="eastAsia" w:cs="Times New Roman"/>
                <w:sz w:val="24"/>
                <w:szCs w:val="24"/>
                <w:lang w:val="en-US" w:eastAsia="zh-CN" w:bidi="ar"/>
              </w:rPr>
              <w:t>京杭运河淮安段黄码港锚地工程</w:t>
            </w:r>
            <w:r>
              <w:rPr>
                <w:rFonts w:hint="default" w:ascii="Times New Roman" w:hAnsi="Times New Roman" w:eastAsia="宋体" w:cs="Times New Roman"/>
                <w:sz w:val="24"/>
                <w:szCs w:val="24"/>
                <w:lang w:bidi="ar"/>
              </w:rPr>
              <w:t>，不属于负面清单内禁止引入类项目</w:t>
            </w: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本项目不在国家生态保护红线内，饮用水源一级、二级保护区内，永久基本农田内</w:t>
            </w: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不属于负面清单的空间管制要求禁止引入的项目。综上所述，本项目与规划环评提出的环境准入负面清单要求相符合。</w:t>
            </w:r>
          </w:p>
          <w:p w14:paraId="39DE39E0">
            <w:pPr>
              <w:kinsoku w:val="0"/>
              <w:wordWrap w:val="0"/>
              <w:spacing w:line="460" w:lineRule="exact"/>
              <w:ind w:firstLine="480" w:firstLineChars="200"/>
              <w:rPr>
                <w:rFonts w:hint="default" w:ascii="Times New Roman" w:hAnsi="Times New Roman" w:eastAsia="宋体" w:cs="Times New Roman"/>
                <w:b/>
                <w:sz w:val="24"/>
                <w:szCs w:val="24"/>
                <w:lang w:bidi="ar"/>
              </w:rPr>
            </w:pPr>
            <w:r>
              <w:rPr>
                <w:rFonts w:hint="default" w:ascii="Times New Roman" w:hAnsi="Times New Roman" w:eastAsia="宋体" w:cs="Times New Roman"/>
                <w:sz w:val="24"/>
                <w:szCs w:val="24"/>
                <w:lang w:bidi="ar"/>
              </w:rPr>
              <w:t>综上所述，本项目符合“三线一单”要求。</w:t>
            </w:r>
          </w:p>
          <w:p w14:paraId="29EA07C2">
            <w:pPr>
              <w:spacing w:line="460" w:lineRule="exact"/>
              <w:ind w:firstLine="482" w:firstLineChars="200"/>
              <w:rPr>
                <w:rFonts w:hint="default" w:ascii="Times New Roman" w:hAnsi="Times New Roman" w:eastAsia="宋体" w:cs="Times New Roman"/>
                <w:b/>
                <w:sz w:val="24"/>
                <w:szCs w:val="24"/>
                <w:lang w:val="en-US" w:eastAsia="zh-CN" w:bidi="ar"/>
              </w:rPr>
            </w:pPr>
            <w:r>
              <w:rPr>
                <w:rFonts w:hint="default" w:ascii="Times New Roman" w:hAnsi="Times New Roman" w:eastAsia="宋体" w:cs="Times New Roman"/>
                <w:b/>
                <w:sz w:val="24"/>
                <w:szCs w:val="24"/>
                <w:lang w:val="en-US" w:eastAsia="zh-CN" w:bidi="ar"/>
              </w:rPr>
              <w:t xml:space="preserve">1.3 </w:t>
            </w:r>
            <w:r>
              <w:rPr>
                <w:rFonts w:hint="default" w:ascii="Times New Roman" w:hAnsi="Times New Roman" w:eastAsia="宋体" w:cs="Times New Roman"/>
                <w:b/>
                <w:sz w:val="24"/>
                <w:szCs w:val="24"/>
                <w:lang w:bidi="ar"/>
              </w:rPr>
              <w:t>与清水通道维护区管控要求相符性分析</w:t>
            </w:r>
          </w:p>
          <w:p w14:paraId="09014678">
            <w:pPr>
              <w:keepNext w:val="0"/>
              <w:keepLines w:val="0"/>
              <w:pageBreakBefore w:val="0"/>
              <w:kinsoku/>
              <w:wordWrap/>
              <w:overflowPunct/>
              <w:topLinePunct w:val="0"/>
              <w:autoSpaceDE/>
              <w:autoSpaceDN/>
              <w:bidi w:val="0"/>
              <w:adjustRightInd/>
              <w:spacing w:line="500" w:lineRule="exact"/>
              <w:ind w:firstLine="48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本项目涉及</w:t>
            </w:r>
            <w:r>
              <w:rPr>
                <w:rFonts w:hint="default" w:ascii="Times New Roman" w:hAnsi="Times New Roman" w:eastAsia="宋体" w:cs="Times New Roman"/>
                <w:b w:val="0"/>
                <w:bCs/>
                <w:color w:val="000000"/>
                <w:sz w:val="24"/>
                <w:szCs w:val="24"/>
                <w:lang w:bidi="ar"/>
              </w:rPr>
              <w:t>京杭大运河（淮安区）清水通道维护区</w:t>
            </w:r>
            <w:r>
              <w:rPr>
                <w:rFonts w:hint="default" w:ascii="Times New Roman" w:hAnsi="Times New Roman" w:eastAsia="宋体" w:cs="Times New Roman"/>
                <w:b w:val="0"/>
                <w:bCs/>
                <w:color w:val="000000"/>
                <w:sz w:val="24"/>
                <w:szCs w:val="24"/>
                <w:lang w:val="en-US" w:eastAsia="zh-CN" w:bidi="ar"/>
              </w:rPr>
              <w:t>和</w:t>
            </w:r>
            <w:r>
              <w:rPr>
                <w:rFonts w:hint="default" w:ascii="Times New Roman" w:hAnsi="Times New Roman" w:eastAsia="宋体" w:cs="Times New Roman"/>
                <w:b w:val="0"/>
                <w:bCs/>
                <w:color w:val="000000"/>
                <w:sz w:val="24"/>
                <w:szCs w:val="24"/>
                <w:lang w:bidi="ar"/>
              </w:rPr>
              <w:t>京杭大运河（淮安</w:t>
            </w:r>
            <w:r>
              <w:rPr>
                <w:rFonts w:hint="default" w:ascii="Times New Roman" w:hAnsi="Times New Roman" w:eastAsia="宋体" w:cs="Times New Roman"/>
                <w:b w:val="0"/>
                <w:bCs/>
                <w:color w:val="000000"/>
                <w:sz w:val="24"/>
                <w:szCs w:val="24"/>
                <w:lang w:val="en-US" w:eastAsia="zh-CN" w:bidi="ar"/>
              </w:rPr>
              <w:t>市</w:t>
            </w:r>
            <w:r>
              <w:rPr>
                <w:rFonts w:hint="default" w:ascii="Times New Roman" w:hAnsi="Times New Roman" w:eastAsia="宋体" w:cs="Times New Roman"/>
                <w:b w:val="0"/>
                <w:bCs/>
                <w:color w:val="000000"/>
                <w:sz w:val="24"/>
                <w:szCs w:val="24"/>
                <w:lang w:bidi="ar"/>
              </w:rPr>
              <w:t>区）清水通道维护区</w:t>
            </w:r>
            <w:r>
              <w:rPr>
                <w:rFonts w:hint="default" w:ascii="Times New Roman" w:hAnsi="Times New Roman" w:eastAsia="宋体" w:cs="Times New Roman"/>
                <w:b w:val="0"/>
                <w:bCs/>
                <w:color w:val="000000"/>
                <w:sz w:val="24"/>
                <w:szCs w:val="24"/>
                <w:lang w:val="en-US" w:eastAsia="zh-CN" w:bidi="ar"/>
              </w:rPr>
              <w:t>2处生态空间管控区</w:t>
            </w:r>
            <w:r>
              <w:rPr>
                <w:rFonts w:hint="eastAsia" w:cs="Times New Roman"/>
                <w:b w:val="0"/>
                <w:bCs/>
                <w:color w:val="000000"/>
                <w:sz w:val="24"/>
                <w:szCs w:val="24"/>
                <w:lang w:val="en-US" w:eastAsia="zh-CN" w:bidi="ar"/>
              </w:rPr>
              <w:t>。</w:t>
            </w:r>
            <w:r>
              <w:rPr>
                <w:rFonts w:hint="default" w:ascii="Times New Roman" w:hAnsi="Times New Roman" w:eastAsia="宋体" w:cs="Times New Roman"/>
                <w:b w:val="0"/>
                <w:bCs/>
                <w:color w:val="auto"/>
                <w:sz w:val="24"/>
                <w:szCs w:val="24"/>
              </w:rPr>
              <w:t>根据《江苏省生态空间管控区域规划》（苏政发〔2020〕1号），清水通道维护区应严格执行《南水北调工程供用水管理条例》</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《江苏省河道管理条例》</w:t>
            </w:r>
            <w:r>
              <w:rPr>
                <w:rFonts w:hint="eastAsia" w:cs="Times New Roman"/>
                <w:b w:val="0"/>
                <w:bCs/>
                <w:color w:val="auto"/>
                <w:sz w:val="24"/>
                <w:szCs w:val="24"/>
                <w:lang w:eastAsia="zh-CN"/>
              </w:rPr>
              <w:t>、</w:t>
            </w:r>
            <w:r>
              <w:rPr>
                <w:rFonts w:hint="default" w:ascii="Times New Roman" w:hAnsi="Times New Roman" w:eastAsia="宋体" w:cs="Times New Roman"/>
                <w:b w:val="0"/>
                <w:bCs/>
                <w:color w:val="auto"/>
                <w:sz w:val="24"/>
                <w:szCs w:val="24"/>
              </w:rPr>
              <w:t>《江苏省太湖水污染防治条例》和《江苏省通榆河水污染防治条例》等有关规定。</w:t>
            </w:r>
          </w:p>
          <w:p w14:paraId="4E5C96D7">
            <w:pPr>
              <w:pStyle w:val="21"/>
              <w:keepNext w:val="0"/>
              <w:keepLines w:val="0"/>
              <w:pageBreakBefore w:val="0"/>
              <w:kinsoku/>
              <w:wordWrap/>
              <w:overflowPunct/>
              <w:topLinePunct w:val="0"/>
              <w:autoSpaceDE/>
              <w:autoSpaceDN/>
              <w:bidi w:val="0"/>
              <w:adjustRightInd/>
              <w:snapToGrid w:val="0"/>
              <w:spacing w:line="500" w:lineRule="exact"/>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根据调查，本项目位于</w:t>
            </w:r>
            <w:r>
              <w:rPr>
                <w:rFonts w:hint="default" w:ascii="Times New Roman" w:hAnsi="Times New Roman" w:eastAsia="宋体" w:cs="Times New Roman"/>
                <w:sz w:val="24"/>
                <w:szCs w:val="24"/>
                <w:lang w:val="en-US" w:eastAsia="zh-CN"/>
              </w:rPr>
              <w:t>淮安</w:t>
            </w:r>
            <w:r>
              <w:rPr>
                <w:rFonts w:hint="default" w:ascii="Times New Roman" w:hAnsi="Times New Roman" w:eastAsia="宋体" w:cs="Times New Roman"/>
                <w:sz w:val="24"/>
                <w:szCs w:val="24"/>
              </w:rPr>
              <w:t>市，</w:t>
            </w:r>
            <w:r>
              <w:rPr>
                <w:rFonts w:hint="eastAsia" w:cs="Times New Roman"/>
                <w:sz w:val="24"/>
                <w:szCs w:val="24"/>
                <w:lang w:val="en-US" w:eastAsia="zh-CN"/>
              </w:rPr>
              <w:t>不属于</w:t>
            </w:r>
            <w:r>
              <w:rPr>
                <w:rFonts w:hint="default" w:ascii="Times New Roman" w:hAnsi="Times New Roman" w:eastAsia="宋体" w:cs="Times New Roman"/>
                <w:sz w:val="24"/>
                <w:szCs w:val="24"/>
              </w:rPr>
              <w:t>太湖流域，不属于通榆河供水河道。</w:t>
            </w:r>
            <w:r>
              <w:rPr>
                <w:rFonts w:hint="eastAsia" w:cs="Times New Roman"/>
                <w:sz w:val="24"/>
                <w:szCs w:val="24"/>
                <w:lang w:val="en-US" w:eastAsia="zh-CN"/>
              </w:rPr>
              <w:t>对照与</w:t>
            </w:r>
            <w:r>
              <w:rPr>
                <w:rFonts w:hint="default" w:ascii="Times New Roman" w:hAnsi="Times New Roman" w:eastAsia="宋体" w:cs="Times New Roman"/>
                <w:sz w:val="24"/>
                <w:szCs w:val="24"/>
              </w:rPr>
              <w:t>本项目</w:t>
            </w:r>
            <w:r>
              <w:rPr>
                <w:rFonts w:hint="eastAsia" w:cs="Times New Roman"/>
                <w:sz w:val="24"/>
                <w:szCs w:val="24"/>
                <w:lang w:val="en-US" w:eastAsia="zh-CN"/>
              </w:rPr>
              <w:t>相关的</w:t>
            </w:r>
            <w:r>
              <w:rPr>
                <w:rFonts w:hint="default" w:ascii="Times New Roman" w:hAnsi="Times New Roman" w:eastAsia="宋体" w:cs="Times New Roman"/>
                <w:sz w:val="24"/>
                <w:szCs w:val="24"/>
              </w:rPr>
              <w:t>《南水北调工程供用水管理条例》</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《江苏省河道管理条例》相符性分析见表</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-1和表1.3-2</w:t>
            </w:r>
            <w:r>
              <w:rPr>
                <w:rFonts w:hint="default" w:ascii="Times New Roman" w:hAnsi="Times New Roman" w:eastAsia="宋体" w:cs="Times New Roman"/>
                <w:sz w:val="24"/>
                <w:szCs w:val="24"/>
              </w:rPr>
              <w:t>，根据分析结果，本项目建设和运营与清水通道维护区管控措施的相关要求不冲突</w:t>
            </w:r>
            <w:r>
              <w:rPr>
                <w:rFonts w:hint="eastAsia" w:cs="Times New Roman"/>
                <w:sz w:val="24"/>
                <w:szCs w:val="24"/>
                <w:lang w:eastAsia="zh-CN"/>
              </w:rPr>
              <w:t>，</w:t>
            </w:r>
            <w:r>
              <w:rPr>
                <w:rFonts w:hint="eastAsia" w:cs="Times New Roman"/>
                <w:sz w:val="24"/>
                <w:szCs w:val="24"/>
                <w:lang w:val="en-US" w:eastAsia="zh-CN"/>
              </w:rPr>
              <w:t>符合</w:t>
            </w:r>
            <w:r>
              <w:rPr>
                <w:rFonts w:hint="default" w:ascii="Times New Roman" w:hAnsi="Times New Roman" w:eastAsia="宋体" w:cs="Times New Roman"/>
                <w:b w:val="0"/>
                <w:bCs/>
                <w:color w:val="auto"/>
                <w:sz w:val="24"/>
                <w:szCs w:val="24"/>
              </w:rPr>
              <w:t>清水通道维护区</w:t>
            </w:r>
            <w:r>
              <w:rPr>
                <w:rFonts w:hint="eastAsia" w:cs="Times New Roman"/>
                <w:sz w:val="24"/>
                <w:szCs w:val="24"/>
                <w:lang w:val="en-US" w:eastAsia="zh-CN"/>
              </w:rPr>
              <w:t>生态空间管控要求</w:t>
            </w:r>
            <w:r>
              <w:rPr>
                <w:rFonts w:hint="default" w:ascii="Times New Roman" w:hAnsi="Times New Roman" w:eastAsia="宋体" w:cs="Times New Roman"/>
                <w:sz w:val="24"/>
                <w:szCs w:val="24"/>
              </w:rPr>
              <w:t>。</w:t>
            </w:r>
          </w:p>
          <w:p w14:paraId="2CDFA44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为充分论证项目涉及生态空间管控区域的必要性以及项目为符合生态空间管控区域内允许对生态功能不造成破坏的有限人为活动，以支撑项目合法合规建设，</w:t>
            </w:r>
            <w:r>
              <w:rPr>
                <w:rFonts w:hint="eastAsia" w:ascii="Times New Roman" w:hAnsi="Times New Roman" w:eastAsia="宋体" w:cs="Times New Roman"/>
                <w:color w:val="auto"/>
                <w:kern w:val="2"/>
                <w:sz w:val="24"/>
                <w:szCs w:val="24"/>
                <w:lang w:val="en-US" w:eastAsia="zh-CN" w:bidi="ar-SA"/>
              </w:rPr>
              <w:t>建设单位</w:t>
            </w:r>
            <w:r>
              <w:rPr>
                <w:rFonts w:hint="default" w:ascii="Times New Roman" w:hAnsi="Times New Roman" w:eastAsia="宋体" w:cs="Times New Roman"/>
                <w:color w:val="auto"/>
                <w:kern w:val="2"/>
                <w:sz w:val="24"/>
                <w:szCs w:val="24"/>
                <w:lang w:val="en-US" w:eastAsia="zh-CN" w:bidi="ar-SA"/>
              </w:rPr>
              <w:t>组织编制了《京杭运河淮安段黄码港锚地建设工程符合生态空间管控区域有限人为活动论证报告</w:t>
            </w:r>
            <w:r>
              <w:rPr>
                <w:rFonts w:hint="eastAsia" w:ascii="Times New Roman" w:hAnsi="Times New Roman" w:eastAsia="宋体" w:cs="Times New Roman"/>
                <w:color w:val="auto"/>
                <w:kern w:val="2"/>
                <w:sz w:val="24"/>
                <w:szCs w:val="24"/>
                <w:lang w:val="en-US" w:eastAsia="zh-CN" w:bidi="ar-SA"/>
              </w:rPr>
              <w:t>》，并于2024年5月21日取得专家评审意见（具体见附件10），根据专家评审意见：</w:t>
            </w:r>
            <w:r>
              <w:rPr>
                <w:rFonts w:hint="default" w:ascii="Times New Roman" w:hAnsi="Times New Roman" w:eastAsia="宋体" w:cs="Times New Roman"/>
                <w:color w:val="auto"/>
                <w:kern w:val="2"/>
                <w:sz w:val="24"/>
                <w:szCs w:val="24"/>
                <w:lang w:val="en-US" w:eastAsia="zh-CN" w:bidi="ar-SA"/>
              </w:rPr>
              <w:t>该项目符合《自然资源部 生态环境部 国家林业和草原局关于加强生态保护红线管理的通知（试行）》（自然资发〔2022〕142号）和《省政府办公厅关于印发江苏省生态空间管控区域调整管理办法的通知》（苏政办发〔2021〕3号）文件要求，是允许在生态空间管控区域内开展的对生态功能不造成破坏的有限人为活动；属于必须且无法避让、符合县级以上国土空间规划的线性基础设施建设项目。专家组一致同意《报告》通过评审。</w:t>
            </w:r>
          </w:p>
          <w:p w14:paraId="00840EEE">
            <w:pPr>
              <w:widowControl w:val="0"/>
              <w:adjustRightInd/>
              <w:snapToGrid/>
              <w:spacing w:after="0" w:line="500" w:lineRule="exact"/>
              <w:jc w:val="center"/>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rPr>
              <w:t>表1.</w:t>
            </w:r>
            <w:r>
              <w:rPr>
                <w:rFonts w:hint="default" w:ascii="Times New Roman" w:hAnsi="Times New Roman" w:eastAsia="宋体" w:cs="Times New Roman"/>
                <w:b/>
                <w:bCs/>
                <w:kern w:val="2"/>
                <w:sz w:val="24"/>
                <w:szCs w:val="24"/>
              </w:rPr>
              <w:t>3</w:t>
            </w:r>
            <w:r>
              <w:rPr>
                <w:rFonts w:hint="default" w:ascii="Times New Roman" w:hAnsi="Times New Roman" w:eastAsia="宋体" w:cs="Times New Roman"/>
                <w:b/>
                <w:bCs/>
                <w:kern w:val="2"/>
                <w:sz w:val="24"/>
                <w:szCs w:val="24"/>
                <w:lang w:val="en-US" w:eastAsia="zh-CN"/>
              </w:rPr>
              <w:t xml:space="preserve">-1  </w:t>
            </w:r>
            <w:r>
              <w:rPr>
                <w:rFonts w:hint="default" w:ascii="Times New Roman" w:hAnsi="Times New Roman" w:eastAsia="宋体" w:cs="Times New Roman"/>
                <w:b/>
                <w:bCs/>
                <w:kern w:val="2"/>
                <w:sz w:val="24"/>
                <w:szCs w:val="24"/>
              </w:rPr>
              <w:t>与《南水北调工程供用水管理条例》（国务院令第647号）相符性分析</w:t>
            </w:r>
          </w:p>
          <w:tbl>
            <w:tblPr>
              <w:tblStyle w:val="9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62"/>
              <w:gridCol w:w="3651"/>
              <w:gridCol w:w="2987"/>
              <w:gridCol w:w="1202"/>
            </w:tblGrid>
            <w:tr w14:paraId="1E725A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blHeader/>
              </w:trPr>
              <w:tc>
                <w:tcPr>
                  <w:tcW w:w="723" w:type="dxa"/>
                  <w:tcBorders>
                    <w:tl2br w:val="nil"/>
                    <w:tr2bl w:val="nil"/>
                  </w:tcBorders>
                  <w:vAlign w:val="center"/>
                </w:tcPr>
                <w:p w14:paraId="462AE02F">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3069" w:type="dxa"/>
                  <w:tcBorders>
                    <w:tl2br w:val="nil"/>
                    <w:tr2bl w:val="nil"/>
                  </w:tcBorders>
                  <w:vAlign w:val="center"/>
                </w:tcPr>
                <w:p w14:paraId="00EC8417">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文件要求</w:t>
                  </w:r>
                </w:p>
              </w:tc>
              <w:tc>
                <w:tcPr>
                  <w:tcW w:w="2510" w:type="dxa"/>
                  <w:tcBorders>
                    <w:tl2br w:val="nil"/>
                    <w:tr2bl w:val="nil"/>
                  </w:tcBorders>
                  <w:vAlign w:val="center"/>
                </w:tcPr>
                <w:p w14:paraId="39309893">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本项目情况</w:t>
                  </w:r>
                </w:p>
              </w:tc>
              <w:tc>
                <w:tcPr>
                  <w:tcW w:w="1012" w:type="dxa"/>
                  <w:tcBorders>
                    <w:tl2br w:val="nil"/>
                    <w:tr2bl w:val="nil"/>
                  </w:tcBorders>
                  <w:vAlign w:val="center"/>
                </w:tcPr>
                <w:p w14:paraId="3E687D2B">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14:paraId="6E8962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23" w:type="dxa"/>
                  <w:tcBorders>
                    <w:tl2br w:val="nil"/>
                    <w:tr2bl w:val="nil"/>
                  </w:tcBorders>
                  <w:vAlign w:val="center"/>
                </w:tcPr>
                <w:p w14:paraId="223C1A35">
                  <w:pPr>
                    <w:widowControl/>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3069" w:type="dxa"/>
                  <w:tcBorders>
                    <w:tl2br w:val="nil"/>
                    <w:tr2bl w:val="nil"/>
                  </w:tcBorders>
                  <w:vAlign w:val="center"/>
                </w:tcPr>
                <w:p w14:paraId="132C048B">
                  <w:pPr>
                    <w:widowControl/>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南水北调工程水源地、调水沿线区域县级以上地方人民政府应当加强工业、城镇、农业和农村、船舶等水污染防治，建设防护林等生态隔离保护带，确保供水安全。</w:t>
                  </w:r>
                </w:p>
              </w:tc>
              <w:tc>
                <w:tcPr>
                  <w:tcW w:w="2510" w:type="dxa"/>
                  <w:tcBorders>
                    <w:tl2br w:val="nil"/>
                    <w:tr2bl w:val="nil"/>
                  </w:tcBorders>
                  <w:vAlign w:val="center"/>
                </w:tcPr>
                <w:p w14:paraId="0827F0AB">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拟建项目已加强船舶废水污染防治工作，</w:t>
                  </w:r>
                  <w:r>
                    <w:rPr>
                      <w:rFonts w:hint="default" w:ascii="Times New Roman" w:hAnsi="Times New Roman" w:eastAsia="宋体" w:cs="Times New Roman"/>
                      <w:color w:val="auto"/>
                      <w:sz w:val="21"/>
                      <w:szCs w:val="21"/>
                      <w:lang w:val="en-US" w:eastAsia="zh-CN"/>
                    </w:rPr>
                    <w:t>施工</w:t>
                  </w:r>
                  <w:r>
                    <w:rPr>
                      <w:rFonts w:hint="default" w:ascii="Times New Roman" w:hAnsi="Times New Roman" w:eastAsia="宋体" w:cs="Times New Roman"/>
                      <w:b w:val="0"/>
                      <w:bCs w:val="0"/>
                      <w:color w:val="auto"/>
                      <w:sz w:val="21"/>
                      <w:szCs w:val="21"/>
                      <w:lang w:eastAsia="zh-CN"/>
                    </w:rPr>
                    <w:t>船舶生活污水由具备相应作业资质的污水接收船接收处理，运送到岸上集中处理；船舶含油污水由当地交通运输部门认可的有资质的单位接收处理</w:t>
                  </w:r>
                  <w:r>
                    <w:rPr>
                      <w:rFonts w:hint="default" w:ascii="Times New Roman" w:hAnsi="Times New Roman" w:eastAsia="宋体" w:cs="Times New Roman"/>
                      <w:color w:val="auto"/>
                      <w:sz w:val="21"/>
                      <w:szCs w:val="21"/>
                      <w:lang w:val="en-US" w:eastAsia="zh-CN"/>
                    </w:rPr>
                    <w:t>，不得排放至周边水域</w:t>
                  </w:r>
                  <w:r>
                    <w:rPr>
                      <w:rFonts w:hint="default" w:ascii="Times New Roman" w:hAnsi="Times New Roman" w:eastAsia="宋体" w:cs="Times New Roman"/>
                      <w:color w:val="auto"/>
                      <w:sz w:val="21"/>
                      <w:szCs w:val="21"/>
                    </w:rPr>
                    <w:t>。项目废水不会进入京杭运河，对于南水北调工程水质影响较小。</w:t>
                  </w:r>
                </w:p>
              </w:tc>
              <w:tc>
                <w:tcPr>
                  <w:tcW w:w="1012" w:type="dxa"/>
                  <w:tcBorders>
                    <w:tl2br w:val="nil"/>
                    <w:tr2bl w:val="nil"/>
                  </w:tcBorders>
                  <w:vAlign w:val="center"/>
                </w:tcPr>
                <w:p w14:paraId="7A48D73A">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264CD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23" w:type="dxa"/>
                  <w:tcBorders>
                    <w:tl2br w:val="nil"/>
                    <w:tr2bl w:val="nil"/>
                  </w:tcBorders>
                  <w:vAlign w:val="center"/>
                </w:tcPr>
                <w:p w14:paraId="458B8FAB">
                  <w:pPr>
                    <w:widowControl/>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3069" w:type="dxa"/>
                  <w:tcBorders>
                    <w:tl2br w:val="nil"/>
                    <w:tr2bl w:val="nil"/>
                  </w:tcBorders>
                  <w:vAlign w:val="center"/>
                </w:tcPr>
                <w:p w14:paraId="21FF018F">
                  <w:pPr>
                    <w:widowControl/>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水北调东线工程调水沿线区域禁止建设不符合国家产业政策、不能实现水污染物稳定达标排放的建设项目。现有的落后生产技术、工艺、设备等，由当地省人民政府组织淘汰。南水北调中线工程水源地禁止建设增加污染物排放总量的建设项目。</w:t>
                  </w:r>
                </w:p>
              </w:tc>
              <w:tc>
                <w:tcPr>
                  <w:tcW w:w="2510" w:type="dxa"/>
                  <w:tcBorders>
                    <w:tl2br w:val="nil"/>
                    <w:tr2bl w:val="nil"/>
                  </w:tcBorders>
                  <w:vAlign w:val="center"/>
                </w:tcPr>
                <w:p w14:paraId="1DF06270">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本项目位于南水北调输水断面，不属于南水北调中线工程水源地。</w:t>
                  </w:r>
                  <w:r>
                    <w:rPr>
                      <w:rFonts w:hint="eastAsia" w:cs="Times New Roman"/>
                      <w:b w:val="0"/>
                      <w:bCs/>
                      <w:sz w:val="21"/>
                      <w:szCs w:val="21"/>
                      <w:lang w:eastAsia="zh-CN"/>
                    </w:rPr>
                    <w:t>陆域生活污水接管市政污水管</w:t>
                  </w:r>
                  <w:r>
                    <w:rPr>
                      <w:rFonts w:hint="eastAsia" w:cs="Times New Roman"/>
                      <w:b w:val="0"/>
                      <w:bCs/>
                      <w:sz w:val="21"/>
                      <w:szCs w:val="21"/>
                      <w:lang w:val="en-US" w:eastAsia="zh-CN"/>
                    </w:rPr>
                    <w:t>网</w:t>
                  </w:r>
                  <w:r>
                    <w:rPr>
                      <w:rFonts w:hint="eastAsia"/>
                      <w:lang w:eastAsia="zh-CN"/>
                    </w:rPr>
                    <w:t>。</w:t>
                  </w:r>
                </w:p>
              </w:tc>
              <w:tc>
                <w:tcPr>
                  <w:tcW w:w="1012" w:type="dxa"/>
                  <w:tcBorders>
                    <w:tl2br w:val="nil"/>
                    <w:tr2bl w:val="nil"/>
                  </w:tcBorders>
                  <w:vAlign w:val="center"/>
                </w:tcPr>
                <w:p w14:paraId="1215C649">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符合</w:t>
                  </w:r>
                </w:p>
              </w:tc>
            </w:tr>
            <w:tr w14:paraId="10A3C0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3" w:hRule="atLeast"/>
              </w:trPr>
              <w:tc>
                <w:tcPr>
                  <w:tcW w:w="723" w:type="dxa"/>
                  <w:tcBorders>
                    <w:tl2br w:val="nil"/>
                    <w:tr2bl w:val="nil"/>
                  </w:tcBorders>
                  <w:vAlign w:val="center"/>
                </w:tcPr>
                <w:p w14:paraId="4FE2A6FE">
                  <w:pPr>
                    <w:widowControl/>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w:t>
                  </w:r>
                </w:p>
              </w:tc>
              <w:tc>
                <w:tcPr>
                  <w:tcW w:w="3069" w:type="dxa"/>
                  <w:tcBorders>
                    <w:tl2br w:val="nil"/>
                    <w:tr2bl w:val="nil"/>
                  </w:tcBorders>
                  <w:vAlign w:val="center"/>
                </w:tcPr>
                <w:p w14:paraId="6F57B9BA">
                  <w:pPr>
                    <w:widowControl/>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水北调东线工程干线规划通航河道、丹江口水库及其上游通航河道应当科学规划建设港口、码头等航运设施，港口、码头应当配备与其吞吐能力相适应的船舶污染物接收、处理设备。现有的港口、码头不能达到水环境保护要求的，由当地省人民政府组织治理或者关闭。在前款规定河道航行的船舶应当按照要求进行技术改造，实现污染物船内封闭、收集上岸，不向水体排放；达不到要求的船舶和运输危险废物、危险化学品的船舶，不得进入上述河道，有关船闸管理单位不得放行。</w:t>
                  </w:r>
                </w:p>
              </w:tc>
              <w:tc>
                <w:tcPr>
                  <w:tcW w:w="2510" w:type="dxa"/>
                  <w:tcBorders>
                    <w:tl2br w:val="nil"/>
                    <w:tr2bl w:val="nil"/>
                  </w:tcBorders>
                  <w:vAlign w:val="center"/>
                </w:tcPr>
                <w:p w14:paraId="57949B5A">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default" w:ascii="Times New Roman" w:hAnsi="Times New Roman" w:eastAsia="宋体" w:cs="Times New Roman"/>
                      <w:color w:val="auto"/>
                      <w:sz w:val="21"/>
                      <w:szCs w:val="21"/>
                      <w:lang w:val="en-US" w:eastAsia="zh-CN"/>
                    </w:rPr>
                    <w:t>京杭运河淮安段黄码港锚地工程</w:t>
                  </w:r>
                  <w:r>
                    <w:rPr>
                      <w:rFonts w:hint="default" w:ascii="Times New Roman" w:hAnsi="Times New Roman" w:eastAsia="宋体" w:cs="Times New Roman"/>
                      <w:color w:val="auto"/>
                      <w:sz w:val="21"/>
                      <w:szCs w:val="21"/>
                    </w:rPr>
                    <w:t>，运输物品不含危险废物及危险化学品。</w:t>
                  </w:r>
                  <w:r>
                    <w:rPr>
                      <w:rFonts w:hint="default" w:ascii="Times New Roman" w:hAnsi="Times New Roman" w:eastAsia="宋体" w:cs="Times New Roman"/>
                      <w:b w:val="0"/>
                      <w:bCs w:val="0"/>
                      <w:color w:val="auto"/>
                      <w:sz w:val="21"/>
                      <w:szCs w:val="21"/>
                      <w:lang w:eastAsia="zh-CN"/>
                    </w:rPr>
                    <w:t>船舶生活污水由具备相应作业资质的污水接收船接收处理，运送到岸上集中处理；船舶含油污水由当地交通运输部门认可的有资质的单位接收处理</w:t>
                  </w:r>
                  <w:r>
                    <w:rPr>
                      <w:rFonts w:hint="default" w:ascii="Times New Roman" w:hAnsi="Times New Roman" w:eastAsia="宋体" w:cs="Times New Roman"/>
                      <w:color w:val="auto"/>
                      <w:sz w:val="21"/>
                      <w:szCs w:val="21"/>
                      <w:lang w:val="en-US" w:eastAsia="zh-CN"/>
                    </w:rPr>
                    <w:t>，不得排放至周边水域</w:t>
                  </w:r>
                  <w:r>
                    <w:rPr>
                      <w:rFonts w:hint="default" w:ascii="Times New Roman" w:hAnsi="Times New Roman" w:eastAsia="宋体" w:cs="Times New Roman"/>
                      <w:color w:val="auto"/>
                      <w:sz w:val="21"/>
                      <w:szCs w:val="21"/>
                    </w:rPr>
                    <w:t>。</w:t>
                  </w:r>
                </w:p>
              </w:tc>
              <w:tc>
                <w:tcPr>
                  <w:tcW w:w="1012" w:type="dxa"/>
                  <w:tcBorders>
                    <w:tl2br w:val="nil"/>
                    <w:tr2bl w:val="nil"/>
                  </w:tcBorders>
                  <w:vAlign w:val="center"/>
                </w:tcPr>
                <w:p w14:paraId="5362860B">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符合</w:t>
                  </w:r>
                </w:p>
              </w:tc>
            </w:tr>
            <w:tr w14:paraId="7AF136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23" w:type="dxa"/>
                  <w:tcBorders>
                    <w:tl2br w:val="nil"/>
                    <w:tr2bl w:val="nil"/>
                  </w:tcBorders>
                  <w:vAlign w:val="center"/>
                </w:tcPr>
                <w:p w14:paraId="69F87AAE">
                  <w:pPr>
                    <w:widowControl/>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w:t>
                  </w:r>
                </w:p>
              </w:tc>
              <w:tc>
                <w:tcPr>
                  <w:tcW w:w="3069" w:type="dxa"/>
                  <w:tcBorders>
                    <w:tl2br w:val="nil"/>
                    <w:tr2bl w:val="nil"/>
                  </w:tcBorders>
                  <w:vAlign w:val="center"/>
                </w:tcPr>
                <w:p w14:paraId="0BA903FA">
                  <w:pPr>
                    <w:widowControl/>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危害南水北调工程设施的下列行为：（一）侵占、损毁输水河道（渠道、管道）、水库、堤防、护岸；（二）在地下输水管道、堤坝上方地面种植深根植物或者修建鱼池等储水设施、堆放超重物品；（三）移动、覆盖、涂改、损毁标志物；（四）侵占、损毁或者擅自使用、操作专用输电线路设施、专用通信线路、闸门等设施；（五）侵占、损毁交通、通信、水文水质监测等其他设施。禁止擅自从南水北调工程取用水资源。</w:t>
                  </w:r>
                </w:p>
              </w:tc>
              <w:tc>
                <w:tcPr>
                  <w:tcW w:w="2510" w:type="dxa"/>
                  <w:tcBorders>
                    <w:tl2br w:val="nil"/>
                    <w:tr2bl w:val="nil"/>
                  </w:tcBorders>
                  <w:vAlign w:val="center"/>
                </w:tcPr>
                <w:p w14:paraId="5D2181C2">
                  <w:pPr>
                    <w:widowControl/>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eastAsia" w:cs="Times New Roman"/>
                      <w:color w:val="auto"/>
                      <w:sz w:val="21"/>
                      <w:szCs w:val="21"/>
                      <w:lang w:val="en-US" w:eastAsia="zh-CN"/>
                    </w:rPr>
                    <w:t>京杭运河淮安段黄码港锚地工程</w:t>
                  </w:r>
                  <w:r>
                    <w:rPr>
                      <w:rFonts w:hint="default" w:ascii="Times New Roman" w:hAnsi="Times New Roman" w:eastAsia="宋体" w:cs="Times New Roman"/>
                      <w:color w:val="auto"/>
                      <w:sz w:val="21"/>
                      <w:szCs w:val="21"/>
                    </w:rPr>
                    <w:t>，未侵占和损毁输水河道，未从南水北调工程航线取水，未</w:t>
                  </w:r>
                  <w:r>
                    <w:rPr>
                      <w:rFonts w:hint="default" w:ascii="Times New Roman" w:hAnsi="Times New Roman" w:eastAsia="宋体" w:cs="Times New Roman"/>
                      <w:color w:val="auto"/>
                      <w:sz w:val="21"/>
                      <w:szCs w:val="21"/>
                      <w:lang w:val="en-US" w:eastAsia="zh-CN"/>
                    </w:rPr>
                    <w:t>移动</w:t>
                  </w:r>
                  <w:r>
                    <w:rPr>
                      <w:rFonts w:hint="default" w:ascii="Times New Roman" w:hAnsi="Times New Roman" w:eastAsia="宋体" w:cs="Times New Roman"/>
                      <w:color w:val="auto"/>
                      <w:sz w:val="21"/>
                      <w:szCs w:val="21"/>
                    </w:rPr>
                    <w:t>、覆盖、涂改、损毁标志物。</w:t>
                  </w:r>
                </w:p>
              </w:tc>
              <w:tc>
                <w:tcPr>
                  <w:tcW w:w="1012" w:type="dxa"/>
                  <w:tcBorders>
                    <w:tl2br w:val="nil"/>
                    <w:tr2bl w:val="nil"/>
                  </w:tcBorders>
                  <w:vAlign w:val="center"/>
                </w:tcPr>
                <w:p w14:paraId="3B9246A8">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符合</w:t>
                  </w:r>
                </w:p>
              </w:tc>
            </w:tr>
            <w:tr w14:paraId="1B2097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23" w:type="dxa"/>
                  <w:tcBorders>
                    <w:tl2br w:val="nil"/>
                    <w:tr2bl w:val="nil"/>
                  </w:tcBorders>
                  <w:vAlign w:val="center"/>
                </w:tcPr>
                <w:p w14:paraId="7E0B24A5">
                  <w:pPr>
                    <w:widowControl/>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w:t>
                  </w:r>
                </w:p>
              </w:tc>
              <w:tc>
                <w:tcPr>
                  <w:tcW w:w="3069" w:type="dxa"/>
                  <w:tcBorders>
                    <w:tl2br w:val="nil"/>
                    <w:tr2bl w:val="nil"/>
                  </w:tcBorders>
                  <w:vAlign w:val="center"/>
                </w:tcPr>
                <w:p w14:paraId="166065EC">
                  <w:pPr>
                    <w:widowControl/>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南水北调工程管理范围和保护范围内建设桥梁、码头、公路、铁路、地铁、船闸、管道、缆线、取水、排水等工程设施，按照国家规定的基本建设程序报请审批、核准时，审批、核准单位应当征求南水北调工程管理单位对拟建工程设施建设方案的意见。</w:t>
                  </w:r>
                </w:p>
              </w:tc>
              <w:tc>
                <w:tcPr>
                  <w:tcW w:w="2510" w:type="dxa"/>
                  <w:tcBorders>
                    <w:tl2br w:val="nil"/>
                    <w:tr2bl w:val="nil"/>
                  </w:tcBorders>
                  <w:vAlign w:val="center"/>
                </w:tcPr>
                <w:p w14:paraId="4C6FB879">
                  <w:pPr>
                    <w:widowControl/>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本项目为</w:t>
                  </w:r>
                  <w:r>
                    <w:rPr>
                      <w:rFonts w:hint="eastAsia" w:cs="Times New Roman"/>
                      <w:color w:val="auto"/>
                      <w:sz w:val="21"/>
                      <w:szCs w:val="21"/>
                      <w:highlight w:val="none"/>
                      <w:lang w:val="en-US" w:eastAsia="zh-CN"/>
                    </w:rPr>
                    <w:t>京杭运河淮安段黄码港锚地工程</w:t>
                  </w:r>
                  <w:r>
                    <w:rPr>
                      <w:rFonts w:hint="default" w:ascii="Times New Roman" w:hAnsi="Times New Roman" w:eastAsia="宋体" w:cs="Times New Roman"/>
                      <w:color w:val="auto"/>
                      <w:sz w:val="21"/>
                      <w:szCs w:val="21"/>
                      <w:highlight w:val="none"/>
                    </w:rPr>
                    <w:t>，项目在报请审批、核准时同时会报备给南水北调工程管理单位进行审核。</w:t>
                  </w:r>
                </w:p>
              </w:tc>
              <w:tc>
                <w:tcPr>
                  <w:tcW w:w="1012" w:type="dxa"/>
                  <w:tcBorders>
                    <w:tl2br w:val="nil"/>
                    <w:tr2bl w:val="nil"/>
                  </w:tcBorders>
                  <w:vAlign w:val="center"/>
                </w:tcPr>
                <w:p w14:paraId="55229F74">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0FB72C6A">
            <w:pPr>
              <w:widowControl w:val="0"/>
              <w:adjustRightInd/>
              <w:snapToGrid/>
              <w:spacing w:after="0" w:line="500" w:lineRule="exact"/>
              <w:jc w:val="center"/>
              <w:rPr>
                <w:rFonts w:hint="default" w:ascii="Times New Roman" w:hAnsi="Times New Roman" w:eastAsia="宋体" w:cs="Times New Roman"/>
                <w:b/>
                <w:bCs/>
                <w:kern w:val="2"/>
                <w:sz w:val="24"/>
                <w:szCs w:val="24"/>
                <w:lang w:val="en-US" w:eastAsia="zh-CN"/>
              </w:rPr>
            </w:pPr>
            <w:r>
              <w:rPr>
                <w:rFonts w:hint="default" w:ascii="Times New Roman" w:hAnsi="Times New Roman" w:eastAsia="宋体" w:cs="Times New Roman"/>
                <w:b/>
                <w:bCs/>
                <w:kern w:val="2"/>
                <w:sz w:val="24"/>
                <w:szCs w:val="24"/>
                <w:lang w:val="en-US" w:eastAsia="zh-CN"/>
              </w:rPr>
              <w:t>表1.3-2  本项目与《江苏省河道管理条例》相符性分析</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123"/>
              <w:gridCol w:w="2721"/>
              <w:gridCol w:w="3195"/>
              <w:gridCol w:w="849"/>
            </w:tblGrid>
            <w:tr w14:paraId="0E367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8" w:type="pct"/>
                  <w:tcBorders>
                    <w:tl2br w:val="nil"/>
                    <w:tr2bl w:val="nil"/>
                  </w:tcBorders>
                  <w:noWrap w:val="0"/>
                  <w:vAlign w:val="center"/>
                </w:tcPr>
                <w:p w14:paraId="37AB935E">
                  <w:pPr>
                    <w:widowControl/>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645" w:type="pct"/>
                  <w:tcBorders>
                    <w:tl2br w:val="nil"/>
                    <w:tr2bl w:val="nil"/>
                  </w:tcBorders>
                  <w:noWrap w:val="0"/>
                  <w:vAlign w:val="center"/>
                </w:tcPr>
                <w:p w14:paraId="20D54458">
                  <w:pPr>
                    <w:widowControl/>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相关条例</w:t>
                  </w:r>
                </w:p>
              </w:tc>
              <w:tc>
                <w:tcPr>
                  <w:tcW w:w="1563" w:type="pct"/>
                  <w:tcBorders>
                    <w:tl2br w:val="nil"/>
                    <w:tr2bl w:val="nil"/>
                  </w:tcBorders>
                  <w:noWrap w:val="0"/>
                  <w:vAlign w:val="center"/>
                </w:tcPr>
                <w:p w14:paraId="7B2EB022">
                  <w:pPr>
                    <w:widowControl/>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相关管控要求</w:t>
                  </w:r>
                </w:p>
              </w:tc>
              <w:tc>
                <w:tcPr>
                  <w:tcW w:w="1835" w:type="pct"/>
                  <w:tcBorders>
                    <w:tl2br w:val="nil"/>
                    <w:tr2bl w:val="nil"/>
                  </w:tcBorders>
                  <w:noWrap w:val="0"/>
                  <w:vAlign w:val="center"/>
                </w:tcPr>
                <w:p w14:paraId="50CE2E84">
                  <w:pPr>
                    <w:widowControl/>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相符性分析</w:t>
                  </w:r>
                </w:p>
              </w:tc>
              <w:tc>
                <w:tcPr>
                  <w:tcW w:w="487" w:type="pct"/>
                  <w:tcBorders>
                    <w:tl2br w:val="nil"/>
                    <w:tr2bl w:val="nil"/>
                  </w:tcBorders>
                  <w:noWrap w:val="0"/>
                  <w:vAlign w:val="center"/>
                </w:tcPr>
                <w:p w14:paraId="6781FC86">
                  <w:pPr>
                    <w:widowControl/>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相符性分析</w:t>
                  </w:r>
                </w:p>
              </w:tc>
            </w:tr>
            <w:tr w14:paraId="49223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tcBorders>
                    <w:tl2br w:val="nil"/>
                    <w:tr2bl w:val="nil"/>
                  </w:tcBorders>
                  <w:noWrap w:val="0"/>
                  <w:vAlign w:val="center"/>
                </w:tcPr>
                <w:p w14:paraId="1AA0CB37">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清水通道维护区</w:t>
                  </w:r>
                </w:p>
              </w:tc>
              <w:tc>
                <w:tcPr>
                  <w:tcW w:w="645" w:type="pct"/>
                  <w:tcBorders>
                    <w:tl2br w:val="nil"/>
                    <w:tr2bl w:val="nil"/>
                  </w:tcBorders>
                  <w:noWrap w:val="0"/>
                  <w:vAlign w:val="center"/>
                </w:tcPr>
                <w:p w14:paraId="09C78AC8">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《江苏省河道管理条例》</w:t>
                  </w:r>
                </w:p>
              </w:tc>
              <w:tc>
                <w:tcPr>
                  <w:tcW w:w="1563" w:type="pct"/>
                  <w:tcBorders>
                    <w:tl2br w:val="nil"/>
                    <w:tr2bl w:val="nil"/>
                  </w:tcBorders>
                  <w:noWrap w:val="0"/>
                  <w:vAlign w:val="center"/>
                </w:tcPr>
                <w:p w14:paraId="7AD17CC7">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第二十七条在河道管理范围内禁止下列活动：</w:t>
                  </w:r>
                </w:p>
                <w:p w14:paraId="44214EEB">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（一）倾倒、排放、堆放、填埋矿渣、石渣、煤灰、泥土、泥浆、垃圾等废弃物；</w:t>
                  </w:r>
                </w:p>
                <w:p w14:paraId="0FE47905">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（二）倾倒、排放油类、酸液、碱液等有毒有害物质；</w:t>
                  </w:r>
                </w:p>
                <w:p w14:paraId="4747E6B8">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（三）损坏堤防、护岸、闸坝等各类水工程建筑物及防汛、水文、通讯、供电、观测、自动控制等设施；</w:t>
                  </w:r>
                </w:p>
                <w:p w14:paraId="1096194A">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（四）在行洪、排涝、输水河道内设置影响行水的建筑物、构筑物、障碍物或者种植阻碍行洪的林木或者高秆作物；</w:t>
                  </w:r>
                </w:p>
                <w:p w14:paraId="00C59830">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（五）在堤防和护堤地建房、垦种、放牧、开渠、打井、挖窖、葬坟、晒粮、存放物料、开采地下资源、进行考古发掘以及开展集市贸易活动；</w:t>
                  </w:r>
                </w:p>
                <w:p w14:paraId="68DD8D9E">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（六）其他侵占河道、危害防洪安全、影响河势稳定和破坏河道水环境的活动。</w:t>
                  </w:r>
                </w:p>
              </w:tc>
              <w:tc>
                <w:tcPr>
                  <w:tcW w:w="1835" w:type="pct"/>
                  <w:tcBorders>
                    <w:tl2br w:val="nil"/>
                    <w:tr2bl w:val="nil"/>
                  </w:tcBorders>
                  <w:noWrap w:val="0"/>
                  <w:vAlign w:val="center"/>
                </w:tcPr>
                <w:p w14:paraId="3CA0EDB6">
                  <w:pPr>
                    <w:widowControl/>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本项目为</w:t>
                  </w:r>
                  <w:r>
                    <w:rPr>
                      <w:rFonts w:hint="eastAsia" w:cs="Times New Roman"/>
                      <w:color w:val="auto"/>
                      <w:sz w:val="21"/>
                      <w:szCs w:val="21"/>
                      <w:lang w:val="en-US" w:eastAsia="zh-CN"/>
                    </w:rPr>
                    <w:t>京杭运河淮安段黄码港锚地工程</w:t>
                  </w:r>
                  <w:r>
                    <w:rPr>
                      <w:rFonts w:hint="default" w:ascii="Times New Roman" w:hAnsi="Times New Roman" w:eastAsia="宋体" w:cs="Times New Roman"/>
                      <w:kern w:val="0"/>
                      <w:sz w:val="21"/>
                      <w:szCs w:val="21"/>
                    </w:rPr>
                    <w:t>，清水通道维护区内包括</w:t>
                  </w:r>
                  <w:r>
                    <w:rPr>
                      <w:rFonts w:hint="default" w:ascii="Times New Roman" w:hAnsi="Times New Roman" w:eastAsia="宋体" w:cs="Times New Roman"/>
                      <w:kern w:val="0"/>
                      <w:sz w:val="21"/>
                      <w:szCs w:val="21"/>
                      <w:lang w:val="en-US" w:eastAsia="zh-CN"/>
                    </w:rPr>
                    <w:t>疏浚工程、锚地工程</w:t>
                  </w:r>
                  <w:r>
                    <w:rPr>
                      <w:rFonts w:hint="default" w:ascii="Times New Roman" w:hAnsi="Times New Roman" w:eastAsia="宋体" w:cs="Times New Roman"/>
                      <w:kern w:val="0"/>
                      <w:sz w:val="21"/>
                      <w:szCs w:val="21"/>
                    </w:rPr>
                    <w:t>，不会损坏堤防、护岸、闸坝等。</w:t>
                  </w:r>
                </w:p>
                <w:p w14:paraId="4C78F8EC">
                  <w:pPr>
                    <w:widowControl/>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本项目施工期、运营期加强固体废物管理，不向河道内倾倒、排放和堆放弃土、泥浆和垃圾等废弃物。</w:t>
                  </w:r>
                </w:p>
                <w:p w14:paraId="4F5BCE12">
                  <w:pPr>
                    <w:keepNext w:val="0"/>
                    <w:keepLines w:val="0"/>
                    <w:widowControl/>
                    <w:suppressLineNumbers w:val="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报告提出</w:t>
                  </w:r>
                  <w:r>
                    <w:rPr>
                      <w:rFonts w:hint="eastAsia" w:cs="Times New Roman"/>
                      <w:b w:val="0"/>
                      <w:bCs/>
                      <w:sz w:val="21"/>
                      <w:szCs w:val="21"/>
                      <w:lang w:eastAsia="zh-CN"/>
                    </w:rPr>
                    <w:t>船舶生活污水由具备相应作业资质的污水接收船接收处理，运送到岸上集中处理；船舶含油污水由当地交通运输部门认可的有资质的单位接收处理</w:t>
                  </w:r>
                  <w:r>
                    <w:rPr>
                      <w:rFonts w:hint="eastAsia" w:cs="Times New Roman"/>
                      <w:kern w:val="0"/>
                      <w:sz w:val="21"/>
                      <w:szCs w:val="21"/>
                      <w:lang w:val="en-US" w:eastAsia="zh-CN"/>
                    </w:rPr>
                    <w:t>，</w:t>
                  </w:r>
                  <w:r>
                    <w:rPr>
                      <w:rFonts w:hint="default" w:ascii="Times New Roman" w:hAnsi="Times New Roman" w:eastAsia="宋体" w:cs="Times New Roman"/>
                      <w:kern w:val="0"/>
                      <w:sz w:val="21"/>
                      <w:szCs w:val="21"/>
                      <w:lang w:val="en-US" w:eastAsia="zh-CN"/>
                    </w:rPr>
                    <w:t>不得排放至周边水域。</w:t>
                  </w:r>
                  <w:r>
                    <w:rPr>
                      <w:rFonts w:hint="eastAsia" w:cs="Times New Roman"/>
                      <w:b w:val="0"/>
                      <w:bCs/>
                      <w:sz w:val="21"/>
                      <w:szCs w:val="21"/>
                      <w:lang w:eastAsia="zh-CN"/>
                    </w:rPr>
                    <w:t>陆域生活污水接管市政污水管</w:t>
                  </w:r>
                  <w:r>
                    <w:rPr>
                      <w:rFonts w:hint="eastAsia" w:cs="Times New Roman"/>
                      <w:kern w:val="0"/>
                      <w:sz w:val="21"/>
                      <w:szCs w:val="21"/>
                      <w:lang w:val="en-US" w:eastAsia="zh-CN"/>
                    </w:rPr>
                    <w:t>网</w:t>
                  </w:r>
                  <w:r>
                    <w:rPr>
                      <w:rFonts w:hint="default" w:ascii="Times New Roman" w:hAnsi="Times New Roman" w:eastAsia="宋体" w:cs="Times New Roman"/>
                      <w:kern w:val="0"/>
                      <w:sz w:val="21"/>
                      <w:szCs w:val="21"/>
                      <w:lang w:val="en-US" w:eastAsia="zh-CN"/>
                    </w:rPr>
                    <w:t>。</w:t>
                  </w:r>
                </w:p>
                <w:p w14:paraId="59249CFF">
                  <w:pPr>
                    <w:widowControl/>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京杭大运河</w:t>
                  </w:r>
                  <w:r>
                    <w:rPr>
                      <w:rFonts w:hint="default" w:ascii="Times New Roman" w:hAnsi="Times New Roman" w:eastAsia="宋体" w:cs="Times New Roman"/>
                      <w:kern w:val="0"/>
                      <w:sz w:val="21"/>
                      <w:szCs w:val="21"/>
                    </w:rPr>
                    <w:t>航道具备行洪、排涝功能，本项目为</w:t>
                  </w:r>
                  <w:r>
                    <w:rPr>
                      <w:rFonts w:hint="eastAsia" w:cs="Times New Roman"/>
                      <w:color w:val="auto"/>
                      <w:sz w:val="21"/>
                      <w:szCs w:val="21"/>
                      <w:lang w:val="en-US" w:eastAsia="zh-CN"/>
                    </w:rPr>
                    <w:t>京杭运河淮安段黄码港锚地工程</w:t>
                  </w:r>
                  <w:r>
                    <w:rPr>
                      <w:rFonts w:hint="default" w:ascii="Times New Roman" w:hAnsi="Times New Roman" w:eastAsia="宋体" w:cs="Times New Roman"/>
                      <w:kern w:val="0"/>
                      <w:sz w:val="21"/>
                      <w:szCs w:val="21"/>
                    </w:rPr>
                    <w:t>，不属于侵占河道、危害防洪安全、影响河势稳定和破坏河道水环境的活动，</w:t>
                  </w:r>
                  <w:r>
                    <w:rPr>
                      <w:rFonts w:hint="default" w:ascii="Times New Roman" w:hAnsi="Times New Roman" w:eastAsia="宋体" w:cs="Times New Roman"/>
                      <w:kern w:val="0"/>
                      <w:sz w:val="21"/>
                      <w:szCs w:val="21"/>
                      <w:highlight w:val="none"/>
                    </w:rPr>
                    <w:t>其防洪评价报告</w:t>
                  </w:r>
                  <w:r>
                    <w:rPr>
                      <w:rFonts w:hint="eastAsia" w:cs="Times New Roman"/>
                      <w:kern w:val="0"/>
                      <w:sz w:val="21"/>
                      <w:szCs w:val="21"/>
                      <w:highlight w:val="none"/>
                      <w:lang w:val="en-US" w:eastAsia="zh-CN"/>
                    </w:rPr>
                    <w:t>已</w:t>
                  </w:r>
                  <w:r>
                    <w:rPr>
                      <w:rFonts w:hint="default" w:ascii="Times New Roman" w:hAnsi="Times New Roman" w:eastAsia="宋体" w:cs="Times New Roman"/>
                      <w:kern w:val="0"/>
                      <w:sz w:val="21"/>
                      <w:szCs w:val="21"/>
                      <w:highlight w:val="none"/>
                    </w:rPr>
                    <w:t>编制</w:t>
                  </w:r>
                  <w:r>
                    <w:rPr>
                      <w:rFonts w:hint="eastAsia" w:cs="Times New Roman"/>
                      <w:kern w:val="0"/>
                      <w:sz w:val="21"/>
                      <w:szCs w:val="21"/>
                      <w:highlight w:val="none"/>
                      <w:lang w:val="en-US" w:eastAsia="zh-CN"/>
                    </w:rPr>
                    <w:t>完成</w:t>
                  </w:r>
                  <w:r>
                    <w:rPr>
                      <w:rFonts w:hint="default" w:ascii="Times New Roman" w:hAnsi="Times New Roman" w:eastAsia="宋体" w:cs="Times New Roman"/>
                      <w:kern w:val="0"/>
                      <w:sz w:val="21"/>
                      <w:szCs w:val="21"/>
                      <w:highlight w:val="none"/>
                    </w:rPr>
                    <w:t>。</w:t>
                  </w:r>
                </w:p>
                <w:p w14:paraId="19C4EB9F">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本项目为</w:t>
                  </w:r>
                  <w:r>
                    <w:rPr>
                      <w:rFonts w:hint="eastAsia" w:cs="Times New Roman"/>
                      <w:color w:val="auto"/>
                      <w:sz w:val="21"/>
                      <w:szCs w:val="21"/>
                      <w:lang w:val="en-US" w:eastAsia="zh-CN"/>
                    </w:rPr>
                    <w:t>京杭运河淮安段黄码港锚地工程</w:t>
                  </w:r>
                  <w:r>
                    <w:rPr>
                      <w:rFonts w:hint="default" w:ascii="Times New Roman" w:hAnsi="Times New Roman" w:eastAsia="宋体" w:cs="Times New Roman"/>
                      <w:kern w:val="0"/>
                      <w:sz w:val="21"/>
                      <w:szCs w:val="21"/>
                    </w:rPr>
                    <w:t>，不会在堤防和护堤地建房、垦种、堆放物料等。</w:t>
                  </w:r>
                </w:p>
              </w:tc>
              <w:tc>
                <w:tcPr>
                  <w:tcW w:w="487" w:type="pct"/>
                  <w:tcBorders>
                    <w:tl2br w:val="nil"/>
                    <w:tr2bl w:val="nil"/>
                  </w:tcBorders>
                  <w:noWrap w:val="0"/>
                  <w:vAlign w:val="center"/>
                </w:tcPr>
                <w:p w14:paraId="3363C70E">
                  <w:pPr>
                    <w:widowControl/>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相符</w:t>
                  </w:r>
                </w:p>
              </w:tc>
            </w:tr>
          </w:tbl>
          <w:p w14:paraId="5B289BBC">
            <w:pPr>
              <w:spacing w:line="460" w:lineRule="exact"/>
              <w:ind w:firstLine="482" w:firstLineChars="200"/>
              <w:rPr>
                <w:rFonts w:hint="default" w:ascii="Times New Roman" w:hAnsi="Times New Roman" w:eastAsia="宋体" w:cs="Times New Roman"/>
                <w:b/>
                <w:sz w:val="24"/>
                <w:szCs w:val="24"/>
                <w:highlight w:val="none"/>
                <w:lang w:val="en-US" w:eastAsia="zh-CN" w:bidi="ar"/>
              </w:rPr>
            </w:pPr>
            <w:r>
              <w:rPr>
                <w:rFonts w:hint="eastAsia" w:ascii="Times New Roman" w:hAnsi="Times New Roman" w:eastAsia="宋体" w:cs="Times New Roman"/>
                <w:b/>
                <w:sz w:val="24"/>
                <w:szCs w:val="24"/>
                <w:highlight w:val="none"/>
                <w:lang w:val="en-US" w:eastAsia="zh-CN" w:bidi="ar"/>
              </w:rPr>
              <w:t>1.4</w:t>
            </w:r>
            <w:r>
              <w:rPr>
                <w:rFonts w:hint="eastAsia" w:eastAsia="宋体" w:cs="Times New Roman"/>
                <w:b/>
                <w:sz w:val="24"/>
                <w:szCs w:val="24"/>
                <w:highlight w:val="none"/>
                <w:lang w:val="en-US" w:eastAsia="zh-CN" w:bidi="ar"/>
              </w:rPr>
              <w:t xml:space="preserve"> </w:t>
            </w:r>
            <w:r>
              <w:rPr>
                <w:rFonts w:hint="default" w:ascii="Times New Roman" w:hAnsi="Times New Roman" w:eastAsia="宋体" w:cs="Times New Roman"/>
                <w:b/>
                <w:sz w:val="24"/>
                <w:szCs w:val="24"/>
                <w:highlight w:val="none"/>
                <w:lang w:val="en-US" w:eastAsia="zh-CN" w:bidi="ar"/>
              </w:rPr>
              <w:t>与《江苏省2023年度生态环境分区管控动态更新成果公告》相符性分析</w:t>
            </w:r>
          </w:p>
          <w:p w14:paraId="68ADEB51">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b w:val="0"/>
                <w:bCs/>
                <w:color w:val="auto"/>
                <w:kern w:val="2"/>
                <w:sz w:val="24"/>
                <w:szCs w:val="24"/>
                <w:highlight w:val="none"/>
                <w:lang w:val="en-US" w:eastAsia="zh-CN" w:bidi="ar"/>
              </w:rPr>
            </w:pPr>
            <w:r>
              <w:rPr>
                <w:rFonts w:hint="eastAsia" w:cs="Times New Roman"/>
                <w:b w:val="0"/>
                <w:bCs/>
                <w:sz w:val="24"/>
                <w:szCs w:val="24"/>
                <w:highlight w:val="none"/>
                <w:lang w:val="en-US" w:eastAsia="zh-CN" w:bidi="ar"/>
              </w:rPr>
              <w:t>根据</w:t>
            </w:r>
            <w:r>
              <w:rPr>
                <w:rFonts w:hint="default" w:ascii="Times New Roman" w:hAnsi="Times New Roman" w:eastAsia="宋体" w:cs="Times New Roman"/>
                <w:b w:val="0"/>
                <w:bCs/>
                <w:sz w:val="24"/>
                <w:szCs w:val="24"/>
                <w:highlight w:val="none"/>
                <w:lang w:val="en-US" w:eastAsia="zh-CN" w:bidi="ar"/>
              </w:rPr>
              <w:t>《江苏省2023年度生态环境分区管控动态更新成果公告》</w:t>
            </w:r>
            <w:r>
              <w:rPr>
                <w:rFonts w:hint="default" w:ascii="Times New Roman" w:hAnsi="Times New Roman" w:eastAsia="宋体" w:cs="Times New Roman"/>
                <w:color w:val="auto"/>
                <w:kern w:val="2"/>
                <w:sz w:val="24"/>
                <w:szCs w:val="24"/>
                <w:highlight w:val="none"/>
                <w:lang w:val="en-US" w:eastAsia="zh-CN" w:bidi="ar"/>
              </w:rPr>
              <w:t>，</w:t>
            </w:r>
            <w:r>
              <w:rPr>
                <w:rFonts w:hint="eastAsia" w:cs="Times New Roman"/>
                <w:b w:val="0"/>
                <w:bCs/>
                <w:sz w:val="24"/>
                <w:szCs w:val="24"/>
                <w:highlight w:val="none"/>
                <w:lang w:val="en-US" w:eastAsia="zh-CN" w:bidi="ar"/>
              </w:rPr>
              <w:t>查询结果如下所示</w:t>
            </w:r>
            <w:r>
              <w:rPr>
                <w:rFonts w:hint="default" w:ascii="Times New Roman" w:hAnsi="Times New Roman" w:eastAsia="宋体" w:cs="Times New Roman"/>
                <w:color w:val="auto"/>
                <w:kern w:val="2"/>
                <w:sz w:val="24"/>
                <w:szCs w:val="24"/>
                <w:highlight w:val="none"/>
                <w:lang w:val="en-US" w:eastAsia="zh-CN" w:bidi="ar"/>
              </w:rPr>
              <w:t>：</w:t>
            </w:r>
          </w:p>
          <w:p w14:paraId="44C5B282">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A8492ED">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0228BCD">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5E5899F">
            <w:pPr>
              <w:keepNext w:val="0"/>
              <w:keepLines w:val="0"/>
              <w:widowControl w:val="0"/>
              <w:suppressLineNumbers w:val="0"/>
              <w:spacing w:before="0" w:beforeAutospacing="0" w:after="0" w:afterAutospacing="0" w:line="500" w:lineRule="exact"/>
              <w:ind w:right="0"/>
              <w:jc w:val="both"/>
              <w:rPr>
                <w:rFonts w:hint="default" w:ascii="Times New Roman" w:hAnsi="Times New Roman" w:eastAsia="宋体" w:cs="Times New Roman"/>
                <w:color w:val="auto"/>
                <w:kern w:val="2"/>
                <w:sz w:val="24"/>
                <w:szCs w:val="24"/>
                <w:highlight w:val="none"/>
                <w:lang w:val="en-US" w:eastAsia="zh-CN" w:bidi="ar"/>
              </w:rPr>
            </w:pPr>
          </w:p>
          <w:p w14:paraId="3411CF6E">
            <w:pPr>
              <w:keepNext w:val="0"/>
              <w:keepLines w:val="0"/>
              <w:widowControl w:val="0"/>
              <w:suppressLineNumbers w:val="0"/>
              <w:spacing w:before="0" w:beforeAutospacing="0" w:after="0" w:afterAutospacing="0" w:line="500" w:lineRule="exact"/>
              <w:ind w:right="0"/>
              <w:jc w:val="both"/>
              <w:rPr>
                <w:rFonts w:hint="default" w:ascii="Times New Roman" w:hAnsi="Times New Roman" w:eastAsia="宋体" w:cs="Times New Roman"/>
                <w:color w:val="auto"/>
                <w:kern w:val="2"/>
                <w:sz w:val="24"/>
                <w:szCs w:val="24"/>
                <w:highlight w:val="none"/>
                <w:lang w:val="en-US" w:eastAsia="zh-CN" w:bidi="ar"/>
              </w:rPr>
            </w:pPr>
          </w:p>
          <w:p w14:paraId="6781190E">
            <w:pPr>
              <w:keepNext w:val="0"/>
              <w:keepLines w:val="0"/>
              <w:widowControl w:val="0"/>
              <w:suppressLineNumbers w:val="0"/>
              <w:spacing w:before="0" w:beforeAutospacing="0" w:after="0" w:afterAutospacing="0" w:line="500" w:lineRule="exact"/>
              <w:ind w:right="0"/>
              <w:jc w:val="both"/>
              <w:rPr>
                <w:rFonts w:hint="default" w:ascii="Times New Roman" w:hAnsi="Times New Roman" w:eastAsia="宋体" w:cs="Times New Roman"/>
                <w:color w:val="auto"/>
                <w:kern w:val="2"/>
                <w:sz w:val="24"/>
                <w:szCs w:val="24"/>
                <w:highlight w:val="none"/>
                <w:lang w:val="en-US" w:eastAsia="zh-CN" w:bidi="ar"/>
              </w:rPr>
            </w:pPr>
          </w:p>
          <w:p w14:paraId="63EF9D93">
            <w:pPr>
              <w:keepNext w:val="0"/>
              <w:keepLines w:val="0"/>
              <w:widowControl w:val="0"/>
              <w:suppressLineNumbers w:val="0"/>
              <w:spacing w:before="0" w:beforeAutospacing="0" w:after="0" w:afterAutospacing="0" w:line="500" w:lineRule="exact"/>
              <w:ind w:right="0"/>
              <w:jc w:val="both"/>
              <w:rPr>
                <w:rFonts w:hint="default" w:ascii="Times New Roman" w:hAnsi="Times New Roman" w:eastAsia="宋体" w:cs="Times New Roman"/>
                <w:color w:val="auto"/>
                <w:kern w:val="2"/>
                <w:sz w:val="24"/>
                <w:szCs w:val="24"/>
                <w:highlight w:val="none"/>
                <w:lang w:val="en-US" w:eastAsia="zh-CN" w:bidi="ar"/>
              </w:rPr>
            </w:pPr>
          </w:p>
          <w:p w14:paraId="56A11BDB">
            <w:pPr>
              <w:keepNext w:val="0"/>
              <w:keepLines w:val="0"/>
              <w:widowControl w:val="0"/>
              <w:suppressLineNumbers w:val="0"/>
              <w:spacing w:before="0" w:beforeAutospacing="0" w:after="0" w:afterAutospacing="0" w:line="500" w:lineRule="exact"/>
              <w:ind w:left="0" w:right="0" w:firstLine="420" w:firstLineChars="200"/>
              <w:jc w:val="both"/>
              <w:rPr>
                <w:rFonts w:hint="default" w:ascii="Times New Roman" w:hAnsi="Times New Roman" w:eastAsia="宋体" w:cs="Times New Roman"/>
                <w:color w:val="auto"/>
                <w:kern w:val="2"/>
                <w:sz w:val="24"/>
                <w:szCs w:val="24"/>
                <w:highlight w:val="none"/>
                <w:lang w:val="en-US" w:eastAsia="zh-CN" w:bidi="ar"/>
              </w:rPr>
            </w:pPr>
            <w:r>
              <w:drawing>
                <wp:anchor distT="0" distB="0" distL="114300" distR="114300" simplePos="0" relativeHeight="251672576" behindDoc="0" locked="0" layoutInCell="1" allowOverlap="1">
                  <wp:simplePos x="0" y="0"/>
                  <wp:positionH relativeFrom="column">
                    <wp:posOffset>-28575</wp:posOffset>
                  </wp:positionH>
                  <wp:positionV relativeFrom="paragraph">
                    <wp:posOffset>153670</wp:posOffset>
                  </wp:positionV>
                  <wp:extent cx="5523230" cy="6590030"/>
                  <wp:effectExtent l="0" t="0" r="1270" b="127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5523230" cy="6590030"/>
                          </a:xfrm>
                          <a:prstGeom prst="rect">
                            <a:avLst/>
                          </a:prstGeom>
                          <a:noFill/>
                          <a:ln>
                            <a:noFill/>
                          </a:ln>
                        </pic:spPr>
                      </pic:pic>
                    </a:graphicData>
                  </a:graphic>
                </wp:anchor>
              </w:drawing>
            </w:r>
          </w:p>
          <w:p w14:paraId="29E7C6EF">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BC70D8A">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D5AC37F">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30C9696B">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540529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7D0A294">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2697D63">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D1CDECE">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7C68C9F">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47CF354">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E607D5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3380F9C8">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604567A">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4A049E1">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48FFDBF">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0B787CC">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E21383E">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A18E374">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46A316F">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643BE4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38E9CAB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C083F24">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DA35D6A">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C26574F">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F31905A">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8339CCC">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B029811">
            <w:pPr>
              <w:keepNext w:val="0"/>
              <w:keepLines w:val="0"/>
              <w:widowControl w:val="0"/>
              <w:suppressLineNumbers w:val="0"/>
              <w:spacing w:before="0" w:beforeAutospacing="0" w:after="0" w:afterAutospacing="0" w:line="500" w:lineRule="exact"/>
              <w:ind w:left="0" w:right="0" w:firstLine="420" w:firstLineChars="200"/>
              <w:jc w:val="both"/>
              <w:rPr>
                <w:rFonts w:hint="default" w:ascii="Times New Roman" w:hAnsi="Times New Roman" w:eastAsia="宋体" w:cs="Times New Roman"/>
                <w:color w:val="auto"/>
                <w:kern w:val="2"/>
                <w:sz w:val="24"/>
                <w:szCs w:val="24"/>
                <w:highlight w:val="none"/>
                <w:lang w:val="en-US" w:eastAsia="zh-CN" w:bidi="ar"/>
              </w:rPr>
            </w:pPr>
            <w:r>
              <w:drawing>
                <wp:anchor distT="0" distB="0" distL="114300" distR="114300" simplePos="0" relativeHeight="251673600" behindDoc="0" locked="0" layoutInCell="1" allowOverlap="1">
                  <wp:simplePos x="0" y="0"/>
                  <wp:positionH relativeFrom="column">
                    <wp:posOffset>19050</wp:posOffset>
                  </wp:positionH>
                  <wp:positionV relativeFrom="paragraph">
                    <wp:posOffset>97790</wp:posOffset>
                  </wp:positionV>
                  <wp:extent cx="5520055" cy="6532245"/>
                  <wp:effectExtent l="0" t="0" r="4445" b="190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5520055" cy="6532245"/>
                          </a:xfrm>
                          <a:prstGeom prst="rect">
                            <a:avLst/>
                          </a:prstGeom>
                          <a:noFill/>
                          <a:ln>
                            <a:noFill/>
                          </a:ln>
                        </pic:spPr>
                      </pic:pic>
                    </a:graphicData>
                  </a:graphic>
                </wp:anchor>
              </w:drawing>
            </w:r>
          </w:p>
          <w:p w14:paraId="414E7C67">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48582C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0C1FB8D4">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247A3C8">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E59DA94">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1BBF76B">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03A189DD">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93BB5E6">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5484208">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526805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A1C6D23">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95AEAF6">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953173D">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19DCFC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E65159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E8BD554">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A1C7BB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CB0981E">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0B4BEEDE">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7823968">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9E13E52">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392A3D07">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049D4F2">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E4B63CB">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BE978D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4D684CD">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A11CD1F">
            <w:pPr>
              <w:keepNext w:val="0"/>
              <w:keepLines w:val="0"/>
              <w:widowControl w:val="0"/>
              <w:suppressLineNumbers w:val="0"/>
              <w:spacing w:before="0" w:beforeAutospacing="0" w:after="0" w:afterAutospacing="0" w:line="500" w:lineRule="exact"/>
              <w:ind w:left="0" w:right="0" w:firstLine="420" w:firstLineChars="200"/>
              <w:jc w:val="both"/>
              <w:rPr>
                <w:rFonts w:hint="default" w:ascii="Times New Roman" w:hAnsi="Times New Roman" w:eastAsia="宋体" w:cs="Times New Roman"/>
                <w:color w:val="auto"/>
                <w:kern w:val="2"/>
                <w:sz w:val="24"/>
                <w:szCs w:val="24"/>
                <w:highlight w:val="none"/>
                <w:lang w:val="en-US" w:eastAsia="zh-CN" w:bidi="ar"/>
              </w:rPr>
            </w:pPr>
            <w:r>
              <w:drawing>
                <wp:anchor distT="0" distB="0" distL="114300" distR="114300" simplePos="0" relativeHeight="251674624" behindDoc="0" locked="0" layoutInCell="1" allowOverlap="1">
                  <wp:simplePos x="0" y="0"/>
                  <wp:positionH relativeFrom="column">
                    <wp:posOffset>19050</wp:posOffset>
                  </wp:positionH>
                  <wp:positionV relativeFrom="paragraph">
                    <wp:posOffset>136525</wp:posOffset>
                  </wp:positionV>
                  <wp:extent cx="5521325" cy="6522720"/>
                  <wp:effectExtent l="0" t="0" r="3175" b="11430"/>
                  <wp:wrapNone/>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9"/>
                          <a:stretch>
                            <a:fillRect/>
                          </a:stretch>
                        </pic:blipFill>
                        <pic:spPr>
                          <a:xfrm>
                            <a:off x="0" y="0"/>
                            <a:ext cx="5521325" cy="6522720"/>
                          </a:xfrm>
                          <a:prstGeom prst="rect">
                            <a:avLst/>
                          </a:prstGeom>
                          <a:noFill/>
                          <a:ln>
                            <a:noFill/>
                          </a:ln>
                        </pic:spPr>
                      </pic:pic>
                    </a:graphicData>
                  </a:graphic>
                </wp:anchor>
              </w:drawing>
            </w:r>
          </w:p>
          <w:p w14:paraId="31C378DB">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90C5BC7">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3F4533DA">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F8C2621">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3003E261">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2B26739">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6A7A36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8836A0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47B7C2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A90D7E6">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AD0736E">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67D3BD9">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5B9D66E">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23FE9E2">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3F98B2B">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F3492BE">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1FC3D8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3DE44FEB">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79482EB">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0D10BD18">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956807D">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0BA721A3">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BFB68BD">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46595D6">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AE5B703">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FFFB573">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92CCE0F">
            <w:pPr>
              <w:keepNext w:val="0"/>
              <w:keepLines w:val="0"/>
              <w:widowControl w:val="0"/>
              <w:suppressLineNumbers w:val="0"/>
              <w:spacing w:before="0" w:beforeAutospacing="0" w:after="0" w:afterAutospacing="0" w:line="500" w:lineRule="exact"/>
              <w:ind w:left="0" w:right="0" w:firstLine="420" w:firstLineChars="200"/>
              <w:jc w:val="both"/>
              <w:rPr>
                <w:rFonts w:hint="default" w:ascii="Times New Roman" w:hAnsi="Times New Roman" w:eastAsia="宋体" w:cs="Times New Roman"/>
                <w:color w:val="auto"/>
                <w:kern w:val="2"/>
                <w:sz w:val="24"/>
                <w:szCs w:val="24"/>
                <w:highlight w:val="none"/>
                <w:lang w:val="en-US" w:eastAsia="zh-CN" w:bidi="ar"/>
              </w:rPr>
            </w:pPr>
            <w:r>
              <w:drawing>
                <wp:anchor distT="0" distB="0" distL="114300" distR="114300" simplePos="0" relativeHeight="251675648" behindDoc="0" locked="0" layoutInCell="1" allowOverlap="1">
                  <wp:simplePos x="0" y="0"/>
                  <wp:positionH relativeFrom="column">
                    <wp:posOffset>-28575</wp:posOffset>
                  </wp:positionH>
                  <wp:positionV relativeFrom="paragraph">
                    <wp:posOffset>95250</wp:posOffset>
                  </wp:positionV>
                  <wp:extent cx="5525770" cy="6475730"/>
                  <wp:effectExtent l="0" t="0" r="17780" b="1270"/>
                  <wp:wrapNone/>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tretch>
                            <a:fillRect/>
                          </a:stretch>
                        </pic:blipFill>
                        <pic:spPr>
                          <a:xfrm>
                            <a:off x="0" y="0"/>
                            <a:ext cx="5525770" cy="6475730"/>
                          </a:xfrm>
                          <a:prstGeom prst="rect">
                            <a:avLst/>
                          </a:prstGeom>
                          <a:noFill/>
                          <a:ln>
                            <a:noFill/>
                          </a:ln>
                        </pic:spPr>
                      </pic:pic>
                    </a:graphicData>
                  </a:graphic>
                </wp:anchor>
              </w:drawing>
            </w:r>
          </w:p>
          <w:p w14:paraId="48567F93">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033153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055B289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B5D7BE1">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7DDE29F">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0C46F23">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6333F01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C5B4A81">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18C8DAF">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0CDB45CA">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E2C3186">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03B0681">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F2908ED">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7C53E0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4F0C365">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5A7060A">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3D2D0D4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5D0B49E">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3FA92C27">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907175E">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579FD75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7ED35327">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456303EE">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2C509CF0">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11BA3B83">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p>
          <w:p w14:paraId="31F8D15F">
            <w:pPr>
              <w:keepNext w:val="0"/>
              <w:keepLines w:val="0"/>
              <w:widowControl w:val="0"/>
              <w:suppressLineNumbers w:val="0"/>
              <w:spacing w:before="0" w:beforeAutospacing="0" w:after="0" w:afterAutospacing="0" w:line="500" w:lineRule="exact"/>
              <w:ind w:right="0"/>
              <w:jc w:val="both"/>
              <w:rPr>
                <w:rFonts w:hint="default" w:ascii="Times New Roman" w:hAnsi="Times New Roman" w:eastAsia="宋体" w:cs="Times New Roman"/>
                <w:color w:val="auto"/>
                <w:kern w:val="2"/>
                <w:sz w:val="24"/>
                <w:szCs w:val="24"/>
                <w:highlight w:val="none"/>
                <w:lang w:val="en-US" w:eastAsia="zh-CN" w:bidi="ar"/>
              </w:rPr>
            </w:pPr>
          </w:p>
          <w:p w14:paraId="2A40DD69">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本项目</w:t>
            </w:r>
            <w:r>
              <w:rPr>
                <w:rFonts w:hint="eastAsia" w:eastAsia="宋体" w:cs="Times New Roman"/>
                <w:color w:val="auto"/>
                <w:kern w:val="2"/>
                <w:sz w:val="24"/>
                <w:szCs w:val="24"/>
                <w:highlight w:val="none"/>
                <w:lang w:val="en-US" w:eastAsia="zh-CN" w:bidi="ar"/>
              </w:rPr>
              <w:t>南港疏浚段和新建锚地段分别</w:t>
            </w:r>
            <w:r>
              <w:rPr>
                <w:rFonts w:hint="default" w:ascii="Times New Roman" w:hAnsi="Times New Roman" w:eastAsia="宋体" w:cs="Times New Roman"/>
                <w:color w:val="auto"/>
                <w:kern w:val="2"/>
                <w:sz w:val="24"/>
                <w:szCs w:val="24"/>
                <w:highlight w:val="none"/>
                <w:lang w:val="en-US" w:eastAsia="zh-CN" w:bidi="ar"/>
              </w:rPr>
              <w:t>位于“江苏省生态环境分区管控综合服务”系统中</w:t>
            </w:r>
            <w:r>
              <w:rPr>
                <w:rFonts w:hint="eastAsia" w:eastAsia="宋体" w:cs="Times New Roman"/>
                <w:color w:val="auto"/>
                <w:kern w:val="2"/>
                <w:sz w:val="24"/>
                <w:szCs w:val="24"/>
                <w:highlight w:val="none"/>
                <w:lang w:val="en-US" w:eastAsia="zh-CN" w:bidi="ar"/>
              </w:rPr>
              <w:t>优先保护</w:t>
            </w:r>
            <w:r>
              <w:rPr>
                <w:rFonts w:hint="default" w:ascii="Times New Roman" w:hAnsi="Times New Roman" w:eastAsia="宋体" w:cs="Times New Roman"/>
                <w:color w:val="auto"/>
                <w:kern w:val="2"/>
                <w:sz w:val="24"/>
                <w:szCs w:val="24"/>
                <w:highlight w:val="none"/>
                <w:lang w:val="en-US" w:eastAsia="zh-CN" w:bidi="ar"/>
              </w:rPr>
              <w:t>单元京杭大运河（淮安市区）清水通道维护区内</w:t>
            </w:r>
            <w:r>
              <w:rPr>
                <w:rFonts w:hint="eastAsia"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京杭大运河（淮安区）清水通道维护区</w:t>
            </w:r>
            <w:r>
              <w:rPr>
                <w:rFonts w:hint="eastAsia" w:eastAsia="宋体" w:cs="Times New Roman"/>
                <w:color w:val="auto"/>
                <w:kern w:val="2"/>
                <w:sz w:val="24"/>
                <w:szCs w:val="24"/>
                <w:highlight w:val="none"/>
                <w:lang w:val="en-US" w:eastAsia="zh-CN" w:bidi="ar"/>
              </w:rPr>
              <w:t>，属于淮河流域。</w:t>
            </w:r>
            <w:r>
              <w:rPr>
                <w:rFonts w:hint="default" w:ascii="Times New Roman" w:hAnsi="Times New Roman" w:eastAsia="宋体" w:cs="Times New Roman"/>
                <w:color w:val="auto"/>
                <w:kern w:val="2"/>
                <w:sz w:val="24"/>
                <w:szCs w:val="24"/>
                <w:highlight w:val="none"/>
                <w:lang w:val="en-US" w:eastAsia="zh-CN" w:bidi="ar"/>
              </w:rPr>
              <w:t>对照《江苏省2023年度生态环境分区管控动态更新成果公告》（附件3 江苏省生态环境分区管控总体要求）对</w:t>
            </w:r>
            <w:r>
              <w:rPr>
                <w:rFonts w:hint="eastAsia" w:eastAsia="宋体" w:cs="Times New Roman"/>
                <w:color w:val="auto"/>
                <w:kern w:val="2"/>
                <w:sz w:val="24"/>
                <w:szCs w:val="24"/>
                <w:highlight w:val="none"/>
                <w:lang w:val="en-US" w:eastAsia="zh-CN" w:bidi="ar"/>
              </w:rPr>
              <w:t>淮河</w:t>
            </w:r>
            <w:r>
              <w:rPr>
                <w:rFonts w:hint="default" w:ascii="Times New Roman" w:hAnsi="Times New Roman" w:eastAsia="宋体" w:cs="Times New Roman"/>
                <w:color w:val="auto"/>
                <w:kern w:val="2"/>
                <w:sz w:val="24"/>
                <w:szCs w:val="24"/>
                <w:highlight w:val="none"/>
                <w:lang w:val="en-US" w:eastAsia="zh-CN" w:bidi="ar"/>
              </w:rPr>
              <w:t>流域的重点管控要求，以及“江苏省生态环境分区管控综合服务”系统中京杭大运河（淮安市区）清水通道维护区内</w:t>
            </w:r>
            <w:r>
              <w:rPr>
                <w:rFonts w:hint="eastAsia"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京杭大运河（淮安区）清水通道维护区</w:t>
            </w:r>
            <w:r>
              <w:rPr>
                <w:rFonts w:hint="eastAsia" w:eastAsia="宋体" w:cs="Times New Roman"/>
                <w:color w:val="auto"/>
                <w:kern w:val="2"/>
                <w:sz w:val="24"/>
                <w:szCs w:val="24"/>
                <w:highlight w:val="none"/>
                <w:lang w:val="en-US" w:eastAsia="zh-CN" w:bidi="ar"/>
              </w:rPr>
              <w:t>优先保护</w:t>
            </w:r>
            <w:r>
              <w:rPr>
                <w:rFonts w:hint="default" w:ascii="Times New Roman" w:hAnsi="Times New Roman" w:eastAsia="宋体" w:cs="Times New Roman"/>
                <w:color w:val="auto"/>
                <w:kern w:val="2"/>
                <w:sz w:val="24"/>
                <w:szCs w:val="24"/>
                <w:highlight w:val="none"/>
                <w:lang w:val="en-US" w:eastAsia="zh-CN" w:bidi="ar"/>
              </w:rPr>
              <w:t>单元生态环境准入清单要求，分析如下：</w:t>
            </w:r>
          </w:p>
          <w:p w14:paraId="320B94F9">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kern w:val="2"/>
                <w:sz w:val="24"/>
                <w:szCs w:val="24"/>
                <w:lang w:val="en-US" w:eastAsia="zh-CN" w:bidi="ar-SA"/>
              </w:rPr>
              <w:t>为充分论证项目涉及生态空间管控区域的必要性以及项目为符合生态空间管控区域内允许对生态功能不造成破坏的有限人为活动，以支撑项目合法合规建设，</w:t>
            </w:r>
            <w:r>
              <w:rPr>
                <w:rFonts w:hint="eastAsia" w:eastAsia="宋体" w:cs="Times New Roman"/>
                <w:kern w:val="2"/>
                <w:sz w:val="24"/>
                <w:szCs w:val="24"/>
                <w:lang w:val="en-US" w:eastAsia="zh-CN" w:bidi="ar-SA"/>
              </w:rPr>
              <w:t>建设单位</w:t>
            </w:r>
            <w:r>
              <w:rPr>
                <w:rFonts w:hint="default" w:ascii="Times New Roman" w:hAnsi="Times New Roman" w:eastAsia="宋体" w:cs="Times New Roman"/>
                <w:kern w:val="2"/>
                <w:sz w:val="24"/>
                <w:szCs w:val="24"/>
                <w:lang w:val="en-US" w:eastAsia="zh-CN" w:bidi="ar-SA"/>
              </w:rPr>
              <w:t>组织编制了《京杭运河淮安段黄码港锚地建设工程符合生态空间管控区域有限人为活动论证报告</w:t>
            </w:r>
            <w:r>
              <w:rPr>
                <w:rFonts w:hint="eastAsia" w:eastAsia="宋体" w:cs="Times New Roman"/>
                <w:kern w:val="2"/>
                <w:sz w:val="24"/>
                <w:szCs w:val="24"/>
                <w:lang w:val="en-US" w:eastAsia="zh-CN" w:bidi="ar-SA"/>
              </w:rPr>
              <w:t>》，并于2024年5月21日取得专家评审意见（具体见附件10）</w:t>
            </w:r>
          </w:p>
          <w:p w14:paraId="1CC5A199">
            <w:pPr>
              <w:spacing w:line="480" w:lineRule="exact"/>
              <w:jc w:val="center"/>
              <w:rPr>
                <w:rFonts w:hint="default" w:ascii="Times New Roman" w:hAnsi="Times New Roman" w:eastAsia="宋体" w:cs="Times New Roman"/>
                <w:b/>
                <w:bCs/>
                <w:sz w:val="24"/>
                <w:szCs w:val="21"/>
                <w:highlight w:val="none"/>
                <w:lang w:val="en-US" w:eastAsia="zh-CN"/>
              </w:rPr>
            </w:pPr>
            <w:r>
              <w:rPr>
                <w:rFonts w:hint="default" w:ascii="Times New Roman" w:hAnsi="Times New Roman" w:eastAsia="宋体" w:cs="Times New Roman"/>
                <w:b/>
                <w:bCs/>
                <w:sz w:val="24"/>
                <w:szCs w:val="21"/>
                <w:highlight w:val="none"/>
                <w:lang w:val="en-US" w:eastAsia="zh-CN"/>
              </w:rPr>
              <w:t>表1.4-1  项目与江苏省2023年度生态环境分区管控动态更新成果公告相符性分析</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65"/>
              <w:gridCol w:w="881"/>
              <w:gridCol w:w="3844"/>
              <w:gridCol w:w="2413"/>
            </w:tblGrid>
            <w:tr w14:paraId="5A90A3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tcBorders>
                    <w:tl2br w:val="nil"/>
                    <w:tr2bl w:val="nil"/>
                  </w:tcBorders>
                  <w:noWrap w:val="0"/>
                  <w:vAlign w:val="center"/>
                </w:tcPr>
                <w:p w14:paraId="374FF3DB">
                  <w:pPr>
                    <w:tabs>
                      <w:tab w:val="left" w:pos="826"/>
                    </w:tabs>
                    <w:jc w:val="center"/>
                    <w:rPr>
                      <w:rFonts w:hint="eastAsia" w:ascii="Times New Roman" w:hAnsi="Times New Roman" w:eastAsia="宋体" w:cs="Times New Roman"/>
                      <w:b/>
                      <w:sz w:val="21"/>
                      <w:szCs w:val="21"/>
                      <w:highlight w:val="none"/>
                      <w:lang w:eastAsia="zh-CN"/>
                    </w:rPr>
                  </w:pPr>
                  <w:r>
                    <w:rPr>
                      <w:rFonts w:hint="eastAsia" w:cs="Times New Roman"/>
                      <w:b/>
                      <w:sz w:val="21"/>
                      <w:szCs w:val="21"/>
                      <w:highlight w:val="none"/>
                      <w:lang w:val="en-US" w:eastAsia="zh-CN"/>
                    </w:rPr>
                    <w:t>类别</w:t>
                  </w:r>
                </w:p>
              </w:tc>
              <w:tc>
                <w:tcPr>
                  <w:tcW w:w="2714" w:type="pct"/>
                  <w:gridSpan w:val="2"/>
                  <w:tcBorders>
                    <w:tl2br w:val="nil"/>
                    <w:tr2bl w:val="nil"/>
                  </w:tcBorders>
                  <w:noWrap w:val="0"/>
                  <w:vAlign w:val="center"/>
                </w:tcPr>
                <w:p w14:paraId="10605704">
                  <w:pPr>
                    <w:tabs>
                      <w:tab w:val="left" w:pos="826"/>
                    </w:tabs>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准入清单</w:t>
                  </w:r>
                </w:p>
              </w:tc>
              <w:tc>
                <w:tcPr>
                  <w:tcW w:w="1386" w:type="pct"/>
                  <w:tcBorders>
                    <w:tl2br w:val="nil"/>
                    <w:tr2bl w:val="nil"/>
                  </w:tcBorders>
                  <w:noWrap w:val="0"/>
                  <w:vAlign w:val="center"/>
                </w:tcPr>
                <w:p w14:paraId="5585D1A6">
                  <w:pPr>
                    <w:tabs>
                      <w:tab w:val="left" w:pos="826"/>
                    </w:tabs>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相符性</w:t>
                  </w:r>
                </w:p>
              </w:tc>
            </w:tr>
            <w:tr w14:paraId="50A079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2" w:hRule="atLeast"/>
                <w:jc w:val="center"/>
              </w:trPr>
              <w:tc>
                <w:tcPr>
                  <w:tcW w:w="899" w:type="pct"/>
                  <w:vMerge w:val="restart"/>
                  <w:tcBorders>
                    <w:tl2br w:val="nil"/>
                    <w:tr2bl w:val="nil"/>
                  </w:tcBorders>
                  <w:noWrap w:val="0"/>
                  <w:vAlign w:val="center"/>
                </w:tcPr>
                <w:p w14:paraId="3F789D82">
                  <w:pPr>
                    <w:tabs>
                      <w:tab w:val="left" w:pos="826"/>
                    </w:tabs>
                    <w:jc w:val="center"/>
                    <w:rPr>
                      <w:rFonts w:hint="eastAsia"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淮河流域</w:t>
                  </w:r>
                </w:p>
              </w:tc>
              <w:tc>
                <w:tcPr>
                  <w:tcW w:w="506" w:type="pct"/>
                  <w:tcBorders>
                    <w:tl2br w:val="nil"/>
                    <w:tr2bl w:val="nil"/>
                  </w:tcBorders>
                  <w:noWrap w:val="0"/>
                  <w:vAlign w:val="center"/>
                </w:tcPr>
                <w:p w14:paraId="02722BD5">
                  <w:pPr>
                    <w:tabs>
                      <w:tab w:val="left" w:pos="826"/>
                    </w:tabs>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空间布局约束</w:t>
                  </w:r>
                </w:p>
              </w:tc>
              <w:tc>
                <w:tcPr>
                  <w:tcW w:w="2208" w:type="pct"/>
                  <w:tcBorders>
                    <w:tl2br w:val="nil"/>
                    <w:tr2bl w:val="nil"/>
                  </w:tcBorders>
                  <w:noWrap w:val="0"/>
                  <w:vAlign w:val="center"/>
                </w:tcPr>
                <w:p w14:paraId="5F025C9D">
                  <w:pPr>
                    <w:numPr>
                      <w:ilvl w:val="0"/>
                      <w:numId w:val="0"/>
                    </w:num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lang w:val="en-US" w:eastAsia="zh-CN" w:bidi="ar-SA"/>
                    </w:rPr>
                    <w:t>1．</w:t>
                  </w:r>
                  <w:r>
                    <w:rPr>
                      <w:rFonts w:hint="default" w:ascii="Times New Roman" w:hAnsi="Times New Roman" w:eastAsia="宋体" w:cs="Times New Roman"/>
                      <w:bCs/>
                      <w:kern w:val="0"/>
                      <w:sz w:val="21"/>
                      <w:szCs w:val="21"/>
                      <w:highlight w:val="none"/>
                    </w:rPr>
                    <w:t>禁止在淮河流域新建化学制浆造纸企业，禁止在淮河流域新建制革、化工、印染、电镀、酿造等污染严重的小型企业。</w:t>
                  </w:r>
                </w:p>
                <w:p w14:paraId="1B83702A">
                  <w:pPr>
                    <w:numPr>
                      <w:ilvl w:val="0"/>
                      <w:numId w:val="0"/>
                    </w:numPr>
                    <w:tabs>
                      <w:tab w:val="left" w:pos="826"/>
                    </w:tabs>
                    <w:jc w:val="left"/>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bCs/>
                      <w:kern w:val="0"/>
                      <w:sz w:val="21"/>
                      <w:szCs w:val="21"/>
                      <w:highlight w:val="none"/>
                      <w:lang w:val="en-US" w:eastAsia="zh-CN" w:bidi="ar-SA"/>
                    </w:rPr>
                    <w:t>2．</w:t>
                  </w:r>
                  <w:r>
                    <w:rPr>
                      <w:rFonts w:hint="default" w:ascii="Times New Roman" w:hAnsi="Times New Roman" w:eastAsia="宋体" w:cs="Times New Roman"/>
                      <w:bCs/>
                      <w:kern w:val="0"/>
                      <w:sz w:val="21"/>
                      <w:szCs w:val="21"/>
                      <w:highlight w:val="none"/>
                    </w:rPr>
                    <w:t>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p w14:paraId="34FD80A2">
                  <w:pPr>
                    <w:numPr>
                      <w:ilvl w:val="0"/>
                      <w:numId w:val="0"/>
                    </w:numPr>
                    <w:tabs>
                      <w:tab w:val="left" w:pos="826"/>
                    </w:tabs>
                    <w:jc w:val="left"/>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bCs/>
                      <w:kern w:val="0"/>
                      <w:sz w:val="21"/>
                      <w:szCs w:val="21"/>
                      <w:highlight w:val="none"/>
                      <w:lang w:val="en-US" w:eastAsia="zh-CN" w:bidi="ar-SA"/>
                    </w:rPr>
                    <w:t>3．</w:t>
                  </w:r>
                  <w:r>
                    <w:rPr>
                      <w:rFonts w:hint="default" w:ascii="Times New Roman" w:hAnsi="Times New Roman" w:eastAsia="宋体" w:cs="Times New Roman"/>
                      <w:bCs/>
                      <w:kern w:val="0"/>
                      <w:sz w:val="21"/>
                      <w:szCs w:val="21"/>
                      <w:highlight w:val="none"/>
                    </w:rPr>
                    <w:t>在通榆河一级保护区，禁止新建、扩建直接或者间接向水体排放污染物的项目，禁止建设工业固体废物集中贮存、利用、处置设施或者场所以及城市生活垃圾填埋场，禁止新建规模化畜禽养殖场。</w:t>
                  </w:r>
                </w:p>
              </w:tc>
              <w:tc>
                <w:tcPr>
                  <w:tcW w:w="1386" w:type="pct"/>
                  <w:tcBorders>
                    <w:tl2br w:val="nil"/>
                    <w:tr2bl w:val="nil"/>
                  </w:tcBorders>
                  <w:noWrap w:val="0"/>
                  <w:vAlign w:val="center"/>
                </w:tcPr>
                <w:p w14:paraId="2B5633B4">
                  <w:pPr>
                    <w:numPr>
                      <w:ilvl w:val="0"/>
                      <w:numId w:val="0"/>
                    </w:numPr>
                    <w:tabs>
                      <w:tab w:val="left" w:pos="826"/>
                    </w:tabs>
                    <w:jc w:val="center"/>
                    <w:rPr>
                      <w:rFonts w:hint="eastAsia"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不涉及</w:t>
                  </w:r>
                  <w:r>
                    <w:rPr>
                      <w:rFonts w:hint="eastAsia" w:eastAsia="宋体" w:cs="Times New Roman"/>
                      <w:bCs/>
                      <w:kern w:val="0"/>
                      <w:sz w:val="21"/>
                      <w:szCs w:val="21"/>
                      <w:highlight w:val="none"/>
                      <w:lang w:val="en-US" w:eastAsia="zh-CN"/>
                    </w:rPr>
                    <w:t>。</w:t>
                  </w:r>
                </w:p>
              </w:tc>
            </w:tr>
            <w:tr w14:paraId="2772C3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2" w:hRule="atLeast"/>
                <w:jc w:val="center"/>
              </w:trPr>
              <w:tc>
                <w:tcPr>
                  <w:tcW w:w="899" w:type="pct"/>
                  <w:vMerge w:val="continue"/>
                  <w:tcBorders>
                    <w:tl2br w:val="nil"/>
                    <w:tr2bl w:val="nil"/>
                  </w:tcBorders>
                  <w:noWrap w:val="0"/>
                  <w:vAlign w:val="center"/>
                </w:tcPr>
                <w:p w14:paraId="0F339901">
                  <w:pPr>
                    <w:tabs>
                      <w:tab w:val="left" w:pos="826"/>
                    </w:tabs>
                    <w:jc w:val="left"/>
                    <w:rPr>
                      <w:rFonts w:hint="default" w:ascii="Times New Roman" w:hAnsi="Times New Roman" w:eastAsia="宋体" w:cs="Times New Roman"/>
                      <w:bCs/>
                      <w:kern w:val="0"/>
                      <w:sz w:val="21"/>
                      <w:szCs w:val="21"/>
                      <w:highlight w:val="none"/>
                    </w:rPr>
                  </w:pPr>
                </w:p>
              </w:tc>
              <w:tc>
                <w:tcPr>
                  <w:tcW w:w="506" w:type="pct"/>
                  <w:tcBorders>
                    <w:tl2br w:val="nil"/>
                    <w:tr2bl w:val="nil"/>
                  </w:tcBorders>
                  <w:noWrap w:val="0"/>
                  <w:vAlign w:val="center"/>
                </w:tcPr>
                <w:p w14:paraId="4490DE63">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污染物排放管控</w:t>
                  </w:r>
                </w:p>
              </w:tc>
              <w:tc>
                <w:tcPr>
                  <w:tcW w:w="2208" w:type="pct"/>
                  <w:tcBorders>
                    <w:tl2br w:val="nil"/>
                    <w:tr2bl w:val="nil"/>
                  </w:tcBorders>
                  <w:noWrap w:val="0"/>
                  <w:vAlign w:val="center"/>
                </w:tcPr>
                <w:p w14:paraId="35820258">
                  <w:pPr>
                    <w:numPr>
                      <w:ilvl w:val="0"/>
                      <w:numId w:val="0"/>
                    </w:num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按照《淮河流域水污染防治暂行条例》实施排污总量控制制度。</w:t>
                  </w:r>
                </w:p>
              </w:tc>
              <w:tc>
                <w:tcPr>
                  <w:tcW w:w="1386" w:type="pct"/>
                  <w:tcBorders>
                    <w:tl2br w:val="nil"/>
                    <w:tr2bl w:val="nil"/>
                  </w:tcBorders>
                  <w:noWrap w:val="0"/>
                  <w:vAlign w:val="center"/>
                </w:tcPr>
                <w:p w14:paraId="75DCD317">
                  <w:pPr>
                    <w:tabs>
                      <w:tab w:val="left" w:pos="826"/>
                    </w:tabs>
                    <w:jc w:val="both"/>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相符。</w:t>
                  </w:r>
                </w:p>
                <w:p w14:paraId="4BC2045E">
                  <w:pPr>
                    <w:numPr>
                      <w:ilvl w:val="0"/>
                      <w:numId w:val="0"/>
                    </w:numPr>
                    <w:tabs>
                      <w:tab w:val="left" w:pos="826"/>
                    </w:tabs>
                    <w:jc w:val="left"/>
                    <w:rPr>
                      <w:rFonts w:hint="eastAsia"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本项目废水包括停泊船舶的含油污水、人员的生活污水和初期雨水，施工期和运营期</w:t>
                  </w:r>
                  <w:r>
                    <w:rPr>
                      <w:rFonts w:hint="default" w:ascii="Times New Roman" w:hAnsi="Times New Roman" w:eastAsia="宋体" w:cs="Times New Roman"/>
                      <w:bCs/>
                      <w:kern w:val="0"/>
                      <w:sz w:val="21"/>
                      <w:szCs w:val="21"/>
                      <w:highlight w:val="none"/>
                    </w:rPr>
                    <w:t>各</w:t>
                  </w:r>
                  <w:r>
                    <w:rPr>
                      <w:rFonts w:hint="eastAsia" w:ascii="Times New Roman" w:hAnsi="Times New Roman" w:eastAsia="宋体" w:cs="Times New Roman"/>
                      <w:bCs/>
                      <w:kern w:val="0"/>
                      <w:sz w:val="21"/>
                      <w:szCs w:val="21"/>
                      <w:highlight w:val="none"/>
                    </w:rPr>
                    <w:t>废水</w:t>
                  </w:r>
                  <w:r>
                    <w:rPr>
                      <w:rFonts w:hint="default" w:ascii="Times New Roman" w:hAnsi="Times New Roman" w:eastAsia="宋体" w:cs="Times New Roman"/>
                      <w:bCs/>
                      <w:kern w:val="0"/>
                      <w:sz w:val="21"/>
                      <w:szCs w:val="21"/>
                      <w:highlight w:val="none"/>
                    </w:rPr>
                    <w:t>均得到有效处理处置，对</w:t>
                  </w:r>
                  <w:r>
                    <w:rPr>
                      <w:rFonts w:hint="eastAsia" w:ascii="Times New Roman" w:hAnsi="Times New Roman" w:eastAsia="宋体" w:cs="Times New Roman"/>
                      <w:bCs/>
                      <w:kern w:val="0"/>
                      <w:sz w:val="21"/>
                      <w:szCs w:val="21"/>
                      <w:highlight w:val="none"/>
                    </w:rPr>
                    <w:t>水环境</w:t>
                  </w:r>
                  <w:r>
                    <w:rPr>
                      <w:rFonts w:hint="default" w:ascii="Times New Roman" w:hAnsi="Times New Roman" w:eastAsia="宋体" w:cs="Times New Roman"/>
                      <w:bCs/>
                      <w:kern w:val="0"/>
                      <w:sz w:val="21"/>
                      <w:szCs w:val="21"/>
                      <w:highlight w:val="none"/>
                    </w:rPr>
                    <w:t>产生影响</w:t>
                  </w:r>
                  <w:r>
                    <w:rPr>
                      <w:rFonts w:hint="eastAsia" w:ascii="Times New Roman" w:hAnsi="Times New Roman" w:eastAsia="宋体" w:cs="Times New Roman"/>
                      <w:bCs/>
                      <w:kern w:val="0"/>
                      <w:sz w:val="21"/>
                      <w:szCs w:val="21"/>
                      <w:highlight w:val="none"/>
                    </w:rPr>
                    <w:t>较小</w:t>
                  </w:r>
                  <w:r>
                    <w:rPr>
                      <w:rFonts w:hint="default" w:ascii="Times New Roman" w:hAnsi="Times New Roman" w:eastAsia="宋体" w:cs="Times New Roman"/>
                      <w:bCs/>
                      <w:kern w:val="0"/>
                      <w:sz w:val="21"/>
                      <w:szCs w:val="21"/>
                      <w:highlight w:val="none"/>
                    </w:rPr>
                    <w:t>。</w:t>
                  </w:r>
                </w:p>
              </w:tc>
            </w:tr>
            <w:tr w14:paraId="1274A4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2" w:hRule="atLeast"/>
                <w:jc w:val="center"/>
              </w:trPr>
              <w:tc>
                <w:tcPr>
                  <w:tcW w:w="899" w:type="pct"/>
                  <w:vMerge w:val="continue"/>
                  <w:tcBorders>
                    <w:tl2br w:val="nil"/>
                    <w:tr2bl w:val="nil"/>
                  </w:tcBorders>
                  <w:noWrap w:val="0"/>
                  <w:vAlign w:val="center"/>
                </w:tcPr>
                <w:p w14:paraId="3978DC30">
                  <w:pPr>
                    <w:tabs>
                      <w:tab w:val="left" w:pos="826"/>
                    </w:tabs>
                    <w:jc w:val="left"/>
                    <w:rPr>
                      <w:rFonts w:hint="default" w:ascii="Times New Roman" w:hAnsi="Times New Roman" w:eastAsia="宋体" w:cs="Times New Roman"/>
                      <w:bCs/>
                      <w:kern w:val="0"/>
                      <w:sz w:val="21"/>
                      <w:szCs w:val="21"/>
                      <w:highlight w:val="none"/>
                    </w:rPr>
                  </w:pPr>
                </w:p>
              </w:tc>
              <w:tc>
                <w:tcPr>
                  <w:tcW w:w="506" w:type="pct"/>
                  <w:tcBorders>
                    <w:tl2br w:val="nil"/>
                    <w:tr2bl w:val="nil"/>
                  </w:tcBorders>
                  <w:noWrap w:val="0"/>
                  <w:vAlign w:val="center"/>
                </w:tcPr>
                <w:p w14:paraId="25C0E327">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环境风险防控</w:t>
                  </w:r>
                </w:p>
              </w:tc>
              <w:tc>
                <w:tcPr>
                  <w:tcW w:w="2208" w:type="pct"/>
                  <w:tcBorders>
                    <w:tl2br w:val="nil"/>
                    <w:tr2bl w:val="nil"/>
                  </w:tcBorders>
                  <w:noWrap w:val="0"/>
                  <w:vAlign w:val="center"/>
                </w:tcPr>
                <w:p w14:paraId="7E82F8A0">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禁止运输剧毒化学品以及国家规定禁止通过内河运输的其他危险化学品的船舶进入通榆河及主要供水河道。</w:t>
                  </w:r>
                </w:p>
              </w:tc>
              <w:tc>
                <w:tcPr>
                  <w:tcW w:w="1386" w:type="pct"/>
                  <w:tcBorders>
                    <w:tl2br w:val="nil"/>
                    <w:tr2bl w:val="nil"/>
                  </w:tcBorders>
                  <w:noWrap w:val="0"/>
                  <w:vAlign w:val="center"/>
                </w:tcPr>
                <w:p w14:paraId="314C7654">
                  <w:pPr>
                    <w:tabs>
                      <w:tab w:val="left" w:pos="826"/>
                    </w:tabs>
                    <w:jc w:val="both"/>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相符。</w:t>
                  </w:r>
                </w:p>
                <w:p w14:paraId="301A9569">
                  <w:pPr>
                    <w:numPr>
                      <w:ilvl w:val="0"/>
                      <w:numId w:val="0"/>
                    </w:numPr>
                    <w:tabs>
                      <w:tab w:val="left" w:pos="826"/>
                    </w:tabs>
                    <w:jc w:val="left"/>
                    <w:rPr>
                      <w:rFonts w:hint="default" w:ascii="Times New Roman" w:hAnsi="Times New Roman" w:eastAsia="宋体" w:cs="Times New Roman"/>
                      <w:bCs/>
                      <w:kern w:val="0"/>
                      <w:sz w:val="21"/>
                      <w:szCs w:val="21"/>
                      <w:highlight w:val="none"/>
                    </w:rPr>
                  </w:pPr>
                  <w:r>
                    <w:rPr>
                      <w:rFonts w:hint="eastAsia" w:eastAsia="宋体" w:cs="Times New Roman"/>
                      <w:bCs/>
                      <w:kern w:val="0"/>
                      <w:sz w:val="21"/>
                      <w:szCs w:val="21"/>
                      <w:highlight w:val="none"/>
                      <w:lang w:val="en-US" w:eastAsia="zh-CN"/>
                    </w:rPr>
                    <w:t>本项目</w:t>
                  </w:r>
                  <w:r>
                    <w:rPr>
                      <w:rFonts w:hint="default" w:ascii="Times New Roman" w:hAnsi="Times New Roman" w:eastAsia="宋体" w:cs="Times New Roman"/>
                      <w:bCs/>
                      <w:kern w:val="0"/>
                      <w:sz w:val="21"/>
                      <w:szCs w:val="21"/>
                      <w:highlight w:val="none"/>
                    </w:rPr>
                    <w:t>禁止运输剧毒化学品以及国家规定禁止通过内河运输的其他危险化学品的船舶进入主要供水河道。</w:t>
                  </w:r>
                </w:p>
              </w:tc>
            </w:tr>
            <w:tr w14:paraId="74B48B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2" w:hRule="atLeast"/>
                <w:jc w:val="center"/>
              </w:trPr>
              <w:tc>
                <w:tcPr>
                  <w:tcW w:w="899" w:type="pct"/>
                  <w:vMerge w:val="continue"/>
                  <w:tcBorders>
                    <w:tl2br w:val="nil"/>
                    <w:tr2bl w:val="nil"/>
                  </w:tcBorders>
                  <w:noWrap w:val="0"/>
                  <w:vAlign w:val="center"/>
                </w:tcPr>
                <w:p w14:paraId="51B4E97B">
                  <w:pPr>
                    <w:tabs>
                      <w:tab w:val="left" w:pos="826"/>
                    </w:tabs>
                    <w:jc w:val="left"/>
                    <w:rPr>
                      <w:rFonts w:hint="default" w:ascii="Times New Roman" w:hAnsi="Times New Roman" w:eastAsia="宋体" w:cs="Times New Roman"/>
                      <w:bCs/>
                      <w:kern w:val="0"/>
                      <w:sz w:val="21"/>
                      <w:szCs w:val="21"/>
                      <w:highlight w:val="none"/>
                    </w:rPr>
                  </w:pPr>
                </w:p>
              </w:tc>
              <w:tc>
                <w:tcPr>
                  <w:tcW w:w="506" w:type="pct"/>
                  <w:tcBorders>
                    <w:tl2br w:val="nil"/>
                    <w:tr2bl w:val="nil"/>
                  </w:tcBorders>
                  <w:noWrap w:val="0"/>
                  <w:vAlign w:val="center"/>
                </w:tcPr>
                <w:p w14:paraId="3A6D94FC">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资源利用效率要求</w:t>
                  </w:r>
                </w:p>
              </w:tc>
              <w:tc>
                <w:tcPr>
                  <w:tcW w:w="2208" w:type="pct"/>
                  <w:tcBorders>
                    <w:tl2br w:val="nil"/>
                    <w:tr2bl w:val="nil"/>
                  </w:tcBorders>
                  <w:noWrap w:val="0"/>
                  <w:vAlign w:val="center"/>
                </w:tcPr>
                <w:p w14:paraId="7F3DD455">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限制缺水地区发展耗水型产业，调整缺水地区的产业结构，严格控制高耗水、高耗能和重污染的建设项目</w:t>
                  </w:r>
                </w:p>
              </w:tc>
              <w:tc>
                <w:tcPr>
                  <w:tcW w:w="1386" w:type="pct"/>
                  <w:tcBorders>
                    <w:tl2br w:val="nil"/>
                    <w:tr2bl w:val="nil"/>
                  </w:tcBorders>
                  <w:noWrap w:val="0"/>
                  <w:vAlign w:val="center"/>
                </w:tcPr>
                <w:p w14:paraId="11D26705">
                  <w:pPr>
                    <w:tabs>
                      <w:tab w:val="left" w:pos="826"/>
                    </w:tabs>
                    <w:jc w:val="both"/>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相符。</w:t>
                  </w:r>
                </w:p>
                <w:p w14:paraId="3C95703E">
                  <w:pPr>
                    <w:snapToGrid w:val="0"/>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本项目不属于</w:t>
                  </w:r>
                  <w:r>
                    <w:rPr>
                      <w:rFonts w:hint="default" w:ascii="Times New Roman" w:hAnsi="Times New Roman" w:eastAsia="宋体" w:cs="Times New Roman"/>
                      <w:bCs/>
                      <w:kern w:val="0"/>
                      <w:sz w:val="21"/>
                      <w:szCs w:val="21"/>
                      <w:highlight w:val="none"/>
                    </w:rPr>
                    <w:t>高耗水、高耗能和重污染的建设项目</w:t>
                  </w:r>
                  <w:r>
                    <w:rPr>
                      <w:rFonts w:hint="eastAsia" w:eastAsia="宋体" w:cs="Times New Roman"/>
                      <w:bCs/>
                      <w:kern w:val="0"/>
                      <w:sz w:val="21"/>
                      <w:szCs w:val="21"/>
                      <w:highlight w:val="none"/>
                      <w:lang w:eastAsia="zh-CN"/>
                    </w:rPr>
                    <w:t>。</w:t>
                  </w:r>
                </w:p>
              </w:tc>
            </w:tr>
            <w:tr w14:paraId="46E1E8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2" w:hRule="atLeast"/>
                <w:jc w:val="center"/>
              </w:trPr>
              <w:tc>
                <w:tcPr>
                  <w:tcW w:w="899" w:type="pct"/>
                  <w:vMerge w:val="restart"/>
                  <w:tcBorders>
                    <w:tl2br w:val="nil"/>
                    <w:tr2bl w:val="nil"/>
                  </w:tcBorders>
                  <w:noWrap w:val="0"/>
                  <w:vAlign w:val="center"/>
                </w:tcPr>
                <w:p w14:paraId="54201380">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京杭大运河（淮安区）清水通道维护区</w:t>
                  </w:r>
                </w:p>
              </w:tc>
              <w:tc>
                <w:tcPr>
                  <w:tcW w:w="506" w:type="pct"/>
                  <w:tcBorders>
                    <w:tl2br w:val="nil"/>
                    <w:tr2bl w:val="nil"/>
                  </w:tcBorders>
                  <w:noWrap w:val="0"/>
                  <w:vAlign w:val="center"/>
                </w:tcPr>
                <w:p w14:paraId="7A47E3FE">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空间布局约束</w:t>
                  </w:r>
                </w:p>
              </w:tc>
              <w:tc>
                <w:tcPr>
                  <w:tcW w:w="2208" w:type="pct"/>
                  <w:tcBorders>
                    <w:tl2br w:val="nil"/>
                    <w:tr2bl w:val="nil"/>
                  </w:tcBorders>
                  <w:noWrap w:val="0"/>
                  <w:vAlign w:val="center"/>
                </w:tcPr>
                <w:p w14:paraId="2E951168">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严格执行《南水北调工程供用水管理条例》《江苏省河道管理条例》和《江苏省通榆河水污染防治条例》等有关规定。</w:t>
                  </w:r>
                </w:p>
              </w:tc>
              <w:tc>
                <w:tcPr>
                  <w:tcW w:w="1386" w:type="pct"/>
                  <w:tcBorders>
                    <w:tl2br w:val="nil"/>
                    <w:tr2bl w:val="nil"/>
                  </w:tcBorders>
                  <w:noWrap w:val="0"/>
                  <w:vAlign w:val="center"/>
                </w:tcPr>
                <w:p w14:paraId="04A4E3BF">
                  <w:pPr>
                    <w:tabs>
                      <w:tab w:val="left" w:pos="826"/>
                    </w:tabs>
                    <w:jc w:val="both"/>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相符。</w:t>
                  </w:r>
                </w:p>
                <w:p w14:paraId="487658C9">
                  <w:pPr>
                    <w:snapToGrid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（1）本项目清水通道维护区内</w:t>
                  </w:r>
                  <w:r>
                    <w:rPr>
                      <w:rFonts w:hint="default" w:ascii="Times New Roman" w:hAnsi="Times New Roman" w:eastAsia="宋体" w:cs="Times New Roman"/>
                      <w:sz w:val="21"/>
                      <w:szCs w:val="21"/>
                      <w:highlight w:val="none"/>
                      <w:lang w:val="en-US" w:eastAsia="zh-CN"/>
                    </w:rPr>
                    <w:t>为锚地</w:t>
                  </w:r>
                  <w:r>
                    <w:rPr>
                      <w:rFonts w:hint="default" w:ascii="Times New Roman" w:hAnsi="Times New Roman" w:eastAsia="宋体" w:cs="Times New Roman"/>
                      <w:sz w:val="21"/>
                      <w:szCs w:val="21"/>
                      <w:highlight w:val="none"/>
                    </w:rPr>
                    <w:t>工程，不会损坏堤防、护岸、闸坝等。</w:t>
                  </w:r>
                </w:p>
                <w:p w14:paraId="246A3ABA">
                  <w:pPr>
                    <w:snapToGrid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r>
                    <w:rPr>
                      <w:rFonts w:hint="default" w:ascii="Times New Roman" w:hAnsi="Times New Roman" w:eastAsia="宋体" w:cs="Times New Roman"/>
                      <w:sz w:val="21"/>
                      <w:szCs w:val="21"/>
                      <w:highlight w:val="none"/>
                      <w:lang w:val="en-US" w:eastAsia="zh-CN"/>
                    </w:rPr>
                    <w:t>京杭大运河</w:t>
                  </w:r>
                  <w:r>
                    <w:rPr>
                      <w:rFonts w:hint="default" w:ascii="Times New Roman" w:hAnsi="Times New Roman" w:eastAsia="宋体" w:cs="Times New Roman"/>
                      <w:sz w:val="21"/>
                      <w:szCs w:val="21"/>
                      <w:highlight w:val="none"/>
                    </w:rPr>
                    <w:t>航道具备行洪、排涝功能，本项目为</w:t>
                  </w:r>
                  <w:r>
                    <w:rPr>
                      <w:rFonts w:hint="eastAsia" w:cs="Times New Roman"/>
                      <w:color w:val="auto"/>
                      <w:sz w:val="21"/>
                      <w:szCs w:val="21"/>
                      <w:highlight w:val="none"/>
                      <w:lang w:val="en-US" w:eastAsia="zh-CN"/>
                    </w:rPr>
                    <w:t>京杭运河淮安段黄码港锚地工程</w:t>
                  </w:r>
                  <w:r>
                    <w:rPr>
                      <w:rFonts w:hint="default" w:ascii="Times New Roman" w:hAnsi="Times New Roman" w:eastAsia="宋体" w:cs="Times New Roman"/>
                      <w:sz w:val="21"/>
                      <w:szCs w:val="21"/>
                      <w:highlight w:val="none"/>
                    </w:rPr>
                    <w:t>，不属于侵占河道、危害防洪安全、影响河势稳定和破坏河道水环境的活动，其防洪评价报告</w:t>
                  </w:r>
                  <w:r>
                    <w:rPr>
                      <w:rFonts w:hint="eastAsia" w:cs="Times New Roman"/>
                      <w:sz w:val="21"/>
                      <w:szCs w:val="21"/>
                      <w:highlight w:val="none"/>
                      <w:lang w:val="en-US" w:eastAsia="zh-CN"/>
                    </w:rPr>
                    <w:t>已编制完成</w:t>
                  </w:r>
                  <w:r>
                    <w:rPr>
                      <w:rFonts w:hint="default" w:ascii="Times New Roman" w:hAnsi="Times New Roman" w:eastAsia="宋体" w:cs="Times New Roman"/>
                      <w:sz w:val="21"/>
                      <w:szCs w:val="21"/>
                      <w:highlight w:val="none"/>
                    </w:rPr>
                    <w:t>。</w:t>
                  </w:r>
                </w:p>
                <w:p w14:paraId="6F0C71E2">
                  <w:pPr>
                    <w:snapToGrid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（3）本项目为</w:t>
                  </w:r>
                  <w:r>
                    <w:rPr>
                      <w:rFonts w:hint="eastAsia" w:cs="Times New Roman"/>
                      <w:color w:val="auto"/>
                      <w:sz w:val="21"/>
                      <w:szCs w:val="21"/>
                      <w:highlight w:val="none"/>
                      <w:lang w:val="en-US" w:eastAsia="zh-CN"/>
                    </w:rPr>
                    <w:t>京杭运河淮安段黄码港锚地工程</w:t>
                  </w:r>
                  <w:r>
                    <w:rPr>
                      <w:rFonts w:hint="default" w:ascii="Times New Roman" w:hAnsi="Times New Roman" w:eastAsia="宋体" w:cs="Times New Roman"/>
                      <w:sz w:val="21"/>
                      <w:szCs w:val="21"/>
                      <w:highlight w:val="none"/>
                    </w:rPr>
                    <w:t>，不会在堤防和护堤地建房、垦种、堆放物料等。</w:t>
                  </w:r>
                </w:p>
              </w:tc>
            </w:tr>
            <w:tr w14:paraId="26D566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2D70C0D3">
                  <w:pPr>
                    <w:tabs>
                      <w:tab w:val="left" w:pos="826"/>
                    </w:tabs>
                    <w:rPr>
                      <w:rFonts w:hint="default" w:ascii="Times New Roman" w:hAnsi="Times New Roman" w:eastAsia="宋体" w:cs="Times New Roman"/>
                      <w:sz w:val="21"/>
                      <w:szCs w:val="21"/>
                      <w:highlight w:val="none"/>
                    </w:rPr>
                  </w:pPr>
                </w:p>
              </w:tc>
              <w:tc>
                <w:tcPr>
                  <w:tcW w:w="506" w:type="pct"/>
                  <w:tcBorders>
                    <w:tl2br w:val="nil"/>
                    <w:tr2bl w:val="nil"/>
                  </w:tcBorders>
                  <w:noWrap w:val="0"/>
                  <w:vAlign w:val="center"/>
                </w:tcPr>
                <w:p w14:paraId="02ED0D1D">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污染物排放管控</w:t>
                  </w:r>
                </w:p>
              </w:tc>
              <w:tc>
                <w:tcPr>
                  <w:tcW w:w="2208" w:type="pct"/>
                  <w:tcBorders>
                    <w:tl2br w:val="nil"/>
                    <w:tr2bl w:val="nil"/>
                  </w:tcBorders>
                  <w:noWrap w:val="0"/>
                  <w:vAlign w:val="center"/>
                </w:tcPr>
                <w:p w14:paraId="16BD83BF">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6494F596">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242A0B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1D951939">
                  <w:pPr>
                    <w:tabs>
                      <w:tab w:val="left" w:pos="826"/>
                    </w:tabs>
                    <w:rPr>
                      <w:rFonts w:hint="default" w:ascii="Times New Roman" w:hAnsi="Times New Roman" w:eastAsia="宋体" w:cs="Times New Roman"/>
                      <w:sz w:val="21"/>
                      <w:szCs w:val="21"/>
                      <w:highlight w:val="none"/>
                    </w:rPr>
                  </w:pPr>
                </w:p>
              </w:tc>
              <w:tc>
                <w:tcPr>
                  <w:tcW w:w="506" w:type="pct"/>
                  <w:tcBorders>
                    <w:tl2br w:val="nil"/>
                    <w:tr2bl w:val="nil"/>
                  </w:tcBorders>
                  <w:noWrap w:val="0"/>
                  <w:vAlign w:val="center"/>
                </w:tcPr>
                <w:p w14:paraId="04EBA128">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环境风险防控</w:t>
                  </w:r>
                </w:p>
              </w:tc>
              <w:tc>
                <w:tcPr>
                  <w:tcW w:w="2208" w:type="pct"/>
                  <w:tcBorders>
                    <w:tl2br w:val="nil"/>
                    <w:tr2bl w:val="nil"/>
                  </w:tcBorders>
                  <w:noWrap w:val="0"/>
                  <w:vAlign w:val="center"/>
                </w:tcPr>
                <w:p w14:paraId="4C90DC81">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0F6E19E9">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601B19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74EC7EB6">
                  <w:pPr>
                    <w:tabs>
                      <w:tab w:val="left" w:pos="826"/>
                    </w:tabs>
                    <w:rPr>
                      <w:rFonts w:hint="default" w:ascii="Times New Roman" w:hAnsi="Times New Roman" w:eastAsia="宋体" w:cs="Times New Roman"/>
                      <w:sz w:val="21"/>
                      <w:szCs w:val="21"/>
                      <w:highlight w:val="none"/>
                    </w:rPr>
                  </w:pPr>
                </w:p>
              </w:tc>
              <w:tc>
                <w:tcPr>
                  <w:tcW w:w="506" w:type="pct"/>
                  <w:tcBorders>
                    <w:tl2br w:val="nil"/>
                    <w:tr2bl w:val="nil"/>
                  </w:tcBorders>
                  <w:noWrap w:val="0"/>
                  <w:vAlign w:val="center"/>
                </w:tcPr>
                <w:p w14:paraId="6E18CA8A">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资源开发效率要求</w:t>
                  </w:r>
                </w:p>
              </w:tc>
              <w:tc>
                <w:tcPr>
                  <w:tcW w:w="2208" w:type="pct"/>
                  <w:tcBorders>
                    <w:tl2br w:val="nil"/>
                    <w:tr2bl w:val="nil"/>
                  </w:tcBorders>
                  <w:noWrap w:val="0"/>
                  <w:vAlign w:val="center"/>
                </w:tcPr>
                <w:p w14:paraId="500BEEE8">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7621CD59">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4F36DF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restart"/>
                  <w:tcBorders>
                    <w:tl2br w:val="nil"/>
                    <w:tr2bl w:val="nil"/>
                  </w:tcBorders>
                  <w:noWrap w:val="0"/>
                  <w:vAlign w:val="center"/>
                </w:tcPr>
                <w:p w14:paraId="5B9816FA">
                  <w:pPr>
                    <w:tabs>
                      <w:tab w:val="left" w:pos="826"/>
                    </w:tabs>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京杭大运河（淮安市区）清水通道维护区</w:t>
                  </w:r>
                </w:p>
              </w:tc>
              <w:tc>
                <w:tcPr>
                  <w:tcW w:w="506" w:type="pct"/>
                  <w:tcBorders>
                    <w:tl2br w:val="nil"/>
                    <w:tr2bl w:val="nil"/>
                  </w:tcBorders>
                  <w:noWrap w:val="0"/>
                  <w:vAlign w:val="center"/>
                </w:tcPr>
                <w:p w14:paraId="16C78B33">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空间布局约束</w:t>
                  </w:r>
                </w:p>
              </w:tc>
              <w:tc>
                <w:tcPr>
                  <w:tcW w:w="2208" w:type="pct"/>
                  <w:tcBorders>
                    <w:tl2br w:val="nil"/>
                    <w:tr2bl w:val="nil"/>
                  </w:tcBorders>
                  <w:noWrap w:val="0"/>
                  <w:vAlign w:val="center"/>
                </w:tcPr>
                <w:p w14:paraId="61B110E8">
                  <w:pPr>
                    <w:tabs>
                      <w:tab w:val="left" w:pos="826"/>
                    </w:tabs>
                    <w:rPr>
                      <w:rFonts w:hint="default" w:ascii="Times New Roman" w:hAnsi="Times New Roman" w:eastAsia="宋体" w:cs="Times New Roman"/>
                      <w:sz w:val="21"/>
                      <w:szCs w:val="21"/>
                      <w:highlight w:val="none"/>
                    </w:rPr>
                  </w:pPr>
                  <w:r>
                    <w:rPr>
                      <w:rFonts w:hint="default" w:ascii="Times New Roman" w:hAnsi="Times New Roman" w:eastAsia="宋体" w:cs="Times New Roman"/>
                      <w:bCs/>
                      <w:kern w:val="0"/>
                      <w:sz w:val="21"/>
                      <w:szCs w:val="21"/>
                      <w:highlight w:val="none"/>
                    </w:rPr>
                    <w:t>严格执行《南水北调工程供用水管理条例》《江苏省河道管理条例》和《江苏省通榆河水污染防治条例》等有关规定。</w:t>
                  </w:r>
                </w:p>
              </w:tc>
              <w:tc>
                <w:tcPr>
                  <w:tcW w:w="1386" w:type="pct"/>
                  <w:tcBorders>
                    <w:tl2br w:val="nil"/>
                    <w:tr2bl w:val="nil"/>
                  </w:tcBorders>
                  <w:noWrap w:val="0"/>
                  <w:vAlign w:val="center"/>
                </w:tcPr>
                <w:p w14:paraId="40F35798">
                  <w:pPr>
                    <w:tabs>
                      <w:tab w:val="left" w:pos="826"/>
                    </w:tabs>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相符。</w:t>
                  </w:r>
                </w:p>
                <w:p w14:paraId="45D44179">
                  <w:pPr>
                    <w:snapToGrid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（1）本项目清水通道维护区内</w:t>
                  </w:r>
                  <w:r>
                    <w:rPr>
                      <w:rFonts w:hint="default" w:ascii="Times New Roman" w:hAnsi="Times New Roman" w:eastAsia="宋体" w:cs="Times New Roman"/>
                      <w:sz w:val="21"/>
                      <w:szCs w:val="21"/>
                      <w:highlight w:val="none"/>
                      <w:lang w:val="en-US" w:eastAsia="zh-CN"/>
                    </w:rPr>
                    <w:t>为疏浚</w:t>
                  </w:r>
                  <w:r>
                    <w:rPr>
                      <w:rFonts w:hint="default" w:ascii="Times New Roman" w:hAnsi="Times New Roman" w:eastAsia="宋体" w:cs="Times New Roman"/>
                      <w:sz w:val="21"/>
                      <w:szCs w:val="21"/>
                      <w:highlight w:val="none"/>
                    </w:rPr>
                    <w:t>工程，不会损坏堤防、护岸、闸坝等。</w:t>
                  </w:r>
                </w:p>
                <w:p w14:paraId="3AC37C36">
                  <w:pPr>
                    <w:snapToGrid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r>
                    <w:rPr>
                      <w:rFonts w:hint="default" w:ascii="Times New Roman" w:hAnsi="Times New Roman" w:eastAsia="宋体" w:cs="Times New Roman"/>
                      <w:sz w:val="21"/>
                      <w:szCs w:val="21"/>
                      <w:highlight w:val="none"/>
                      <w:lang w:val="en-US" w:eastAsia="zh-CN"/>
                    </w:rPr>
                    <w:t>京杭大运河</w:t>
                  </w:r>
                  <w:r>
                    <w:rPr>
                      <w:rFonts w:hint="default" w:ascii="Times New Roman" w:hAnsi="Times New Roman" w:eastAsia="宋体" w:cs="Times New Roman"/>
                      <w:sz w:val="21"/>
                      <w:szCs w:val="21"/>
                      <w:highlight w:val="none"/>
                    </w:rPr>
                    <w:t>航道具备行洪、排涝功能，本项目为</w:t>
                  </w:r>
                  <w:r>
                    <w:rPr>
                      <w:rFonts w:hint="default" w:ascii="Times New Roman" w:hAnsi="Times New Roman" w:eastAsia="宋体" w:cs="Times New Roman"/>
                      <w:color w:val="auto"/>
                      <w:sz w:val="21"/>
                      <w:szCs w:val="21"/>
                      <w:highlight w:val="none"/>
                      <w:lang w:val="en-US" w:eastAsia="zh-CN"/>
                    </w:rPr>
                    <w:t>疏浚工程项目</w:t>
                  </w:r>
                  <w:r>
                    <w:rPr>
                      <w:rFonts w:hint="default" w:ascii="Times New Roman" w:hAnsi="Times New Roman" w:eastAsia="宋体" w:cs="Times New Roman"/>
                      <w:sz w:val="21"/>
                      <w:szCs w:val="21"/>
                      <w:highlight w:val="none"/>
                    </w:rPr>
                    <w:t>，不属于侵占河道、危害防洪安全、影响河势稳定和破坏河道水环境的活动，其防洪评价报告</w:t>
                  </w:r>
                  <w:r>
                    <w:rPr>
                      <w:rFonts w:hint="eastAsia" w:cs="Times New Roman"/>
                      <w:sz w:val="21"/>
                      <w:szCs w:val="21"/>
                      <w:highlight w:val="none"/>
                      <w:lang w:val="en-US" w:eastAsia="zh-CN"/>
                    </w:rPr>
                    <w:t>已编制完成。</w:t>
                  </w:r>
                </w:p>
                <w:p w14:paraId="502F451E">
                  <w:pPr>
                    <w:tabs>
                      <w:tab w:val="left" w:pos="826"/>
                    </w:tabs>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（3）本项目为</w:t>
                  </w:r>
                  <w:r>
                    <w:rPr>
                      <w:rFonts w:hint="default" w:ascii="Times New Roman" w:hAnsi="Times New Roman" w:eastAsia="宋体" w:cs="Times New Roman"/>
                      <w:color w:val="auto"/>
                      <w:sz w:val="21"/>
                      <w:szCs w:val="21"/>
                      <w:highlight w:val="none"/>
                      <w:lang w:val="en-US" w:eastAsia="zh-CN"/>
                    </w:rPr>
                    <w:t>疏浚工程项目</w:t>
                  </w:r>
                  <w:r>
                    <w:rPr>
                      <w:rFonts w:hint="default" w:ascii="Times New Roman" w:hAnsi="Times New Roman" w:eastAsia="宋体" w:cs="Times New Roman"/>
                      <w:sz w:val="21"/>
                      <w:szCs w:val="21"/>
                      <w:highlight w:val="none"/>
                    </w:rPr>
                    <w:t>，不会在堤防和护堤地建房、垦种、堆放物料等。</w:t>
                  </w:r>
                </w:p>
              </w:tc>
            </w:tr>
            <w:tr w14:paraId="2E133C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146F7C0A">
                  <w:pPr>
                    <w:tabs>
                      <w:tab w:val="left" w:pos="826"/>
                    </w:tabs>
                    <w:rPr>
                      <w:rFonts w:hint="default" w:ascii="Times New Roman" w:hAnsi="Times New Roman" w:eastAsia="宋体" w:cs="Times New Roman"/>
                      <w:sz w:val="21"/>
                      <w:szCs w:val="21"/>
                      <w:highlight w:val="none"/>
                    </w:rPr>
                  </w:pPr>
                </w:p>
              </w:tc>
              <w:tc>
                <w:tcPr>
                  <w:tcW w:w="506" w:type="pct"/>
                  <w:tcBorders>
                    <w:tl2br w:val="nil"/>
                    <w:tr2bl w:val="nil"/>
                  </w:tcBorders>
                  <w:noWrap w:val="0"/>
                  <w:vAlign w:val="center"/>
                </w:tcPr>
                <w:p w14:paraId="2DA5BBDC">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污染物排放管控</w:t>
                  </w:r>
                </w:p>
              </w:tc>
              <w:tc>
                <w:tcPr>
                  <w:tcW w:w="2208" w:type="pct"/>
                  <w:tcBorders>
                    <w:tl2br w:val="nil"/>
                    <w:tr2bl w:val="nil"/>
                  </w:tcBorders>
                  <w:noWrap w:val="0"/>
                  <w:vAlign w:val="center"/>
                </w:tcPr>
                <w:p w14:paraId="39BA5CB9">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72D77F3C">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366F19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62E201E2">
                  <w:pPr>
                    <w:tabs>
                      <w:tab w:val="left" w:pos="826"/>
                    </w:tabs>
                    <w:rPr>
                      <w:rFonts w:hint="default" w:ascii="Times New Roman" w:hAnsi="Times New Roman" w:eastAsia="宋体" w:cs="Times New Roman"/>
                      <w:sz w:val="21"/>
                      <w:szCs w:val="21"/>
                      <w:highlight w:val="none"/>
                    </w:rPr>
                  </w:pPr>
                </w:p>
              </w:tc>
              <w:tc>
                <w:tcPr>
                  <w:tcW w:w="506" w:type="pct"/>
                  <w:tcBorders>
                    <w:tl2br w:val="nil"/>
                    <w:tr2bl w:val="nil"/>
                  </w:tcBorders>
                  <w:noWrap w:val="0"/>
                  <w:vAlign w:val="center"/>
                </w:tcPr>
                <w:p w14:paraId="6BCC1577">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环境风险防控</w:t>
                  </w:r>
                </w:p>
              </w:tc>
              <w:tc>
                <w:tcPr>
                  <w:tcW w:w="2208" w:type="pct"/>
                  <w:tcBorders>
                    <w:tl2br w:val="nil"/>
                    <w:tr2bl w:val="nil"/>
                  </w:tcBorders>
                  <w:noWrap w:val="0"/>
                  <w:vAlign w:val="center"/>
                </w:tcPr>
                <w:p w14:paraId="3F13F075">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0DE6ACEA">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54FE83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34B18394">
                  <w:pPr>
                    <w:tabs>
                      <w:tab w:val="left" w:pos="826"/>
                    </w:tabs>
                    <w:rPr>
                      <w:rFonts w:hint="default" w:ascii="Times New Roman" w:hAnsi="Times New Roman" w:eastAsia="宋体" w:cs="Times New Roman"/>
                      <w:sz w:val="21"/>
                      <w:szCs w:val="21"/>
                      <w:highlight w:val="none"/>
                    </w:rPr>
                  </w:pPr>
                </w:p>
              </w:tc>
              <w:tc>
                <w:tcPr>
                  <w:tcW w:w="506" w:type="pct"/>
                  <w:tcBorders>
                    <w:tl2br w:val="nil"/>
                    <w:tr2bl w:val="nil"/>
                  </w:tcBorders>
                  <w:noWrap w:val="0"/>
                  <w:vAlign w:val="center"/>
                </w:tcPr>
                <w:p w14:paraId="1FC875F1">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资源开发效率要求</w:t>
                  </w:r>
                </w:p>
              </w:tc>
              <w:tc>
                <w:tcPr>
                  <w:tcW w:w="2208" w:type="pct"/>
                  <w:tcBorders>
                    <w:tl2br w:val="nil"/>
                    <w:tr2bl w:val="nil"/>
                  </w:tcBorders>
                  <w:noWrap w:val="0"/>
                  <w:vAlign w:val="center"/>
                </w:tcPr>
                <w:p w14:paraId="61CA51F7">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0FEB8E74">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bl>
          <w:p w14:paraId="3C883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综上所述，本项目符合《江苏省</w:t>
            </w:r>
            <w:r>
              <w:rPr>
                <w:rFonts w:hint="default" w:ascii="宋体" w:hAnsi="宋体" w:eastAsia="宋体" w:cs="宋体"/>
                <w:color w:val="auto"/>
                <w:kern w:val="2"/>
                <w:sz w:val="24"/>
                <w:szCs w:val="24"/>
                <w:highlight w:val="none"/>
                <w:lang w:val="en-US" w:eastAsia="zh-CN" w:bidi="ar"/>
              </w:rPr>
              <w:t>2023</w:t>
            </w:r>
            <w:r>
              <w:rPr>
                <w:rFonts w:hint="eastAsia" w:ascii="宋体" w:hAnsi="宋体" w:eastAsia="宋体" w:cs="宋体"/>
                <w:color w:val="auto"/>
                <w:kern w:val="2"/>
                <w:sz w:val="24"/>
                <w:szCs w:val="24"/>
                <w:highlight w:val="none"/>
                <w:lang w:val="en-US" w:eastAsia="zh-CN" w:bidi="ar"/>
              </w:rPr>
              <w:t>年度生态环境分区管控动态更新成果公告》（附件</w:t>
            </w:r>
            <w:r>
              <w:rPr>
                <w:rFonts w:hint="default" w:ascii="宋体" w:hAnsi="宋体" w:eastAsia="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江苏省生态环境分区管控总体要求）及</w:t>
            </w:r>
            <w:r>
              <w:rPr>
                <w:rFonts w:hint="default" w:ascii="宋体" w:hAnsi="宋体" w:eastAsia="宋体" w:cs="宋体"/>
                <w:color w:val="auto"/>
                <w:kern w:val="2"/>
                <w:sz w:val="24"/>
                <w:szCs w:val="24"/>
                <w:highlight w:val="none"/>
                <w:lang w:val="en-US" w:eastAsia="zh-CN" w:bidi="ar"/>
              </w:rPr>
              <w:t>京杭大运河（淮安市区）清水通道维护区</w:t>
            </w:r>
            <w:r>
              <w:rPr>
                <w:rFonts w:hint="eastAsia" w:ascii="宋体" w:hAnsi="宋体" w:eastAsia="宋体" w:cs="宋体"/>
                <w:color w:val="auto"/>
                <w:kern w:val="2"/>
                <w:sz w:val="24"/>
                <w:szCs w:val="24"/>
                <w:highlight w:val="none"/>
                <w:lang w:val="en-US" w:eastAsia="zh-CN" w:bidi="ar"/>
              </w:rPr>
              <w:t>、</w:t>
            </w:r>
            <w:r>
              <w:rPr>
                <w:rFonts w:hint="default" w:ascii="宋体" w:hAnsi="宋体" w:eastAsia="宋体" w:cs="宋体"/>
                <w:color w:val="auto"/>
                <w:kern w:val="2"/>
                <w:sz w:val="24"/>
                <w:szCs w:val="24"/>
                <w:highlight w:val="none"/>
                <w:lang w:val="en-US" w:eastAsia="zh-CN" w:bidi="ar"/>
              </w:rPr>
              <w:t>京杭大运河（淮安区）清水通道维护区</w:t>
            </w:r>
            <w:r>
              <w:rPr>
                <w:rFonts w:hint="eastAsia" w:ascii="宋体" w:hAnsi="宋体" w:eastAsia="宋体" w:cs="宋体"/>
                <w:color w:val="auto"/>
                <w:kern w:val="2"/>
                <w:sz w:val="24"/>
                <w:szCs w:val="24"/>
                <w:highlight w:val="none"/>
                <w:lang w:val="en-US" w:eastAsia="zh-CN" w:bidi="ar"/>
              </w:rPr>
              <w:t>优先保护区生态环境准入清单中相关要求。</w:t>
            </w:r>
          </w:p>
          <w:p w14:paraId="0EACF278">
            <w:pPr>
              <w:spacing w:line="460" w:lineRule="exact"/>
              <w:ind w:firstLine="482" w:firstLineChars="200"/>
              <w:rPr>
                <w:rFonts w:hint="default" w:ascii="Times New Roman" w:hAnsi="Times New Roman" w:eastAsia="宋体" w:cs="Times New Roman"/>
                <w:b/>
                <w:sz w:val="24"/>
                <w:szCs w:val="24"/>
                <w:highlight w:val="none"/>
                <w:lang w:val="en-US" w:eastAsia="zh-CN" w:bidi="ar"/>
              </w:rPr>
            </w:pPr>
            <w:r>
              <w:rPr>
                <w:rFonts w:hint="eastAsia" w:ascii="Times New Roman" w:hAnsi="Times New Roman" w:eastAsia="宋体" w:cs="Times New Roman"/>
                <w:b/>
                <w:sz w:val="24"/>
                <w:szCs w:val="24"/>
                <w:highlight w:val="none"/>
                <w:lang w:val="en-US" w:eastAsia="zh-CN" w:bidi="ar"/>
              </w:rPr>
              <w:t>1.5与《市政府关于印发</w:t>
            </w:r>
            <w:r>
              <w:rPr>
                <w:rFonts w:hint="default" w:ascii="Times New Roman" w:hAnsi="Times New Roman" w:eastAsia="宋体" w:cs="Times New Roman"/>
                <w:b/>
                <w:sz w:val="24"/>
                <w:szCs w:val="24"/>
                <w:highlight w:val="none"/>
                <w:lang w:val="en-US" w:eastAsia="zh-CN" w:bidi="ar"/>
              </w:rPr>
              <w:t>&lt;</w:t>
            </w:r>
            <w:r>
              <w:rPr>
                <w:rFonts w:hint="eastAsia" w:ascii="Times New Roman" w:hAnsi="Times New Roman" w:eastAsia="宋体" w:cs="Times New Roman"/>
                <w:b/>
                <w:sz w:val="24"/>
                <w:szCs w:val="24"/>
                <w:highlight w:val="none"/>
                <w:lang w:val="en-US" w:eastAsia="zh-CN" w:bidi="ar"/>
              </w:rPr>
              <w:t>淮安市</w:t>
            </w:r>
            <w:r>
              <w:rPr>
                <w:rFonts w:hint="default" w:ascii="Times New Roman" w:hAnsi="Times New Roman" w:eastAsia="宋体" w:cs="Times New Roman"/>
                <w:b/>
                <w:sz w:val="24"/>
                <w:szCs w:val="24"/>
                <w:highlight w:val="none"/>
                <w:lang w:val="en-US" w:eastAsia="zh-CN" w:bidi="ar"/>
              </w:rPr>
              <w:t>“</w:t>
            </w:r>
            <w:r>
              <w:rPr>
                <w:rFonts w:hint="eastAsia" w:ascii="Times New Roman" w:hAnsi="Times New Roman" w:eastAsia="宋体" w:cs="Times New Roman"/>
                <w:b/>
                <w:sz w:val="24"/>
                <w:szCs w:val="24"/>
                <w:highlight w:val="none"/>
                <w:lang w:val="en-US" w:eastAsia="zh-CN" w:bidi="ar"/>
              </w:rPr>
              <w:t>三线一单</w:t>
            </w:r>
            <w:r>
              <w:rPr>
                <w:rFonts w:hint="default" w:ascii="Times New Roman" w:hAnsi="Times New Roman" w:eastAsia="宋体" w:cs="Times New Roman"/>
                <w:b/>
                <w:sz w:val="24"/>
                <w:szCs w:val="24"/>
                <w:highlight w:val="none"/>
                <w:lang w:val="en-US" w:eastAsia="zh-CN" w:bidi="ar"/>
              </w:rPr>
              <w:t>”</w:t>
            </w:r>
            <w:r>
              <w:rPr>
                <w:rFonts w:hint="eastAsia" w:ascii="Times New Roman" w:hAnsi="Times New Roman" w:eastAsia="宋体" w:cs="Times New Roman"/>
                <w:b/>
                <w:sz w:val="24"/>
                <w:szCs w:val="24"/>
                <w:highlight w:val="none"/>
                <w:lang w:val="en-US" w:eastAsia="zh-CN" w:bidi="ar"/>
              </w:rPr>
              <w:t>生态环境分区管控方案</w:t>
            </w:r>
            <w:r>
              <w:rPr>
                <w:rFonts w:hint="default" w:ascii="Times New Roman" w:hAnsi="Times New Roman" w:eastAsia="宋体" w:cs="Times New Roman"/>
                <w:b/>
                <w:sz w:val="24"/>
                <w:szCs w:val="24"/>
                <w:highlight w:val="none"/>
                <w:lang w:val="en-US" w:eastAsia="zh-CN" w:bidi="ar"/>
              </w:rPr>
              <w:t>&gt;</w:t>
            </w:r>
            <w:r>
              <w:rPr>
                <w:rFonts w:hint="eastAsia" w:ascii="Times New Roman" w:hAnsi="Times New Roman" w:eastAsia="宋体" w:cs="Times New Roman"/>
                <w:b/>
                <w:sz w:val="24"/>
                <w:szCs w:val="24"/>
                <w:highlight w:val="none"/>
                <w:lang w:val="en-US" w:eastAsia="zh-CN" w:bidi="ar"/>
              </w:rPr>
              <w:t>的通知》（淮政发</w:t>
            </w:r>
            <w:r>
              <w:rPr>
                <w:rFonts w:hint="default" w:ascii="Times New Roman" w:hAnsi="Times New Roman" w:eastAsia="宋体" w:cs="Times New Roman"/>
                <w:b/>
                <w:sz w:val="24"/>
                <w:szCs w:val="24"/>
                <w:highlight w:val="none"/>
                <w:lang w:val="en-US" w:eastAsia="zh-CN" w:bidi="ar"/>
              </w:rPr>
              <w:t>[2020]16</w:t>
            </w:r>
            <w:r>
              <w:rPr>
                <w:rFonts w:hint="eastAsia" w:ascii="Times New Roman" w:hAnsi="Times New Roman" w:eastAsia="宋体" w:cs="Times New Roman"/>
                <w:b/>
                <w:sz w:val="24"/>
                <w:szCs w:val="24"/>
                <w:highlight w:val="none"/>
                <w:lang w:val="en-US" w:eastAsia="zh-CN" w:bidi="ar"/>
              </w:rPr>
              <w:t>号）、《市政府办公室关于对淮安市“三线一单”生态环境分区管控方案内容修改的通知》（淮政办函</w:t>
            </w:r>
            <w:r>
              <w:rPr>
                <w:rFonts w:hint="default" w:ascii="Times New Roman" w:hAnsi="Times New Roman" w:eastAsia="宋体" w:cs="Times New Roman"/>
                <w:b/>
                <w:sz w:val="24"/>
                <w:szCs w:val="24"/>
                <w:highlight w:val="none"/>
                <w:lang w:val="en-US" w:eastAsia="zh-CN" w:bidi="ar"/>
              </w:rPr>
              <w:t>[2022]5</w:t>
            </w:r>
            <w:r>
              <w:rPr>
                <w:rFonts w:hint="eastAsia" w:ascii="Times New Roman" w:hAnsi="Times New Roman" w:eastAsia="宋体" w:cs="Times New Roman"/>
                <w:b/>
                <w:sz w:val="24"/>
                <w:szCs w:val="24"/>
                <w:highlight w:val="none"/>
                <w:lang w:val="en-US" w:eastAsia="zh-CN" w:bidi="ar"/>
              </w:rPr>
              <w:t>号）相符性分析</w:t>
            </w:r>
          </w:p>
          <w:p w14:paraId="2C37EA4F">
            <w:pPr>
              <w:spacing w:line="480" w:lineRule="exact"/>
              <w:ind w:firstLine="480" w:firstLineChars="200"/>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对照《市政府关于印发</w:t>
            </w:r>
            <w:r>
              <w:rPr>
                <w:rFonts w:hint="default" w:ascii="Times New Roman" w:hAnsi="Times New Roman" w:eastAsia="宋体" w:cs="Times New Roman"/>
                <w:kern w:val="2"/>
                <w:sz w:val="24"/>
                <w:szCs w:val="24"/>
                <w:highlight w:val="none"/>
                <w:lang w:val="en-US" w:eastAsia="zh-CN" w:bidi="ar-SA"/>
              </w:rPr>
              <w:t>&lt;</w:t>
            </w:r>
            <w:r>
              <w:rPr>
                <w:rFonts w:hint="eastAsia" w:ascii="Times New Roman" w:hAnsi="Times New Roman" w:eastAsia="宋体" w:cs="Times New Roman"/>
                <w:kern w:val="2"/>
                <w:sz w:val="24"/>
                <w:szCs w:val="24"/>
                <w:highlight w:val="none"/>
                <w:lang w:val="en-US" w:eastAsia="zh-CN" w:bidi="ar-SA"/>
              </w:rPr>
              <w:t>淮安市</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三线一单</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生态环境分区管控方案</w:t>
            </w:r>
            <w:r>
              <w:rPr>
                <w:rFonts w:hint="default" w:ascii="Times New Roman" w:hAnsi="Times New Roman" w:eastAsia="宋体" w:cs="Times New Roman"/>
                <w:kern w:val="2"/>
                <w:sz w:val="24"/>
                <w:szCs w:val="24"/>
                <w:highlight w:val="none"/>
                <w:lang w:val="en-US" w:eastAsia="zh-CN" w:bidi="ar-SA"/>
              </w:rPr>
              <w:t>&gt;</w:t>
            </w:r>
            <w:r>
              <w:rPr>
                <w:rFonts w:hint="eastAsia" w:ascii="Times New Roman" w:hAnsi="Times New Roman" w:eastAsia="宋体" w:cs="Times New Roman"/>
                <w:kern w:val="2"/>
                <w:sz w:val="24"/>
                <w:szCs w:val="24"/>
                <w:highlight w:val="none"/>
                <w:lang w:val="en-US" w:eastAsia="zh-CN" w:bidi="ar-SA"/>
              </w:rPr>
              <w:t>的通知》（淮政发</w:t>
            </w:r>
            <w:r>
              <w:rPr>
                <w:rFonts w:hint="default" w:ascii="Times New Roman" w:hAnsi="Times New Roman" w:eastAsia="宋体" w:cs="Times New Roman"/>
                <w:kern w:val="2"/>
                <w:sz w:val="24"/>
                <w:szCs w:val="24"/>
                <w:highlight w:val="none"/>
                <w:lang w:val="en-US" w:eastAsia="zh-CN" w:bidi="ar-SA"/>
              </w:rPr>
              <w:t>[2020]16</w:t>
            </w:r>
            <w:r>
              <w:rPr>
                <w:rFonts w:hint="eastAsia" w:ascii="Times New Roman" w:hAnsi="Times New Roman" w:eastAsia="宋体" w:cs="Times New Roman"/>
                <w:kern w:val="2"/>
                <w:sz w:val="24"/>
                <w:szCs w:val="24"/>
                <w:highlight w:val="none"/>
                <w:lang w:val="en-US" w:eastAsia="zh-CN" w:bidi="ar-SA"/>
              </w:rPr>
              <w:t>号）、《市政府办公室关于对淮安市“三线一单”生态环境分区管控方案内容修改的通知》（淮政办函</w:t>
            </w:r>
            <w:r>
              <w:rPr>
                <w:rFonts w:hint="default" w:ascii="Times New Roman" w:hAnsi="Times New Roman" w:eastAsia="宋体" w:cs="Times New Roman"/>
                <w:kern w:val="2"/>
                <w:sz w:val="24"/>
                <w:szCs w:val="24"/>
                <w:highlight w:val="none"/>
                <w:lang w:val="en-US" w:eastAsia="zh-CN" w:bidi="ar-SA"/>
              </w:rPr>
              <w:t>[2022]5</w:t>
            </w:r>
            <w:r>
              <w:rPr>
                <w:rFonts w:hint="eastAsia" w:ascii="Times New Roman" w:hAnsi="Times New Roman" w:eastAsia="宋体" w:cs="Times New Roman"/>
                <w:kern w:val="2"/>
                <w:sz w:val="24"/>
                <w:szCs w:val="24"/>
                <w:highlight w:val="none"/>
                <w:lang w:val="en-US" w:eastAsia="zh-CN" w:bidi="ar-SA"/>
              </w:rPr>
              <w:t>号），项目所在地属于优先保护单元，相符性分析见表</w:t>
            </w:r>
            <w:r>
              <w:rPr>
                <w:rFonts w:hint="default" w:ascii="Times New Roman" w:hAnsi="Times New Roman" w:eastAsia="宋体" w:cs="Times New Roman"/>
                <w:kern w:val="2"/>
                <w:sz w:val="24"/>
                <w:szCs w:val="24"/>
                <w:highlight w:val="none"/>
                <w:lang w:val="en-US" w:eastAsia="zh-CN" w:bidi="ar-SA"/>
              </w:rPr>
              <w:t>1.</w:t>
            </w:r>
            <w:r>
              <w:rPr>
                <w:rFonts w:hint="eastAsia" w:ascii="Times New Roman" w:hAnsi="Times New Roman" w:eastAsia="宋体" w:cs="Times New Roman"/>
                <w:kern w:val="2"/>
                <w:sz w:val="24"/>
                <w:szCs w:val="24"/>
                <w:highlight w:val="none"/>
                <w:lang w:val="en-US" w:eastAsia="zh-CN" w:bidi="ar-SA"/>
              </w:rPr>
              <w:t>5</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1。</w:t>
            </w:r>
          </w:p>
          <w:p w14:paraId="5399CD37">
            <w:pPr>
              <w:spacing w:line="480" w:lineRule="exact"/>
              <w:jc w:val="center"/>
              <w:rPr>
                <w:rFonts w:hint="default" w:ascii="Times New Roman" w:hAnsi="Times New Roman" w:eastAsia="宋体" w:cs="Times New Roman"/>
                <w:b/>
                <w:bCs/>
                <w:sz w:val="24"/>
                <w:szCs w:val="21"/>
                <w:highlight w:val="none"/>
                <w:lang w:val="en-US" w:eastAsia="zh-CN"/>
              </w:rPr>
            </w:pPr>
            <w:r>
              <w:rPr>
                <w:rFonts w:hint="eastAsia" w:ascii="Times New Roman" w:hAnsi="Times New Roman" w:eastAsia="宋体" w:cs="Times New Roman"/>
                <w:b/>
                <w:bCs/>
                <w:sz w:val="24"/>
                <w:szCs w:val="21"/>
                <w:highlight w:val="none"/>
                <w:lang w:val="en-US" w:eastAsia="zh-CN"/>
              </w:rPr>
              <w:t xml:space="preserve">1.5-1 </w:t>
            </w:r>
            <w:r>
              <w:rPr>
                <w:rFonts w:hint="eastAsia" w:eastAsia="宋体" w:cs="Times New Roman"/>
                <w:b/>
                <w:bCs/>
                <w:sz w:val="24"/>
                <w:szCs w:val="21"/>
                <w:highlight w:val="none"/>
                <w:lang w:val="en-US" w:eastAsia="zh-CN"/>
              </w:rPr>
              <w:t xml:space="preserve"> </w:t>
            </w:r>
            <w:r>
              <w:rPr>
                <w:rFonts w:hint="eastAsia" w:ascii="Times New Roman" w:hAnsi="Times New Roman" w:eastAsia="宋体" w:cs="Times New Roman"/>
                <w:b/>
                <w:bCs/>
                <w:sz w:val="24"/>
                <w:szCs w:val="21"/>
                <w:highlight w:val="none"/>
                <w:lang w:val="en-US" w:eastAsia="zh-CN"/>
              </w:rPr>
              <w:t>项目与《市政府关于印发</w:t>
            </w:r>
            <w:r>
              <w:rPr>
                <w:rFonts w:hint="default" w:ascii="Times New Roman" w:hAnsi="Times New Roman" w:eastAsia="宋体" w:cs="Times New Roman"/>
                <w:b/>
                <w:bCs/>
                <w:sz w:val="24"/>
                <w:szCs w:val="21"/>
                <w:highlight w:val="none"/>
                <w:lang w:val="en-US" w:eastAsia="zh-CN"/>
              </w:rPr>
              <w:t>&lt;</w:t>
            </w:r>
            <w:r>
              <w:rPr>
                <w:rFonts w:hint="eastAsia" w:ascii="Times New Roman" w:hAnsi="Times New Roman" w:eastAsia="宋体" w:cs="Times New Roman"/>
                <w:b/>
                <w:bCs/>
                <w:sz w:val="24"/>
                <w:szCs w:val="21"/>
                <w:highlight w:val="none"/>
                <w:lang w:val="en-US" w:eastAsia="zh-CN"/>
              </w:rPr>
              <w:t>淮安市</w:t>
            </w:r>
            <w:r>
              <w:rPr>
                <w:rFonts w:hint="default" w:ascii="Times New Roman" w:hAnsi="Times New Roman" w:eastAsia="宋体" w:cs="Times New Roman"/>
                <w:b/>
                <w:bCs/>
                <w:sz w:val="24"/>
                <w:szCs w:val="21"/>
                <w:highlight w:val="none"/>
                <w:lang w:val="en-US" w:eastAsia="zh-CN"/>
              </w:rPr>
              <w:t>“</w:t>
            </w:r>
            <w:r>
              <w:rPr>
                <w:rFonts w:hint="eastAsia" w:ascii="Times New Roman" w:hAnsi="Times New Roman" w:eastAsia="宋体" w:cs="Times New Roman"/>
                <w:b/>
                <w:bCs/>
                <w:sz w:val="24"/>
                <w:szCs w:val="21"/>
                <w:highlight w:val="none"/>
                <w:lang w:val="en-US" w:eastAsia="zh-CN"/>
              </w:rPr>
              <w:t>三线一单</w:t>
            </w:r>
            <w:r>
              <w:rPr>
                <w:rFonts w:hint="default" w:ascii="Times New Roman" w:hAnsi="Times New Roman" w:eastAsia="宋体" w:cs="Times New Roman"/>
                <w:b/>
                <w:bCs/>
                <w:sz w:val="24"/>
                <w:szCs w:val="21"/>
                <w:highlight w:val="none"/>
                <w:lang w:val="en-US" w:eastAsia="zh-CN"/>
              </w:rPr>
              <w:t>”</w:t>
            </w:r>
            <w:r>
              <w:rPr>
                <w:rFonts w:hint="eastAsia" w:ascii="Times New Roman" w:hAnsi="Times New Roman" w:eastAsia="宋体" w:cs="Times New Roman"/>
                <w:b/>
                <w:bCs/>
                <w:sz w:val="24"/>
                <w:szCs w:val="21"/>
                <w:highlight w:val="none"/>
                <w:lang w:val="en-US" w:eastAsia="zh-CN"/>
              </w:rPr>
              <w:t>生态环境分区管控方案</w:t>
            </w:r>
            <w:r>
              <w:rPr>
                <w:rFonts w:hint="default" w:ascii="Times New Roman" w:hAnsi="Times New Roman" w:eastAsia="宋体" w:cs="Times New Roman"/>
                <w:b/>
                <w:bCs/>
                <w:sz w:val="24"/>
                <w:szCs w:val="21"/>
                <w:highlight w:val="none"/>
                <w:lang w:val="en-US" w:eastAsia="zh-CN"/>
              </w:rPr>
              <w:t>&gt;</w:t>
            </w:r>
            <w:r>
              <w:rPr>
                <w:rFonts w:hint="eastAsia" w:ascii="Times New Roman" w:hAnsi="Times New Roman" w:eastAsia="宋体" w:cs="Times New Roman"/>
                <w:b/>
                <w:bCs/>
                <w:sz w:val="24"/>
                <w:szCs w:val="21"/>
                <w:highlight w:val="none"/>
                <w:lang w:val="en-US" w:eastAsia="zh-CN"/>
              </w:rPr>
              <w:t>的通知》（淮政发</w:t>
            </w:r>
            <w:r>
              <w:rPr>
                <w:rFonts w:hint="default" w:ascii="Times New Roman" w:hAnsi="Times New Roman" w:eastAsia="宋体" w:cs="Times New Roman"/>
                <w:b/>
                <w:bCs/>
                <w:sz w:val="24"/>
                <w:szCs w:val="21"/>
                <w:highlight w:val="none"/>
                <w:lang w:val="en-US" w:eastAsia="zh-CN"/>
              </w:rPr>
              <w:t>[2020]16</w:t>
            </w:r>
            <w:r>
              <w:rPr>
                <w:rFonts w:hint="eastAsia" w:ascii="Times New Roman" w:hAnsi="Times New Roman" w:eastAsia="宋体" w:cs="Times New Roman"/>
                <w:b/>
                <w:bCs/>
                <w:sz w:val="24"/>
                <w:szCs w:val="21"/>
                <w:highlight w:val="none"/>
                <w:lang w:val="en-US" w:eastAsia="zh-CN"/>
              </w:rPr>
              <w:t>号）、《市政府办公室关于对淮安市“三线一单”生态环境分区管控方案内容修改的通知》（淮政办函</w:t>
            </w:r>
            <w:r>
              <w:rPr>
                <w:rFonts w:hint="default" w:ascii="Times New Roman" w:hAnsi="Times New Roman" w:eastAsia="宋体" w:cs="Times New Roman"/>
                <w:b/>
                <w:bCs/>
                <w:sz w:val="24"/>
                <w:szCs w:val="21"/>
                <w:highlight w:val="none"/>
                <w:lang w:val="en-US" w:eastAsia="zh-CN"/>
              </w:rPr>
              <w:t>[2022]5</w:t>
            </w:r>
            <w:r>
              <w:rPr>
                <w:rFonts w:hint="eastAsia" w:ascii="Times New Roman" w:hAnsi="Times New Roman" w:eastAsia="宋体" w:cs="Times New Roman"/>
                <w:b/>
                <w:bCs/>
                <w:sz w:val="24"/>
                <w:szCs w:val="21"/>
                <w:highlight w:val="none"/>
                <w:lang w:val="en-US" w:eastAsia="zh-CN"/>
              </w:rPr>
              <w:t>号）相符性分析</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65"/>
              <w:gridCol w:w="1962"/>
              <w:gridCol w:w="2763"/>
              <w:gridCol w:w="2413"/>
            </w:tblGrid>
            <w:tr w14:paraId="3AB05E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tcBorders>
                    <w:tl2br w:val="nil"/>
                    <w:tr2bl w:val="nil"/>
                  </w:tcBorders>
                  <w:noWrap w:val="0"/>
                  <w:vAlign w:val="center"/>
                </w:tcPr>
                <w:p w14:paraId="78A74F3B">
                  <w:pPr>
                    <w:tabs>
                      <w:tab w:val="left" w:pos="826"/>
                    </w:tabs>
                    <w:jc w:val="center"/>
                    <w:rPr>
                      <w:rFonts w:hint="eastAsia" w:ascii="Times New Roman" w:hAnsi="Times New Roman" w:eastAsia="宋体" w:cs="Times New Roman"/>
                      <w:b/>
                      <w:sz w:val="21"/>
                      <w:szCs w:val="21"/>
                      <w:highlight w:val="none"/>
                      <w:lang w:eastAsia="zh-CN"/>
                    </w:rPr>
                  </w:pPr>
                  <w:r>
                    <w:rPr>
                      <w:rFonts w:hint="eastAsia" w:cs="Times New Roman"/>
                      <w:b/>
                      <w:sz w:val="21"/>
                      <w:szCs w:val="21"/>
                      <w:highlight w:val="none"/>
                      <w:lang w:val="en-US" w:eastAsia="zh-CN"/>
                    </w:rPr>
                    <w:t>管控类别</w:t>
                  </w:r>
                </w:p>
              </w:tc>
              <w:tc>
                <w:tcPr>
                  <w:tcW w:w="2714" w:type="pct"/>
                  <w:gridSpan w:val="2"/>
                  <w:tcBorders>
                    <w:tl2br w:val="nil"/>
                    <w:tr2bl w:val="nil"/>
                  </w:tcBorders>
                  <w:noWrap w:val="0"/>
                  <w:vAlign w:val="center"/>
                </w:tcPr>
                <w:p w14:paraId="478659C7">
                  <w:pPr>
                    <w:tabs>
                      <w:tab w:val="left" w:pos="826"/>
                    </w:tabs>
                    <w:jc w:val="center"/>
                    <w:rPr>
                      <w:rFonts w:hint="default" w:ascii="Times New Roman" w:hAnsi="Times New Roman" w:eastAsia="宋体" w:cs="Times New Roman"/>
                      <w:b/>
                      <w:sz w:val="21"/>
                      <w:szCs w:val="21"/>
                      <w:highlight w:val="none"/>
                      <w:lang w:val="en-US" w:eastAsia="zh-CN"/>
                    </w:rPr>
                  </w:pPr>
                  <w:r>
                    <w:rPr>
                      <w:rFonts w:hint="eastAsia" w:eastAsia="宋体" w:cs="Times New Roman"/>
                      <w:b/>
                      <w:sz w:val="21"/>
                      <w:szCs w:val="21"/>
                      <w:highlight w:val="none"/>
                      <w:lang w:val="en-US" w:eastAsia="zh-CN"/>
                    </w:rPr>
                    <w:t>管控要求</w:t>
                  </w:r>
                </w:p>
              </w:tc>
              <w:tc>
                <w:tcPr>
                  <w:tcW w:w="1386" w:type="pct"/>
                  <w:tcBorders>
                    <w:tl2br w:val="nil"/>
                    <w:tr2bl w:val="nil"/>
                  </w:tcBorders>
                  <w:noWrap w:val="0"/>
                  <w:vAlign w:val="center"/>
                </w:tcPr>
                <w:p w14:paraId="1983041F">
                  <w:pPr>
                    <w:tabs>
                      <w:tab w:val="left" w:pos="826"/>
                    </w:tabs>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相符性</w:t>
                  </w:r>
                </w:p>
              </w:tc>
            </w:tr>
            <w:tr w14:paraId="4AED96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2" w:hRule="atLeast"/>
                <w:jc w:val="center"/>
              </w:trPr>
              <w:tc>
                <w:tcPr>
                  <w:tcW w:w="899" w:type="pct"/>
                  <w:vMerge w:val="restart"/>
                  <w:tcBorders>
                    <w:tl2br w:val="nil"/>
                    <w:tr2bl w:val="nil"/>
                  </w:tcBorders>
                  <w:noWrap w:val="0"/>
                  <w:vAlign w:val="center"/>
                </w:tcPr>
                <w:p w14:paraId="0C61514A">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京杭大运河（淮安区）清水通道维护区</w:t>
                  </w:r>
                </w:p>
              </w:tc>
              <w:tc>
                <w:tcPr>
                  <w:tcW w:w="1127" w:type="pct"/>
                  <w:tcBorders>
                    <w:tl2br w:val="nil"/>
                    <w:tr2bl w:val="nil"/>
                  </w:tcBorders>
                  <w:noWrap w:val="0"/>
                  <w:vAlign w:val="center"/>
                </w:tcPr>
                <w:p w14:paraId="4D761705">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空间布局约束</w:t>
                  </w:r>
                </w:p>
              </w:tc>
              <w:tc>
                <w:tcPr>
                  <w:tcW w:w="1587" w:type="pct"/>
                  <w:tcBorders>
                    <w:tl2br w:val="nil"/>
                    <w:tr2bl w:val="nil"/>
                  </w:tcBorders>
                  <w:noWrap w:val="0"/>
                  <w:vAlign w:val="center"/>
                </w:tcPr>
                <w:p w14:paraId="1DF92D47">
                  <w:pPr>
                    <w:tabs>
                      <w:tab w:val="left" w:pos="826"/>
                    </w:tabs>
                    <w:jc w:val="left"/>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严格执行《南水北调工程供用水管理条例》《江苏省河道管理条例》和《江苏省通榆河水污染防治条例》等有关规定。</w:t>
                  </w:r>
                </w:p>
              </w:tc>
              <w:tc>
                <w:tcPr>
                  <w:tcW w:w="1386" w:type="pct"/>
                  <w:tcBorders>
                    <w:tl2br w:val="nil"/>
                    <w:tr2bl w:val="nil"/>
                  </w:tcBorders>
                  <w:noWrap w:val="0"/>
                  <w:vAlign w:val="center"/>
                </w:tcPr>
                <w:p w14:paraId="0012699E">
                  <w:pPr>
                    <w:tabs>
                      <w:tab w:val="left" w:pos="826"/>
                    </w:tabs>
                    <w:jc w:val="both"/>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相符。</w:t>
                  </w:r>
                </w:p>
                <w:p w14:paraId="294A1784">
                  <w:pPr>
                    <w:snapToGrid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（1）本项目清水通道维护区内</w:t>
                  </w:r>
                  <w:r>
                    <w:rPr>
                      <w:rFonts w:hint="default" w:ascii="Times New Roman" w:hAnsi="Times New Roman" w:eastAsia="宋体" w:cs="Times New Roman"/>
                      <w:sz w:val="21"/>
                      <w:szCs w:val="21"/>
                      <w:highlight w:val="none"/>
                      <w:lang w:val="en-US" w:eastAsia="zh-CN"/>
                    </w:rPr>
                    <w:t>为锚地</w:t>
                  </w:r>
                  <w:r>
                    <w:rPr>
                      <w:rFonts w:hint="default" w:ascii="Times New Roman" w:hAnsi="Times New Roman" w:eastAsia="宋体" w:cs="Times New Roman"/>
                      <w:sz w:val="21"/>
                      <w:szCs w:val="21"/>
                      <w:highlight w:val="none"/>
                    </w:rPr>
                    <w:t>工程，不会损坏堤防、护岸、闸坝等。</w:t>
                  </w:r>
                </w:p>
                <w:p w14:paraId="6F61EDD6">
                  <w:pPr>
                    <w:snapToGrid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r>
                    <w:rPr>
                      <w:rFonts w:hint="default" w:ascii="Times New Roman" w:hAnsi="Times New Roman" w:eastAsia="宋体" w:cs="Times New Roman"/>
                      <w:sz w:val="21"/>
                      <w:szCs w:val="21"/>
                      <w:highlight w:val="none"/>
                      <w:lang w:val="en-US" w:eastAsia="zh-CN"/>
                    </w:rPr>
                    <w:t>京杭大运河</w:t>
                  </w:r>
                  <w:r>
                    <w:rPr>
                      <w:rFonts w:hint="default" w:ascii="Times New Roman" w:hAnsi="Times New Roman" w:eastAsia="宋体" w:cs="Times New Roman"/>
                      <w:sz w:val="21"/>
                      <w:szCs w:val="21"/>
                      <w:highlight w:val="none"/>
                    </w:rPr>
                    <w:t>航道具备行洪、排涝功能，本项目为</w:t>
                  </w:r>
                  <w:r>
                    <w:rPr>
                      <w:rFonts w:hint="eastAsia" w:cs="Times New Roman"/>
                      <w:color w:val="auto"/>
                      <w:sz w:val="21"/>
                      <w:szCs w:val="21"/>
                      <w:highlight w:val="none"/>
                      <w:lang w:val="en-US" w:eastAsia="zh-CN"/>
                    </w:rPr>
                    <w:t>京杭运河淮安段黄码港锚地工程</w:t>
                  </w:r>
                  <w:r>
                    <w:rPr>
                      <w:rFonts w:hint="default" w:ascii="Times New Roman" w:hAnsi="Times New Roman" w:eastAsia="宋体" w:cs="Times New Roman"/>
                      <w:sz w:val="21"/>
                      <w:szCs w:val="21"/>
                      <w:highlight w:val="none"/>
                    </w:rPr>
                    <w:t>，不属于侵占河道、危害防洪安全、影响河势稳定和破坏河道水环境的活动，其防洪评价报告</w:t>
                  </w:r>
                  <w:r>
                    <w:rPr>
                      <w:rFonts w:hint="eastAsia" w:cs="Times New Roman"/>
                      <w:sz w:val="21"/>
                      <w:szCs w:val="21"/>
                      <w:highlight w:val="none"/>
                      <w:lang w:val="en-US" w:eastAsia="zh-CN"/>
                    </w:rPr>
                    <w:t>已编制完成</w:t>
                  </w:r>
                  <w:r>
                    <w:rPr>
                      <w:rFonts w:hint="default" w:ascii="Times New Roman" w:hAnsi="Times New Roman" w:eastAsia="宋体" w:cs="Times New Roman"/>
                      <w:sz w:val="21"/>
                      <w:szCs w:val="21"/>
                      <w:highlight w:val="none"/>
                    </w:rPr>
                    <w:t>。</w:t>
                  </w:r>
                </w:p>
                <w:p w14:paraId="0E3C5A01">
                  <w:pPr>
                    <w:snapToGrid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（3）本项目为</w:t>
                  </w:r>
                  <w:r>
                    <w:rPr>
                      <w:rFonts w:hint="eastAsia" w:cs="Times New Roman"/>
                      <w:color w:val="auto"/>
                      <w:sz w:val="21"/>
                      <w:szCs w:val="21"/>
                      <w:highlight w:val="none"/>
                      <w:lang w:val="en-US" w:eastAsia="zh-CN"/>
                    </w:rPr>
                    <w:t>京杭运河淮安段黄码港锚地工程</w:t>
                  </w:r>
                  <w:r>
                    <w:rPr>
                      <w:rFonts w:hint="default" w:ascii="Times New Roman" w:hAnsi="Times New Roman" w:eastAsia="宋体" w:cs="Times New Roman"/>
                      <w:sz w:val="21"/>
                      <w:szCs w:val="21"/>
                      <w:highlight w:val="none"/>
                    </w:rPr>
                    <w:t>，不会在堤防和护堤地建房、垦种、堆放物料等。</w:t>
                  </w:r>
                </w:p>
              </w:tc>
            </w:tr>
            <w:tr w14:paraId="743B7F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5E207831">
                  <w:pPr>
                    <w:tabs>
                      <w:tab w:val="left" w:pos="826"/>
                    </w:tabs>
                    <w:rPr>
                      <w:rFonts w:hint="default" w:ascii="Times New Roman" w:hAnsi="Times New Roman" w:eastAsia="宋体" w:cs="Times New Roman"/>
                      <w:sz w:val="21"/>
                      <w:szCs w:val="21"/>
                      <w:highlight w:val="none"/>
                    </w:rPr>
                  </w:pPr>
                </w:p>
              </w:tc>
              <w:tc>
                <w:tcPr>
                  <w:tcW w:w="1127" w:type="pct"/>
                  <w:tcBorders>
                    <w:tl2br w:val="nil"/>
                    <w:tr2bl w:val="nil"/>
                  </w:tcBorders>
                  <w:noWrap w:val="0"/>
                  <w:vAlign w:val="center"/>
                </w:tcPr>
                <w:p w14:paraId="0C5B59B4">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污染物排放管控</w:t>
                  </w:r>
                </w:p>
              </w:tc>
              <w:tc>
                <w:tcPr>
                  <w:tcW w:w="1587" w:type="pct"/>
                  <w:tcBorders>
                    <w:tl2br w:val="nil"/>
                    <w:tr2bl w:val="nil"/>
                  </w:tcBorders>
                  <w:noWrap w:val="0"/>
                  <w:vAlign w:val="center"/>
                </w:tcPr>
                <w:p w14:paraId="4F39F9D1">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6B2C36FF">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1998EF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36DAF564">
                  <w:pPr>
                    <w:tabs>
                      <w:tab w:val="left" w:pos="826"/>
                    </w:tabs>
                    <w:rPr>
                      <w:rFonts w:hint="default" w:ascii="Times New Roman" w:hAnsi="Times New Roman" w:eastAsia="宋体" w:cs="Times New Roman"/>
                      <w:sz w:val="21"/>
                      <w:szCs w:val="21"/>
                      <w:highlight w:val="none"/>
                    </w:rPr>
                  </w:pPr>
                </w:p>
              </w:tc>
              <w:tc>
                <w:tcPr>
                  <w:tcW w:w="1127" w:type="pct"/>
                  <w:tcBorders>
                    <w:tl2br w:val="nil"/>
                    <w:tr2bl w:val="nil"/>
                  </w:tcBorders>
                  <w:noWrap w:val="0"/>
                  <w:vAlign w:val="center"/>
                </w:tcPr>
                <w:p w14:paraId="7F3A1563">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环境风险防控</w:t>
                  </w:r>
                </w:p>
              </w:tc>
              <w:tc>
                <w:tcPr>
                  <w:tcW w:w="1587" w:type="pct"/>
                  <w:tcBorders>
                    <w:tl2br w:val="nil"/>
                    <w:tr2bl w:val="nil"/>
                  </w:tcBorders>
                  <w:noWrap w:val="0"/>
                  <w:vAlign w:val="center"/>
                </w:tcPr>
                <w:p w14:paraId="3434D3E3">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7887E739">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445996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2D411309">
                  <w:pPr>
                    <w:tabs>
                      <w:tab w:val="left" w:pos="826"/>
                    </w:tabs>
                    <w:rPr>
                      <w:rFonts w:hint="default" w:ascii="Times New Roman" w:hAnsi="Times New Roman" w:eastAsia="宋体" w:cs="Times New Roman"/>
                      <w:sz w:val="21"/>
                      <w:szCs w:val="21"/>
                      <w:highlight w:val="none"/>
                    </w:rPr>
                  </w:pPr>
                </w:p>
              </w:tc>
              <w:tc>
                <w:tcPr>
                  <w:tcW w:w="1127" w:type="pct"/>
                  <w:tcBorders>
                    <w:tl2br w:val="nil"/>
                    <w:tr2bl w:val="nil"/>
                  </w:tcBorders>
                  <w:noWrap w:val="0"/>
                  <w:vAlign w:val="center"/>
                </w:tcPr>
                <w:p w14:paraId="3B45866D">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资源开发效率要求</w:t>
                  </w:r>
                </w:p>
              </w:tc>
              <w:tc>
                <w:tcPr>
                  <w:tcW w:w="1587" w:type="pct"/>
                  <w:tcBorders>
                    <w:tl2br w:val="nil"/>
                    <w:tr2bl w:val="nil"/>
                  </w:tcBorders>
                  <w:noWrap w:val="0"/>
                  <w:vAlign w:val="center"/>
                </w:tcPr>
                <w:p w14:paraId="6E7CEB44">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711FE9D8">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03A217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restart"/>
                  <w:tcBorders>
                    <w:tl2br w:val="nil"/>
                    <w:tr2bl w:val="nil"/>
                  </w:tcBorders>
                  <w:noWrap w:val="0"/>
                  <w:vAlign w:val="center"/>
                </w:tcPr>
                <w:p w14:paraId="26F35C73">
                  <w:pPr>
                    <w:tabs>
                      <w:tab w:val="left" w:pos="826"/>
                    </w:tabs>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京杭大运河（淮安市区）清水通道维护区</w:t>
                  </w:r>
                </w:p>
              </w:tc>
              <w:tc>
                <w:tcPr>
                  <w:tcW w:w="1127" w:type="pct"/>
                  <w:tcBorders>
                    <w:tl2br w:val="nil"/>
                    <w:tr2bl w:val="nil"/>
                  </w:tcBorders>
                  <w:noWrap w:val="0"/>
                  <w:vAlign w:val="center"/>
                </w:tcPr>
                <w:p w14:paraId="6A6E169B">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空间布局约束</w:t>
                  </w:r>
                </w:p>
              </w:tc>
              <w:tc>
                <w:tcPr>
                  <w:tcW w:w="1587" w:type="pct"/>
                  <w:tcBorders>
                    <w:tl2br w:val="nil"/>
                    <w:tr2bl w:val="nil"/>
                  </w:tcBorders>
                  <w:noWrap w:val="0"/>
                  <w:vAlign w:val="center"/>
                </w:tcPr>
                <w:p w14:paraId="61215F84">
                  <w:pPr>
                    <w:tabs>
                      <w:tab w:val="left" w:pos="826"/>
                    </w:tabs>
                    <w:rPr>
                      <w:rFonts w:hint="default" w:ascii="Times New Roman" w:hAnsi="Times New Roman" w:eastAsia="宋体" w:cs="Times New Roman"/>
                      <w:sz w:val="21"/>
                      <w:szCs w:val="21"/>
                      <w:highlight w:val="none"/>
                    </w:rPr>
                  </w:pPr>
                  <w:r>
                    <w:rPr>
                      <w:rFonts w:hint="default" w:ascii="Times New Roman" w:hAnsi="Times New Roman" w:eastAsia="宋体" w:cs="Times New Roman"/>
                      <w:bCs/>
                      <w:kern w:val="0"/>
                      <w:sz w:val="21"/>
                      <w:szCs w:val="21"/>
                      <w:highlight w:val="none"/>
                    </w:rPr>
                    <w:t>严格执行《南水北调工程供用水管理条例》《江苏省河道管理条例》和《江苏省通榆河水污染防治条例》等有关规定。</w:t>
                  </w:r>
                </w:p>
              </w:tc>
              <w:tc>
                <w:tcPr>
                  <w:tcW w:w="1386" w:type="pct"/>
                  <w:tcBorders>
                    <w:tl2br w:val="nil"/>
                    <w:tr2bl w:val="nil"/>
                  </w:tcBorders>
                  <w:noWrap w:val="0"/>
                  <w:vAlign w:val="center"/>
                </w:tcPr>
                <w:p w14:paraId="02186331">
                  <w:pPr>
                    <w:tabs>
                      <w:tab w:val="left" w:pos="826"/>
                    </w:tabs>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相符。</w:t>
                  </w:r>
                </w:p>
                <w:p w14:paraId="0B6EE8A3">
                  <w:pPr>
                    <w:snapToGrid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（1）本项目清水通道维护区内</w:t>
                  </w:r>
                  <w:r>
                    <w:rPr>
                      <w:rFonts w:hint="default" w:ascii="Times New Roman" w:hAnsi="Times New Roman" w:eastAsia="宋体" w:cs="Times New Roman"/>
                      <w:sz w:val="21"/>
                      <w:szCs w:val="21"/>
                      <w:highlight w:val="none"/>
                      <w:lang w:val="en-US" w:eastAsia="zh-CN"/>
                    </w:rPr>
                    <w:t>为疏浚</w:t>
                  </w:r>
                  <w:r>
                    <w:rPr>
                      <w:rFonts w:hint="default" w:ascii="Times New Roman" w:hAnsi="Times New Roman" w:eastAsia="宋体" w:cs="Times New Roman"/>
                      <w:sz w:val="21"/>
                      <w:szCs w:val="21"/>
                      <w:highlight w:val="none"/>
                    </w:rPr>
                    <w:t>工程，不会损坏堤防、护岸、闸坝等。</w:t>
                  </w:r>
                </w:p>
                <w:p w14:paraId="76DA864D">
                  <w:pPr>
                    <w:snapToGrid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r>
                    <w:rPr>
                      <w:rFonts w:hint="default" w:ascii="Times New Roman" w:hAnsi="Times New Roman" w:eastAsia="宋体" w:cs="Times New Roman"/>
                      <w:sz w:val="21"/>
                      <w:szCs w:val="21"/>
                      <w:highlight w:val="none"/>
                      <w:lang w:val="en-US" w:eastAsia="zh-CN"/>
                    </w:rPr>
                    <w:t>京杭大运河</w:t>
                  </w:r>
                  <w:r>
                    <w:rPr>
                      <w:rFonts w:hint="default" w:ascii="Times New Roman" w:hAnsi="Times New Roman" w:eastAsia="宋体" w:cs="Times New Roman"/>
                      <w:sz w:val="21"/>
                      <w:szCs w:val="21"/>
                      <w:highlight w:val="none"/>
                    </w:rPr>
                    <w:t>航道具备行洪、排涝功能，本项目为</w:t>
                  </w:r>
                  <w:r>
                    <w:rPr>
                      <w:rFonts w:hint="default" w:ascii="Times New Roman" w:hAnsi="Times New Roman" w:eastAsia="宋体" w:cs="Times New Roman"/>
                      <w:color w:val="auto"/>
                      <w:sz w:val="21"/>
                      <w:szCs w:val="21"/>
                      <w:highlight w:val="none"/>
                      <w:lang w:val="en-US" w:eastAsia="zh-CN"/>
                    </w:rPr>
                    <w:t>疏浚工程项目</w:t>
                  </w:r>
                  <w:r>
                    <w:rPr>
                      <w:rFonts w:hint="default" w:ascii="Times New Roman" w:hAnsi="Times New Roman" w:eastAsia="宋体" w:cs="Times New Roman"/>
                      <w:sz w:val="21"/>
                      <w:szCs w:val="21"/>
                      <w:highlight w:val="none"/>
                    </w:rPr>
                    <w:t>，不属于侵占河道、危害防洪安全、影响河势稳定和破坏河道水环境的活动，其防洪评价报告</w:t>
                  </w:r>
                  <w:r>
                    <w:rPr>
                      <w:rFonts w:hint="eastAsia" w:cs="Times New Roman"/>
                      <w:sz w:val="21"/>
                      <w:szCs w:val="21"/>
                      <w:highlight w:val="none"/>
                      <w:lang w:val="en-US" w:eastAsia="zh-CN"/>
                    </w:rPr>
                    <w:t>已编制完成。</w:t>
                  </w:r>
                </w:p>
                <w:p w14:paraId="2CCC912F">
                  <w:pPr>
                    <w:tabs>
                      <w:tab w:val="left" w:pos="826"/>
                    </w:tabs>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（3）本项目为</w:t>
                  </w:r>
                  <w:r>
                    <w:rPr>
                      <w:rFonts w:hint="default" w:ascii="Times New Roman" w:hAnsi="Times New Roman" w:eastAsia="宋体" w:cs="Times New Roman"/>
                      <w:color w:val="auto"/>
                      <w:sz w:val="21"/>
                      <w:szCs w:val="21"/>
                      <w:highlight w:val="none"/>
                      <w:lang w:val="en-US" w:eastAsia="zh-CN"/>
                    </w:rPr>
                    <w:t>疏浚工程项目</w:t>
                  </w:r>
                  <w:r>
                    <w:rPr>
                      <w:rFonts w:hint="default" w:ascii="Times New Roman" w:hAnsi="Times New Roman" w:eastAsia="宋体" w:cs="Times New Roman"/>
                      <w:sz w:val="21"/>
                      <w:szCs w:val="21"/>
                      <w:highlight w:val="none"/>
                    </w:rPr>
                    <w:t>，不会在堤防和护堤地建房、垦种、堆放物料等。</w:t>
                  </w:r>
                </w:p>
              </w:tc>
            </w:tr>
            <w:tr w14:paraId="2E285E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75A5F136">
                  <w:pPr>
                    <w:tabs>
                      <w:tab w:val="left" w:pos="826"/>
                    </w:tabs>
                    <w:rPr>
                      <w:rFonts w:hint="default" w:ascii="Times New Roman" w:hAnsi="Times New Roman" w:eastAsia="宋体" w:cs="Times New Roman"/>
                      <w:sz w:val="21"/>
                      <w:szCs w:val="21"/>
                      <w:highlight w:val="none"/>
                    </w:rPr>
                  </w:pPr>
                </w:p>
              </w:tc>
              <w:tc>
                <w:tcPr>
                  <w:tcW w:w="1127" w:type="pct"/>
                  <w:tcBorders>
                    <w:tl2br w:val="nil"/>
                    <w:tr2bl w:val="nil"/>
                  </w:tcBorders>
                  <w:noWrap w:val="0"/>
                  <w:vAlign w:val="center"/>
                </w:tcPr>
                <w:p w14:paraId="55D479B6">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污染物排放管控</w:t>
                  </w:r>
                </w:p>
              </w:tc>
              <w:tc>
                <w:tcPr>
                  <w:tcW w:w="1587" w:type="pct"/>
                  <w:tcBorders>
                    <w:tl2br w:val="nil"/>
                    <w:tr2bl w:val="nil"/>
                  </w:tcBorders>
                  <w:noWrap w:val="0"/>
                  <w:vAlign w:val="center"/>
                </w:tcPr>
                <w:p w14:paraId="7978C348">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6FC21350">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34EF61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73CA366C">
                  <w:pPr>
                    <w:tabs>
                      <w:tab w:val="left" w:pos="826"/>
                    </w:tabs>
                    <w:rPr>
                      <w:rFonts w:hint="default" w:ascii="Times New Roman" w:hAnsi="Times New Roman" w:eastAsia="宋体" w:cs="Times New Roman"/>
                      <w:sz w:val="21"/>
                      <w:szCs w:val="21"/>
                      <w:highlight w:val="none"/>
                    </w:rPr>
                  </w:pPr>
                </w:p>
              </w:tc>
              <w:tc>
                <w:tcPr>
                  <w:tcW w:w="1127" w:type="pct"/>
                  <w:tcBorders>
                    <w:tl2br w:val="nil"/>
                    <w:tr2bl w:val="nil"/>
                  </w:tcBorders>
                  <w:noWrap w:val="0"/>
                  <w:vAlign w:val="center"/>
                </w:tcPr>
                <w:p w14:paraId="0CB9C1A4">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环境风险防控</w:t>
                  </w:r>
                </w:p>
              </w:tc>
              <w:tc>
                <w:tcPr>
                  <w:tcW w:w="1587" w:type="pct"/>
                  <w:tcBorders>
                    <w:tl2br w:val="nil"/>
                    <w:tr2bl w:val="nil"/>
                  </w:tcBorders>
                  <w:noWrap w:val="0"/>
                  <w:vAlign w:val="center"/>
                </w:tcPr>
                <w:p w14:paraId="67ED1756">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4E3E475B">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2BC0D3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vMerge w:val="continue"/>
                  <w:tcBorders>
                    <w:tl2br w:val="nil"/>
                    <w:tr2bl w:val="nil"/>
                  </w:tcBorders>
                  <w:noWrap w:val="0"/>
                  <w:vAlign w:val="center"/>
                </w:tcPr>
                <w:p w14:paraId="4CADA1E2">
                  <w:pPr>
                    <w:tabs>
                      <w:tab w:val="left" w:pos="826"/>
                    </w:tabs>
                    <w:rPr>
                      <w:rFonts w:hint="default" w:ascii="Times New Roman" w:hAnsi="Times New Roman" w:eastAsia="宋体" w:cs="Times New Roman"/>
                      <w:sz w:val="21"/>
                      <w:szCs w:val="21"/>
                      <w:highlight w:val="none"/>
                    </w:rPr>
                  </w:pPr>
                </w:p>
              </w:tc>
              <w:tc>
                <w:tcPr>
                  <w:tcW w:w="1127" w:type="pct"/>
                  <w:tcBorders>
                    <w:tl2br w:val="nil"/>
                    <w:tr2bl w:val="nil"/>
                  </w:tcBorders>
                  <w:noWrap w:val="0"/>
                  <w:vAlign w:val="center"/>
                </w:tcPr>
                <w:p w14:paraId="55B7F69D">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资源开发效率要求</w:t>
                  </w:r>
                </w:p>
              </w:tc>
              <w:tc>
                <w:tcPr>
                  <w:tcW w:w="1587" w:type="pct"/>
                  <w:tcBorders>
                    <w:tl2br w:val="nil"/>
                    <w:tr2bl w:val="nil"/>
                  </w:tcBorders>
                  <w:noWrap w:val="0"/>
                  <w:vAlign w:val="center"/>
                </w:tcPr>
                <w:p w14:paraId="20D86B1F">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86" w:type="pct"/>
                  <w:tcBorders>
                    <w:tl2br w:val="nil"/>
                    <w:tr2bl w:val="nil"/>
                  </w:tcBorders>
                  <w:noWrap w:val="0"/>
                  <w:vAlign w:val="center"/>
                </w:tcPr>
                <w:p w14:paraId="420367DE">
                  <w:pPr>
                    <w:tabs>
                      <w:tab w:val="left" w:pos="826"/>
                    </w:tabs>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14:paraId="5FFFF7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tcBorders>
                    <w:tl2br w:val="nil"/>
                    <w:tr2bl w:val="nil"/>
                  </w:tcBorders>
                  <w:noWrap w:val="0"/>
                  <w:vAlign w:val="center"/>
                </w:tcPr>
                <w:p w14:paraId="40C00D23">
                  <w:pPr>
                    <w:tabs>
                      <w:tab w:val="left" w:pos="826"/>
                    </w:tabs>
                    <w:rPr>
                      <w:rFonts w:hint="default" w:ascii="Times New Roman" w:hAnsi="Times New Roman" w:eastAsia="宋体" w:cs="Times New Roman"/>
                      <w:bCs/>
                      <w:kern w:val="0"/>
                      <w:sz w:val="21"/>
                      <w:szCs w:val="21"/>
                      <w:highlight w:val="none"/>
                    </w:rPr>
                  </w:pPr>
                  <w:r>
                    <w:rPr>
                      <w:rFonts w:hint="eastAsia" w:ascii="Times New Roman" w:hAnsi="Times New Roman" w:eastAsia="宋体" w:cs="Times New Roman"/>
                      <w:bCs/>
                      <w:kern w:val="0"/>
                      <w:sz w:val="21"/>
                      <w:szCs w:val="21"/>
                      <w:highlight w:val="none"/>
                      <w:lang w:val="en-US" w:eastAsia="zh-CN"/>
                    </w:rPr>
                    <w:t>《市政府办公室关于对淮安市</w:t>
                  </w:r>
                  <w:r>
                    <w:rPr>
                      <w:rFonts w:hint="default" w:ascii="Times New Roman" w:hAnsi="Times New Roman" w:eastAsia="宋体" w:cs="Times New Roman"/>
                      <w:bCs/>
                      <w:kern w:val="0"/>
                      <w:sz w:val="21"/>
                      <w:szCs w:val="21"/>
                      <w:highlight w:val="none"/>
                      <w:lang w:val="en-US" w:eastAsia="zh-CN"/>
                    </w:rPr>
                    <w:t>“</w:t>
                  </w:r>
                  <w:r>
                    <w:rPr>
                      <w:rFonts w:hint="eastAsia" w:ascii="Times New Roman" w:hAnsi="Times New Roman" w:eastAsia="宋体" w:cs="Times New Roman"/>
                      <w:bCs/>
                      <w:kern w:val="0"/>
                      <w:sz w:val="21"/>
                      <w:szCs w:val="21"/>
                      <w:highlight w:val="none"/>
                      <w:lang w:val="en-US" w:eastAsia="zh-CN"/>
                    </w:rPr>
                    <w:t>三线一单</w:t>
                  </w:r>
                  <w:r>
                    <w:rPr>
                      <w:rFonts w:hint="default" w:ascii="Times New Roman" w:hAnsi="Times New Roman" w:eastAsia="宋体" w:cs="Times New Roman"/>
                      <w:bCs/>
                      <w:kern w:val="0"/>
                      <w:sz w:val="21"/>
                      <w:szCs w:val="21"/>
                      <w:highlight w:val="none"/>
                      <w:lang w:val="en-US" w:eastAsia="zh-CN"/>
                    </w:rPr>
                    <w:t>”</w:t>
                  </w:r>
                  <w:r>
                    <w:rPr>
                      <w:rFonts w:hint="eastAsia" w:ascii="Times New Roman" w:hAnsi="Times New Roman" w:eastAsia="宋体" w:cs="Times New Roman"/>
                      <w:bCs/>
                      <w:kern w:val="0"/>
                      <w:sz w:val="21"/>
                      <w:szCs w:val="21"/>
                      <w:highlight w:val="none"/>
                      <w:lang w:val="en-US" w:eastAsia="zh-CN"/>
                    </w:rPr>
                    <w:t>生态环境分区管控方案内容修改的通知》（淮政办函</w:t>
                  </w:r>
                  <w:r>
                    <w:rPr>
                      <w:rFonts w:hint="default" w:ascii="Times New Roman" w:hAnsi="Times New Roman" w:eastAsia="宋体" w:cs="Times New Roman"/>
                      <w:bCs/>
                      <w:kern w:val="0"/>
                      <w:sz w:val="21"/>
                      <w:szCs w:val="21"/>
                      <w:highlight w:val="none"/>
                      <w:lang w:val="en-US" w:eastAsia="zh-CN"/>
                    </w:rPr>
                    <w:t>[2022]5</w:t>
                  </w:r>
                  <w:r>
                    <w:rPr>
                      <w:rFonts w:hint="eastAsia" w:ascii="Times New Roman" w:hAnsi="Times New Roman" w:eastAsia="宋体" w:cs="Times New Roman"/>
                      <w:bCs/>
                      <w:kern w:val="0"/>
                      <w:sz w:val="21"/>
                      <w:szCs w:val="21"/>
                      <w:highlight w:val="none"/>
                      <w:lang w:val="en-US" w:eastAsia="zh-CN"/>
                    </w:rPr>
                    <w:t>号）</w:t>
                  </w:r>
                </w:p>
              </w:tc>
              <w:tc>
                <w:tcPr>
                  <w:tcW w:w="2714" w:type="pct"/>
                  <w:gridSpan w:val="2"/>
                  <w:tcBorders>
                    <w:tl2br w:val="nil"/>
                    <w:tr2bl w:val="nil"/>
                  </w:tcBorders>
                  <w:noWrap w:val="0"/>
                  <w:vAlign w:val="center"/>
                </w:tcPr>
                <w:p w14:paraId="6616377A">
                  <w:pPr>
                    <w:tabs>
                      <w:tab w:val="left" w:pos="826"/>
                    </w:tabs>
                    <w:rPr>
                      <w:rFonts w:hint="default" w:ascii="Times New Roman" w:hAnsi="Times New Roman" w:eastAsia="宋体" w:cs="Times New Roman"/>
                      <w:bCs/>
                      <w:kern w:val="0"/>
                      <w:sz w:val="21"/>
                      <w:szCs w:val="21"/>
                      <w:highlight w:val="none"/>
                    </w:rPr>
                  </w:pPr>
                  <w:r>
                    <w:rPr>
                      <w:rFonts w:hint="eastAsia" w:ascii="Times New Roman" w:hAnsi="Times New Roman" w:eastAsia="宋体" w:cs="Times New Roman"/>
                      <w:bCs/>
                      <w:kern w:val="0"/>
                      <w:sz w:val="21"/>
                      <w:szCs w:val="21"/>
                      <w:highlight w:val="none"/>
                      <w:lang w:val="en-US" w:eastAsia="zh-CN"/>
                    </w:rPr>
                    <w:t>对《市政府关于印发淮安市</w:t>
                  </w:r>
                  <w:r>
                    <w:rPr>
                      <w:rFonts w:hint="default" w:ascii="Times New Roman" w:hAnsi="Times New Roman" w:eastAsia="宋体" w:cs="Times New Roman"/>
                      <w:bCs/>
                      <w:kern w:val="0"/>
                      <w:sz w:val="21"/>
                      <w:szCs w:val="21"/>
                      <w:highlight w:val="none"/>
                      <w:lang w:val="en-US" w:eastAsia="zh-CN"/>
                    </w:rPr>
                    <w:t>“</w:t>
                  </w:r>
                  <w:r>
                    <w:rPr>
                      <w:rFonts w:hint="eastAsia" w:ascii="Times New Roman" w:hAnsi="Times New Roman" w:eastAsia="宋体" w:cs="Times New Roman"/>
                      <w:bCs/>
                      <w:kern w:val="0"/>
                      <w:sz w:val="21"/>
                      <w:szCs w:val="21"/>
                      <w:highlight w:val="none"/>
                      <w:lang w:val="en-US" w:eastAsia="zh-CN"/>
                    </w:rPr>
                    <w:t>三线一单</w:t>
                  </w:r>
                  <w:r>
                    <w:rPr>
                      <w:rFonts w:hint="default" w:ascii="Times New Roman" w:hAnsi="Times New Roman" w:eastAsia="宋体" w:cs="Times New Roman"/>
                      <w:bCs/>
                      <w:kern w:val="0"/>
                      <w:sz w:val="21"/>
                      <w:szCs w:val="21"/>
                      <w:highlight w:val="none"/>
                      <w:lang w:val="en-US" w:eastAsia="zh-CN"/>
                    </w:rPr>
                    <w:t>”</w:t>
                  </w:r>
                  <w:r>
                    <w:rPr>
                      <w:rFonts w:hint="eastAsia" w:ascii="Times New Roman" w:hAnsi="Times New Roman" w:eastAsia="宋体" w:cs="Times New Roman"/>
                      <w:bCs/>
                      <w:kern w:val="0"/>
                      <w:sz w:val="21"/>
                      <w:szCs w:val="21"/>
                      <w:highlight w:val="none"/>
                      <w:lang w:val="en-US" w:eastAsia="zh-CN"/>
                    </w:rPr>
                    <w:t>生态环境分区管控方案的通知》（淮政发﹝</w:t>
                  </w:r>
                  <w:r>
                    <w:rPr>
                      <w:rFonts w:hint="default" w:ascii="Times New Roman" w:hAnsi="Times New Roman" w:eastAsia="宋体" w:cs="Times New Roman"/>
                      <w:bCs/>
                      <w:kern w:val="0"/>
                      <w:sz w:val="21"/>
                      <w:szCs w:val="21"/>
                      <w:highlight w:val="none"/>
                      <w:lang w:val="en-US" w:eastAsia="zh-CN"/>
                    </w:rPr>
                    <w:t>2020</w:t>
                  </w:r>
                  <w:r>
                    <w:rPr>
                      <w:rFonts w:hint="eastAsia" w:ascii="Times New Roman" w:hAnsi="Times New Roman" w:eastAsia="宋体" w:cs="Times New Roman"/>
                      <w:bCs/>
                      <w:kern w:val="0"/>
                      <w:sz w:val="21"/>
                      <w:szCs w:val="21"/>
                      <w:highlight w:val="none"/>
                      <w:lang w:val="en-US" w:eastAsia="zh-CN"/>
                    </w:rPr>
                    <w:t>﹞</w:t>
                  </w:r>
                  <w:r>
                    <w:rPr>
                      <w:rFonts w:hint="default" w:ascii="Times New Roman" w:hAnsi="Times New Roman" w:eastAsia="宋体" w:cs="Times New Roman"/>
                      <w:bCs/>
                      <w:kern w:val="0"/>
                      <w:sz w:val="21"/>
                      <w:szCs w:val="21"/>
                      <w:highlight w:val="none"/>
                      <w:lang w:val="en-US" w:eastAsia="zh-CN"/>
                    </w:rPr>
                    <w:t>16</w:t>
                  </w:r>
                  <w:r>
                    <w:rPr>
                      <w:rFonts w:hint="eastAsia" w:ascii="Times New Roman" w:hAnsi="Times New Roman" w:eastAsia="宋体" w:cs="Times New Roman"/>
                      <w:bCs/>
                      <w:kern w:val="0"/>
                      <w:sz w:val="21"/>
                      <w:szCs w:val="21"/>
                      <w:highlight w:val="none"/>
                      <w:lang w:val="en-US" w:eastAsia="zh-CN"/>
                    </w:rPr>
                    <w:t>号）文件第三大条第（五）条</w:t>
                  </w:r>
                  <w:r>
                    <w:rPr>
                      <w:rFonts w:hint="default" w:ascii="Times New Roman" w:hAnsi="Times New Roman" w:eastAsia="宋体" w:cs="Times New Roman"/>
                      <w:bCs/>
                      <w:kern w:val="0"/>
                      <w:sz w:val="21"/>
                      <w:szCs w:val="21"/>
                      <w:highlight w:val="none"/>
                      <w:lang w:val="en-US" w:eastAsia="zh-CN"/>
                    </w:rPr>
                    <w:t>“</w:t>
                  </w:r>
                  <w:r>
                    <w:rPr>
                      <w:rFonts w:hint="eastAsia" w:ascii="Times New Roman" w:hAnsi="Times New Roman" w:eastAsia="宋体" w:cs="Times New Roman"/>
                      <w:bCs/>
                      <w:kern w:val="0"/>
                      <w:sz w:val="21"/>
                      <w:szCs w:val="21"/>
                      <w:highlight w:val="none"/>
                      <w:lang w:val="en-US" w:eastAsia="zh-CN"/>
                    </w:rPr>
                    <w:t>制定生态环境准入清单</w:t>
                  </w:r>
                  <w:r>
                    <w:rPr>
                      <w:rFonts w:hint="default" w:ascii="Times New Roman" w:hAnsi="Times New Roman" w:eastAsia="宋体" w:cs="Times New Roman"/>
                      <w:bCs/>
                      <w:kern w:val="0"/>
                      <w:sz w:val="21"/>
                      <w:szCs w:val="21"/>
                      <w:highlight w:val="none"/>
                      <w:lang w:val="en-US" w:eastAsia="zh-CN"/>
                    </w:rPr>
                    <w:t>”</w:t>
                  </w:r>
                  <w:r>
                    <w:rPr>
                      <w:rFonts w:hint="eastAsia" w:ascii="Times New Roman" w:hAnsi="Times New Roman" w:eastAsia="宋体" w:cs="Times New Roman"/>
                      <w:bCs/>
                      <w:kern w:val="0"/>
                      <w:sz w:val="21"/>
                      <w:szCs w:val="21"/>
                      <w:highlight w:val="none"/>
                      <w:lang w:val="en-US" w:eastAsia="zh-CN"/>
                    </w:rPr>
                    <w:t>中</w:t>
                  </w:r>
                  <w:r>
                    <w:rPr>
                      <w:rFonts w:hint="default" w:ascii="Times New Roman" w:hAnsi="Times New Roman" w:eastAsia="宋体" w:cs="Times New Roman"/>
                      <w:bCs/>
                      <w:kern w:val="0"/>
                      <w:sz w:val="21"/>
                      <w:szCs w:val="21"/>
                      <w:highlight w:val="none"/>
                      <w:lang w:val="en-US" w:eastAsia="zh-CN"/>
                    </w:rPr>
                    <w:t>“</w:t>
                  </w:r>
                  <w:r>
                    <w:rPr>
                      <w:rFonts w:hint="eastAsia" w:ascii="Times New Roman" w:hAnsi="Times New Roman" w:eastAsia="宋体" w:cs="Times New Roman"/>
                      <w:bCs/>
                      <w:kern w:val="0"/>
                      <w:sz w:val="21"/>
                      <w:szCs w:val="21"/>
                      <w:highlight w:val="none"/>
                      <w:lang w:val="en-US" w:eastAsia="zh-CN"/>
                    </w:rPr>
                    <w:t>优先保护单元严格按照国家生态保护红线和省级生态空间管控区域管理规定进行管控。其中，生态保护红线中的自然保护地核心保护区原则上按禁止开发区域的要求进行管理，严禁不符合主体功能定位的各类开发活动，严禁任意改变用途；生态空间管控区域以生态保护为重点，原则上不得开展有损主导生态功能的开发建设活动，不得随意占用和调整。</w:t>
                  </w:r>
                  <w:r>
                    <w:rPr>
                      <w:rFonts w:hint="default" w:ascii="Times New Roman" w:hAnsi="Times New Roman" w:eastAsia="宋体" w:cs="Times New Roman"/>
                      <w:bCs/>
                      <w:kern w:val="0"/>
                      <w:sz w:val="21"/>
                      <w:szCs w:val="21"/>
                      <w:highlight w:val="none"/>
                      <w:lang w:val="en-US" w:eastAsia="zh-CN"/>
                    </w:rPr>
                    <w:t>”</w:t>
                  </w:r>
                  <w:r>
                    <w:rPr>
                      <w:rFonts w:hint="eastAsia" w:ascii="Times New Roman" w:hAnsi="Times New Roman" w:eastAsia="宋体" w:cs="Times New Roman"/>
                      <w:bCs/>
                      <w:kern w:val="0"/>
                      <w:sz w:val="21"/>
                      <w:szCs w:val="21"/>
                      <w:highlight w:val="none"/>
                      <w:lang w:val="en-US" w:eastAsia="zh-CN"/>
                    </w:rPr>
                    <w:t>修改为</w:t>
                  </w:r>
                  <w:r>
                    <w:rPr>
                      <w:rFonts w:hint="default" w:ascii="Times New Roman" w:hAnsi="Times New Roman" w:eastAsia="宋体" w:cs="Times New Roman"/>
                      <w:bCs/>
                      <w:kern w:val="0"/>
                      <w:sz w:val="21"/>
                      <w:szCs w:val="21"/>
                      <w:highlight w:val="none"/>
                      <w:lang w:val="en-US" w:eastAsia="zh-CN"/>
                    </w:rPr>
                    <w:t>“</w:t>
                  </w:r>
                  <w:r>
                    <w:rPr>
                      <w:rFonts w:hint="eastAsia" w:ascii="Times New Roman" w:hAnsi="Times New Roman" w:eastAsia="宋体" w:cs="Times New Roman"/>
                      <w:bCs/>
                      <w:kern w:val="0"/>
                      <w:sz w:val="21"/>
                      <w:szCs w:val="21"/>
                      <w:highlight w:val="none"/>
                      <w:lang w:val="en-US" w:eastAsia="zh-CN"/>
                    </w:rPr>
                    <w:t>优先保护单元严格按照国家生态保护红线和省级生态空间管控区域管理规定进行管控。依法禁止或限制开发建设活动，确保生态环境功能不降低、面积不减少、性质不改变；优先开展生态功能受损区域生态保护修复活动，恢复生态系统服务功能。</w:t>
                  </w:r>
                  <w:r>
                    <w:rPr>
                      <w:rFonts w:hint="default" w:ascii="Times New Roman" w:hAnsi="Times New Roman" w:eastAsia="宋体" w:cs="Times New Roman"/>
                      <w:bCs/>
                      <w:kern w:val="0"/>
                      <w:sz w:val="21"/>
                      <w:szCs w:val="21"/>
                      <w:highlight w:val="none"/>
                      <w:lang w:val="en-US" w:eastAsia="zh-CN"/>
                    </w:rPr>
                    <w:t>”</w:t>
                  </w:r>
                </w:p>
              </w:tc>
              <w:tc>
                <w:tcPr>
                  <w:tcW w:w="1386" w:type="pct"/>
                  <w:tcBorders>
                    <w:tl2br w:val="nil"/>
                    <w:tr2bl w:val="nil"/>
                  </w:tcBorders>
                  <w:noWrap w:val="0"/>
                  <w:vAlign w:val="center"/>
                </w:tcPr>
                <w:p w14:paraId="775E63E1">
                  <w:pPr>
                    <w:tabs>
                      <w:tab w:val="left" w:pos="826"/>
                    </w:tabs>
                    <w:rPr>
                      <w:rFonts w:hint="default" w:ascii="Times New Roman" w:hAnsi="Times New Roman" w:eastAsia="宋体" w:cs="Times New Roman"/>
                      <w:b/>
                      <w:bCs w:val="0"/>
                      <w:kern w:val="0"/>
                      <w:sz w:val="21"/>
                      <w:szCs w:val="21"/>
                      <w:highlight w:val="none"/>
                      <w:lang w:val="en-US" w:eastAsia="zh-CN"/>
                    </w:rPr>
                  </w:pPr>
                  <w:r>
                    <w:rPr>
                      <w:rFonts w:hint="default" w:ascii="Times New Roman" w:hAnsi="Times New Roman" w:eastAsia="宋体" w:cs="Times New Roman"/>
                      <w:b/>
                      <w:bCs w:val="0"/>
                      <w:kern w:val="0"/>
                      <w:sz w:val="21"/>
                      <w:szCs w:val="21"/>
                      <w:highlight w:val="none"/>
                      <w:lang w:val="en-US" w:eastAsia="zh-CN"/>
                    </w:rPr>
                    <w:t>相符。</w:t>
                  </w:r>
                </w:p>
                <w:p w14:paraId="111C0564">
                  <w:pPr>
                    <w:tabs>
                      <w:tab w:val="left" w:pos="826"/>
                    </w:tabs>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本项目位于</w:t>
                  </w:r>
                  <w:r>
                    <w:rPr>
                      <w:rFonts w:hint="default" w:ascii="Times New Roman" w:hAnsi="Times New Roman" w:eastAsia="宋体" w:cs="Times New Roman"/>
                      <w:bCs/>
                      <w:kern w:val="0"/>
                      <w:sz w:val="21"/>
                      <w:szCs w:val="21"/>
                      <w:highlight w:val="none"/>
                      <w:lang w:val="en-US" w:eastAsia="zh-CN"/>
                    </w:rPr>
                    <w:t>京杭大运河（淮安市区）清水通道维护区</w:t>
                  </w:r>
                  <w:r>
                    <w:rPr>
                      <w:rFonts w:hint="eastAsia" w:ascii="Times New Roman" w:hAnsi="Times New Roman" w:eastAsia="宋体" w:cs="Times New Roman"/>
                      <w:bCs/>
                      <w:kern w:val="0"/>
                      <w:sz w:val="21"/>
                      <w:szCs w:val="21"/>
                      <w:highlight w:val="none"/>
                      <w:lang w:val="en-US" w:eastAsia="zh-CN"/>
                    </w:rPr>
                    <w:t>、</w:t>
                  </w:r>
                  <w:r>
                    <w:rPr>
                      <w:rFonts w:hint="default" w:ascii="Times New Roman" w:hAnsi="Times New Roman" w:eastAsia="宋体" w:cs="Times New Roman"/>
                      <w:bCs/>
                      <w:kern w:val="0"/>
                      <w:sz w:val="21"/>
                      <w:szCs w:val="21"/>
                      <w:highlight w:val="none"/>
                      <w:lang w:val="en-US" w:eastAsia="zh-CN"/>
                    </w:rPr>
                    <w:t>京杭大运河（淮安区）清水通道维护区</w:t>
                  </w:r>
                  <w:r>
                    <w:rPr>
                      <w:rFonts w:hint="eastAsia" w:ascii="Times New Roman" w:hAnsi="Times New Roman" w:eastAsia="宋体" w:cs="Times New Roman"/>
                      <w:bCs/>
                      <w:kern w:val="0"/>
                      <w:sz w:val="21"/>
                      <w:szCs w:val="21"/>
                      <w:highlight w:val="none"/>
                      <w:lang w:val="en-US" w:eastAsia="zh-CN"/>
                    </w:rPr>
                    <w:t>优先保护</w:t>
                  </w:r>
                  <w:r>
                    <w:rPr>
                      <w:rFonts w:hint="eastAsia" w:eastAsia="宋体" w:cs="Times New Roman"/>
                      <w:bCs/>
                      <w:kern w:val="0"/>
                      <w:sz w:val="21"/>
                      <w:szCs w:val="21"/>
                      <w:highlight w:val="none"/>
                      <w:lang w:val="en-US" w:eastAsia="zh-CN"/>
                    </w:rPr>
                    <w:t>单元，严格按照</w:t>
                  </w:r>
                  <w:r>
                    <w:rPr>
                      <w:rFonts w:hint="eastAsia" w:ascii="Times New Roman" w:hAnsi="Times New Roman" w:eastAsia="宋体" w:cs="Times New Roman"/>
                      <w:bCs/>
                      <w:kern w:val="0"/>
                      <w:sz w:val="21"/>
                      <w:szCs w:val="21"/>
                      <w:highlight w:val="none"/>
                      <w:lang w:val="en-US" w:eastAsia="zh-CN"/>
                    </w:rPr>
                    <w:t>省级生态空间管控区域管理规定进行管控</w:t>
                  </w:r>
                  <w:r>
                    <w:rPr>
                      <w:rFonts w:hint="eastAsia" w:eastAsia="宋体" w:cs="Times New Roman"/>
                      <w:bCs/>
                      <w:kern w:val="0"/>
                      <w:sz w:val="21"/>
                      <w:szCs w:val="21"/>
                      <w:highlight w:val="none"/>
                      <w:lang w:val="en-US" w:eastAsia="zh-CN"/>
                    </w:rPr>
                    <w:t>。</w:t>
                  </w:r>
                </w:p>
              </w:tc>
            </w:tr>
          </w:tbl>
          <w:p w14:paraId="7F6ADE59">
            <w:pPr>
              <w:spacing w:line="460" w:lineRule="exact"/>
              <w:ind w:firstLine="482" w:firstLineChars="200"/>
              <w:rPr>
                <w:rFonts w:hint="default" w:ascii="Times New Roman" w:hAnsi="Times New Roman" w:eastAsia="宋体" w:cs="Times New Roman"/>
                <w:b/>
                <w:sz w:val="24"/>
                <w:szCs w:val="24"/>
                <w:lang w:val="en-US" w:eastAsia="zh-CN" w:bidi="ar"/>
              </w:rPr>
            </w:pPr>
            <w:r>
              <w:rPr>
                <w:rFonts w:hint="default" w:ascii="Times New Roman" w:hAnsi="Times New Roman" w:eastAsia="宋体" w:cs="Times New Roman"/>
                <w:b/>
                <w:sz w:val="24"/>
                <w:szCs w:val="24"/>
                <w:lang w:val="en-US" w:eastAsia="zh-CN" w:bidi="ar"/>
              </w:rPr>
              <w:t>1.</w:t>
            </w:r>
            <w:r>
              <w:rPr>
                <w:rFonts w:hint="eastAsia" w:cs="Times New Roman"/>
                <w:b/>
                <w:sz w:val="24"/>
                <w:szCs w:val="24"/>
                <w:lang w:val="en-US" w:eastAsia="zh-CN" w:bidi="ar"/>
              </w:rPr>
              <w:t>6</w:t>
            </w:r>
            <w:r>
              <w:rPr>
                <w:rFonts w:hint="default" w:ascii="Times New Roman" w:hAnsi="Times New Roman" w:eastAsia="宋体" w:cs="Times New Roman"/>
                <w:b/>
                <w:sz w:val="24"/>
                <w:szCs w:val="24"/>
                <w:lang w:val="en-US" w:eastAsia="zh-CN" w:bidi="ar"/>
              </w:rPr>
              <w:t xml:space="preserve"> 与《淮安市国土空间总体规划（2021-2035年）》的相符性分析</w:t>
            </w:r>
          </w:p>
          <w:p w14:paraId="7DA35C46">
            <w:pPr>
              <w:spacing w:line="480" w:lineRule="exact"/>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1、规划概述</w:t>
            </w:r>
          </w:p>
          <w:p w14:paraId="30B9D15B">
            <w:pPr>
              <w:spacing w:line="480" w:lineRule="exact"/>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淮安市国土空间总体规划（2021-2035年）》提出，到2025年，开启社会主义现代化建设新征程，“绿色高地、枢纽新城”建设取得重大进展。“创新淮安、开放淮安、美丽淮安、幸福淮安”全面建成；生态经济化、经济生态化取得成效，现代绿色产业体系基本建立；“空铁水公管”现代综合交通运输体系更趋完善，建成具有重要影响力的航空货运枢纽，长三角区域综合交通枢纽地位基本确立；不断放大绿色长板效益，生态环境质量总体改善，公共服务体系更加健全，“山水林田湖草”特色进一步彰显，人民生活水平和质量普遍提高。</w:t>
            </w:r>
          </w:p>
          <w:p w14:paraId="5469601C">
            <w:pPr>
              <w:spacing w:line="480" w:lineRule="exact"/>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到2035年，基本实现社会主义现代化，“绿色高地、枢纽新城”现实模样充分展现。综合竞争力和经济创新力大幅跃升，基本实现新型工业化、信息化、城镇化、农业现代化，形成现代化经济体系，高水平建成国家创新型城市，现代综合交通体系更加健全，基本确立长三角北部现代化中心城市地位，建成全国性综合交通枢纽，成长为江淮现代产业新高地；“山水林田湖草”与城市有机融合，展现大运河人文魅力名城风采，广泛形成绿色生产生活方式，生态环境根本好转，生态系统实现良性循环，成为生活便捷、社会文明程度高的宜居城市。</w:t>
            </w:r>
          </w:p>
          <w:p w14:paraId="37279000">
            <w:pPr>
              <w:spacing w:line="480" w:lineRule="exact"/>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到2050年，“绿色高地、枢纽新城”全面建成，彰显社会主义现代化和生态文明时代特色的城市典范。综合竞争力和经济创新力大幅跃升，全国性综合交通枢纽高水平发展，对外开放迈入更深层次，全面建成长三角北部现代化中心城市，市域治理体系和治理能力现代化水平走在全国前列，全面呈现“壮丽东南第一州”的繁华景象，建成更加创新繁荣、开放活力、美丽宜居、幸福共享的运河之都，展示中国梦、强国梦的淮安章节。</w:t>
            </w:r>
          </w:p>
          <w:p w14:paraId="76C2D3F4">
            <w:pPr>
              <w:spacing w:line="480" w:lineRule="exact"/>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2、相符性分析</w:t>
            </w:r>
          </w:p>
          <w:p w14:paraId="117D28CD">
            <w:pPr>
              <w:spacing w:line="480" w:lineRule="exact"/>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根据三区三线划定成果，本项目不占用生态保护红线和永久基本农田。与生态保护红线的位置关系具体见附图</w:t>
            </w:r>
            <w:r>
              <w:rPr>
                <w:rFonts w:hint="eastAsia"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w:t>
            </w:r>
          </w:p>
          <w:p w14:paraId="73C3A55A">
            <w:pPr>
              <w:spacing w:line="480" w:lineRule="exact"/>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项目的实施可以缓解船舶待泊困难，提高船闸船舶待泊能力，增强船闸服务能力和效率的需要，助力大运河现代航运示范区建设的需要，既符合国土空间规划的要求，也是对国土空间规划的落实，符合《淮安市国土空间总体规划（2021-2035年）》。</w:t>
            </w:r>
          </w:p>
          <w:p w14:paraId="1B408815">
            <w:pPr>
              <w:spacing w:line="460" w:lineRule="exact"/>
              <w:ind w:firstLine="482" w:firstLineChars="200"/>
              <w:rPr>
                <w:rFonts w:hint="default" w:ascii="Times New Roman" w:hAnsi="Times New Roman" w:eastAsia="宋体" w:cs="Times New Roman"/>
                <w:b/>
                <w:sz w:val="24"/>
                <w:szCs w:val="24"/>
                <w:lang w:val="en-US" w:eastAsia="zh-CN" w:bidi="ar"/>
              </w:rPr>
            </w:pPr>
            <w:r>
              <w:rPr>
                <w:rFonts w:hint="default" w:ascii="Times New Roman" w:hAnsi="Times New Roman" w:eastAsia="宋体" w:cs="Times New Roman"/>
                <w:b/>
                <w:sz w:val="24"/>
                <w:szCs w:val="24"/>
                <w:lang w:val="en-US" w:eastAsia="zh-CN" w:bidi="ar"/>
              </w:rPr>
              <w:t>1.</w:t>
            </w:r>
            <w:r>
              <w:rPr>
                <w:rFonts w:hint="eastAsia" w:cs="Times New Roman"/>
                <w:b/>
                <w:sz w:val="24"/>
                <w:szCs w:val="24"/>
                <w:lang w:val="en-US" w:eastAsia="zh-CN" w:bidi="ar"/>
              </w:rPr>
              <w:t>7</w:t>
            </w:r>
            <w:r>
              <w:rPr>
                <w:rFonts w:hint="default" w:ascii="Times New Roman" w:hAnsi="Times New Roman" w:eastAsia="宋体" w:cs="Times New Roman"/>
                <w:b/>
                <w:sz w:val="24"/>
                <w:szCs w:val="24"/>
                <w:lang w:val="en-US" w:eastAsia="zh-CN" w:bidi="ar"/>
              </w:rPr>
              <w:t xml:space="preserve"> 与《省生态环境厅关于印发防范清淤疏浚工程对水质影响工作方案的通知》</w:t>
            </w:r>
            <w:r>
              <w:rPr>
                <w:rFonts w:hint="eastAsia" w:cs="Times New Roman"/>
                <w:b/>
                <w:sz w:val="24"/>
                <w:szCs w:val="24"/>
                <w:lang w:val="en-US" w:eastAsia="zh-CN" w:bidi="ar"/>
              </w:rPr>
              <w:t>（</w:t>
            </w:r>
            <w:r>
              <w:rPr>
                <w:rFonts w:hint="default" w:ascii="Times New Roman" w:hAnsi="Times New Roman" w:eastAsia="宋体" w:cs="Times New Roman"/>
                <w:b/>
                <w:sz w:val="24"/>
                <w:szCs w:val="24"/>
                <w:lang w:val="en-US" w:eastAsia="zh-CN" w:bidi="ar"/>
              </w:rPr>
              <w:t>苏环办</w:t>
            </w:r>
            <w:r>
              <w:rPr>
                <w:rFonts w:hint="eastAsia" w:cs="Times New Roman"/>
                <w:b/>
                <w:sz w:val="24"/>
                <w:szCs w:val="24"/>
                <w:lang w:val="en-US" w:eastAsia="zh-CN" w:bidi="ar"/>
              </w:rPr>
              <w:t>（</w:t>
            </w:r>
            <w:r>
              <w:rPr>
                <w:rFonts w:hint="default" w:ascii="Times New Roman" w:hAnsi="Times New Roman" w:eastAsia="宋体" w:cs="Times New Roman"/>
                <w:b/>
                <w:sz w:val="24"/>
                <w:szCs w:val="24"/>
                <w:lang w:val="en-US" w:eastAsia="zh-CN" w:bidi="ar"/>
              </w:rPr>
              <w:t>2021</w:t>
            </w:r>
            <w:r>
              <w:rPr>
                <w:rFonts w:hint="eastAsia" w:cs="Times New Roman"/>
                <w:b/>
                <w:sz w:val="24"/>
                <w:szCs w:val="24"/>
                <w:lang w:val="en-US" w:eastAsia="zh-CN" w:bidi="ar"/>
              </w:rPr>
              <w:t>）</w:t>
            </w:r>
            <w:r>
              <w:rPr>
                <w:rFonts w:hint="default" w:ascii="Times New Roman" w:hAnsi="Times New Roman" w:eastAsia="宋体" w:cs="Times New Roman"/>
                <w:b/>
                <w:sz w:val="24"/>
                <w:szCs w:val="24"/>
                <w:lang w:val="en-US" w:eastAsia="zh-CN" w:bidi="ar"/>
              </w:rPr>
              <w:t>185 号</w:t>
            </w:r>
            <w:r>
              <w:rPr>
                <w:rFonts w:hint="eastAsia" w:cs="Times New Roman"/>
                <w:b/>
                <w:sz w:val="24"/>
                <w:szCs w:val="24"/>
                <w:lang w:val="en-US" w:eastAsia="zh-CN" w:bidi="ar"/>
              </w:rPr>
              <w:t>）</w:t>
            </w:r>
            <w:r>
              <w:rPr>
                <w:rFonts w:hint="default" w:ascii="Times New Roman" w:hAnsi="Times New Roman" w:eastAsia="宋体" w:cs="Times New Roman"/>
                <w:b/>
                <w:sz w:val="24"/>
                <w:szCs w:val="24"/>
                <w:lang w:val="en-US" w:eastAsia="zh-CN" w:bidi="ar"/>
              </w:rPr>
              <w:t>的相符性分析</w:t>
            </w:r>
          </w:p>
          <w:p w14:paraId="1BD8740B">
            <w:pPr>
              <w:widowControl/>
              <w:numPr>
                <w:ilvl w:val="-1"/>
                <w:numId w:val="0"/>
              </w:numPr>
              <w:adjustRightInd/>
              <w:snapToGrid/>
              <w:spacing w:line="480" w:lineRule="exact"/>
              <w:ind w:firstLine="480" w:firstLineChars="200"/>
              <w:jc w:val="left"/>
              <w:rPr>
                <w:rFonts w:hint="default" w:ascii="Times New Roman" w:hAnsi="Times New Roman" w:eastAsia="宋体" w:cs="Times New Roman"/>
                <w:b w:val="0"/>
                <w:bCs w:val="0"/>
                <w:snapToGrid/>
                <w:sz w:val="24"/>
                <w:szCs w:val="24"/>
                <w:lang w:bidi="ar-SA"/>
              </w:rPr>
            </w:pPr>
            <w:r>
              <w:rPr>
                <w:rFonts w:hint="default" w:ascii="Times New Roman" w:hAnsi="Times New Roman" w:eastAsia="宋体" w:cs="Times New Roman"/>
                <w:b w:val="0"/>
                <w:bCs w:val="0"/>
                <w:snapToGrid/>
                <w:sz w:val="24"/>
                <w:szCs w:val="24"/>
                <w:lang w:bidi="ar-SA"/>
              </w:rPr>
              <w:t>根据《省生态环境厅关于印发防范清淤疏浚工程对水质影响工作方案的通知》</w:t>
            </w:r>
            <w:r>
              <w:rPr>
                <w:rFonts w:hint="eastAsia" w:cs="Times New Roman"/>
                <w:b w:val="0"/>
                <w:bCs w:val="0"/>
                <w:snapToGrid/>
                <w:sz w:val="24"/>
                <w:szCs w:val="24"/>
                <w:lang w:eastAsia="zh-CN" w:bidi="ar-SA"/>
              </w:rPr>
              <w:t>（</w:t>
            </w:r>
            <w:r>
              <w:rPr>
                <w:rFonts w:hint="default" w:ascii="Times New Roman" w:hAnsi="Times New Roman" w:eastAsia="宋体" w:cs="Times New Roman"/>
                <w:b w:val="0"/>
                <w:bCs w:val="0"/>
                <w:snapToGrid/>
                <w:sz w:val="24"/>
                <w:szCs w:val="24"/>
                <w:lang w:bidi="ar-SA"/>
              </w:rPr>
              <w:t>苏环办</w:t>
            </w:r>
            <w:r>
              <w:rPr>
                <w:rFonts w:hint="eastAsia" w:cs="Times New Roman"/>
                <w:b w:val="0"/>
                <w:bCs w:val="0"/>
                <w:snapToGrid/>
                <w:sz w:val="24"/>
                <w:szCs w:val="24"/>
                <w:lang w:eastAsia="zh-CN" w:bidi="ar-SA"/>
              </w:rPr>
              <w:t>（</w:t>
            </w:r>
            <w:r>
              <w:rPr>
                <w:rFonts w:hint="default" w:ascii="Times New Roman" w:hAnsi="Times New Roman" w:eastAsia="宋体" w:cs="Times New Roman"/>
                <w:b w:val="0"/>
                <w:bCs w:val="0"/>
                <w:snapToGrid/>
                <w:sz w:val="24"/>
                <w:szCs w:val="24"/>
                <w:lang w:bidi="ar-SA"/>
              </w:rPr>
              <w:t>2021</w:t>
            </w:r>
            <w:r>
              <w:rPr>
                <w:rFonts w:hint="eastAsia" w:cs="Times New Roman"/>
                <w:b w:val="0"/>
                <w:bCs w:val="0"/>
                <w:snapToGrid/>
                <w:sz w:val="24"/>
                <w:szCs w:val="24"/>
                <w:lang w:eastAsia="zh-CN" w:bidi="ar-SA"/>
              </w:rPr>
              <w:t>）</w:t>
            </w:r>
            <w:r>
              <w:rPr>
                <w:rFonts w:hint="default" w:ascii="Times New Roman" w:hAnsi="Times New Roman" w:eastAsia="宋体" w:cs="Times New Roman"/>
                <w:b w:val="0"/>
                <w:bCs w:val="0"/>
                <w:snapToGrid/>
                <w:sz w:val="24"/>
                <w:szCs w:val="24"/>
                <w:lang w:bidi="ar-SA"/>
              </w:rPr>
              <w:t>185 号</w:t>
            </w:r>
            <w:r>
              <w:rPr>
                <w:rFonts w:hint="eastAsia" w:cs="Times New Roman"/>
                <w:b w:val="0"/>
                <w:bCs w:val="0"/>
                <w:snapToGrid/>
                <w:sz w:val="24"/>
                <w:szCs w:val="24"/>
                <w:lang w:eastAsia="zh-CN" w:bidi="ar-SA"/>
              </w:rPr>
              <w:t>）</w:t>
            </w:r>
            <w:r>
              <w:rPr>
                <w:rFonts w:hint="default" w:ascii="Times New Roman" w:hAnsi="Times New Roman" w:eastAsia="宋体" w:cs="Times New Roman"/>
                <w:b w:val="0"/>
                <w:bCs w:val="0"/>
                <w:snapToGrid/>
                <w:sz w:val="24"/>
                <w:szCs w:val="24"/>
                <w:lang w:bidi="ar-SA"/>
              </w:rPr>
              <w:t>，做到清淤疏浚“前、中、后”全过程管理，形成工作闭环。</w:t>
            </w:r>
          </w:p>
          <w:p w14:paraId="1940F3BE">
            <w:pPr>
              <w:widowControl/>
              <w:numPr>
                <w:ilvl w:val="-1"/>
                <w:numId w:val="0"/>
              </w:numPr>
              <w:adjustRightInd/>
              <w:snapToGrid/>
              <w:spacing w:line="480" w:lineRule="exact"/>
              <w:ind w:firstLine="480" w:firstLineChars="200"/>
              <w:jc w:val="left"/>
              <w:rPr>
                <w:rFonts w:hint="default" w:ascii="Times New Roman" w:hAnsi="Times New Roman" w:eastAsia="宋体" w:cs="Times New Roman"/>
                <w:b w:val="0"/>
                <w:bCs w:val="0"/>
                <w:snapToGrid/>
                <w:sz w:val="24"/>
                <w:szCs w:val="24"/>
                <w:lang w:bidi="ar-SA"/>
              </w:rPr>
            </w:pPr>
            <w:r>
              <w:rPr>
                <w:rFonts w:hint="eastAsia" w:cs="Times New Roman"/>
                <w:b w:val="0"/>
                <w:bCs w:val="0"/>
                <w:snapToGrid/>
                <w:sz w:val="24"/>
                <w:szCs w:val="24"/>
                <w:lang w:val="en-US" w:eastAsia="zh-CN" w:bidi="ar-SA"/>
              </w:rPr>
              <w:t>具体对照分析如下</w:t>
            </w:r>
            <w:r>
              <w:rPr>
                <w:rFonts w:hint="default" w:ascii="Times New Roman" w:hAnsi="Times New Roman" w:eastAsia="宋体" w:cs="Times New Roman"/>
                <w:color w:val="auto"/>
                <w:kern w:val="2"/>
                <w:sz w:val="24"/>
                <w:szCs w:val="24"/>
                <w:highlight w:val="none"/>
                <w:lang w:val="en-US" w:eastAsia="zh-CN" w:bidi="ar"/>
              </w:rPr>
              <w:t>：</w:t>
            </w:r>
          </w:p>
          <w:p w14:paraId="559BF391">
            <w:pPr>
              <w:spacing w:line="480" w:lineRule="exact"/>
              <w:jc w:val="center"/>
              <w:rPr>
                <w:rFonts w:eastAsia="黑体"/>
                <w:sz w:val="24"/>
                <w:szCs w:val="21"/>
              </w:rPr>
            </w:pPr>
            <w:r>
              <w:rPr>
                <w:rFonts w:hint="default" w:ascii="Times New Roman" w:hAnsi="Times New Roman" w:eastAsia="宋体" w:cs="Times New Roman"/>
                <w:b/>
                <w:bCs/>
                <w:sz w:val="24"/>
                <w:szCs w:val="21"/>
              </w:rPr>
              <w:t>表</w:t>
            </w:r>
            <w:r>
              <w:rPr>
                <w:rFonts w:hint="default" w:ascii="Times New Roman" w:hAnsi="Times New Roman" w:eastAsia="宋体" w:cs="Times New Roman"/>
                <w:b/>
                <w:bCs/>
                <w:sz w:val="24"/>
                <w:szCs w:val="21"/>
                <w:lang w:val="en-US" w:eastAsia="zh-CN"/>
              </w:rPr>
              <w:t>1.</w:t>
            </w:r>
            <w:r>
              <w:rPr>
                <w:rFonts w:hint="eastAsia" w:cs="Times New Roman"/>
                <w:b/>
                <w:bCs/>
                <w:sz w:val="24"/>
                <w:szCs w:val="21"/>
                <w:lang w:val="en-US" w:eastAsia="zh-CN"/>
              </w:rPr>
              <w:t>7</w:t>
            </w:r>
            <w:r>
              <w:rPr>
                <w:rFonts w:hint="default" w:ascii="Times New Roman" w:hAnsi="Times New Roman" w:eastAsia="宋体" w:cs="Times New Roman"/>
                <w:b/>
                <w:bCs/>
                <w:sz w:val="24"/>
                <w:szCs w:val="21"/>
                <w:lang w:val="en-US" w:eastAsia="zh-CN"/>
              </w:rPr>
              <w:t>-1</w:t>
            </w:r>
            <w:r>
              <w:rPr>
                <w:rFonts w:hint="default" w:ascii="Times New Roman" w:hAnsi="Times New Roman" w:eastAsia="宋体" w:cs="Times New Roman"/>
                <w:b/>
                <w:bCs/>
                <w:sz w:val="24"/>
                <w:szCs w:val="21"/>
              </w:rPr>
              <w:t xml:space="preserve">  本项目与《防范清淤疏浚工程对水质影响工作方案》的相符性分析</w:t>
            </w:r>
          </w:p>
          <w:tbl>
            <w:tblPr>
              <w:tblStyle w:val="8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44"/>
              <w:gridCol w:w="3990"/>
              <w:gridCol w:w="3030"/>
              <w:gridCol w:w="501"/>
            </w:tblGrid>
            <w:tr w14:paraId="00D82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1" w:type="pct"/>
                  <w:tcBorders>
                    <w:tl2br w:val="nil"/>
                    <w:tr2bl w:val="nil"/>
                  </w:tcBorders>
                  <w:noWrap w:val="0"/>
                  <w:vAlign w:val="center"/>
                </w:tcPr>
                <w:p w14:paraId="107E79A6">
                  <w:pPr>
                    <w:adjustRightInd w:val="0"/>
                    <w:snapToGrid w:val="0"/>
                    <w:jc w:val="center"/>
                    <w:rPr>
                      <w:b/>
                      <w:kern w:val="0"/>
                      <w:sz w:val="21"/>
                      <w:szCs w:val="21"/>
                      <w:lang w:bidi="ar"/>
                    </w:rPr>
                  </w:pPr>
                  <w:r>
                    <w:rPr>
                      <w:b/>
                      <w:kern w:val="0"/>
                      <w:sz w:val="21"/>
                      <w:szCs w:val="21"/>
                      <w:lang w:bidi="ar"/>
                    </w:rPr>
                    <w:t>主要措施</w:t>
                  </w:r>
                </w:p>
              </w:tc>
              <w:tc>
                <w:tcPr>
                  <w:tcW w:w="255" w:type="pct"/>
                  <w:tcBorders>
                    <w:tl2br w:val="nil"/>
                    <w:tr2bl w:val="nil"/>
                  </w:tcBorders>
                  <w:noWrap w:val="0"/>
                  <w:vAlign w:val="center"/>
                </w:tcPr>
                <w:p w14:paraId="3AB6D834">
                  <w:pPr>
                    <w:adjustRightInd w:val="0"/>
                    <w:snapToGrid w:val="0"/>
                    <w:jc w:val="center"/>
                    <w:textAlignment w:val="center"/>
                    <w:rPr>
                      <w:rFonts w:hint="eastAsia" w:eastAsia="宋体"/>
                      <w:b/>
                      <w:kern w:val="0"/>
                      <w:sz w:val="21"/>
                      <w:szCs w:val="21"/>
                      <w:lang w:val="en-US" w:eastAsia="zh-CN" w:bidi="ar"/>
                    </w:rPr>
                  </w:pPr>
                  <w:r>
                    <w:rPr>
                      <w:rFonts w:hint="eastAsia"/>
                      <w:b/>
                      <w:kern w:val="0"/>
                      <w:sz w:val="21"/>
                      <w:szCs w:val="21"/>
                      <w:lang w:val="en-US" w:eastAsia="zh-CN" w:bidi="ar"/>
                    </w:rPr>
                    <w:t>序号</w:t>
                  </w:r>
                </w:p>
              </w:tc>
              <w:tc>
                <w:tcPr>
                  <w:tcW w:w="2293" w:type="pct"/>
                  <w:tcBorders>
                    <w:tl2br w:val="nil"/>
                    <w:tr2bl w:val="nil"/>
                  </w:tcBorders>
                  <w:noWrap w:val="0"/>
                  <w:vAlign w:val="center"/>
                </w:tcPr>
                <w:p w14:paraId="5CC9FBA7">
                  <w:pPr>
                    <w:adjustRightInd w:val="0"/>
                    <w:snapToGrid w:val="0"/>
                    <w:jc w:val="center"/>
                    <w:textAlignment w:val="center"/>
                    <w:rPr>
                      <w:b/>
                      <w:kern w:val="0"/>
                      <w:sz w:val="21"/>
                      <w:szCs w:val="21"/>
                      <w:lang w:bidi="ar"/>
                    </w:rPr>
                  </w:pPr>
                  <w:r>
                    <w:rPr>
                      <w:b/>
                      <w:kern w:val="0"/>
                      <w:sz w:val="21"/>
                      <w:szCs w:val="21"/>
                      <w:lang w:bidi="ar"/>
                    </w:rPr>
                    <w:t>措施要求</w:t>
                  </w:r>
                </w:p>
              </w:tc>
              <w:tc>
                <w:tcPr>
                  <w:tcW w:w="1741" w:type="pct"/>
                  <w:tcBorders>
                    <w:tl2br w:val="nil"/>
                    <w:tr2bl w:val="nil"/>
                  </w:tcBorders>
                  <w:noWrap w:val="0"/>
                  <w:vAlign w:val="center"/>
                </w:tcPr>
                <w:p w14:paraId="76C5A562">
                  <w:pPr>
                    <w:adjustRightInd w:val="0"/>
                    <w:snapToGrid w:val="0"/>
                    <w:jc w:val="center"/>
                    <w:rPr>
                      <w:b/>
                      <w:kern w:val="0"/>
                      <w:sz w:val="21"/>
                      <w:szCs w:val="21"/>
                      <w:lang w:bidi="ar"/>
                    </w:rPr>
                  </w:pPr>
                  <w:r>
                    <w:rPr>
                      <w:b/>
                      <w:kern w:val="0"/>
                      <w:sz w:val="21"/>
                      <w:szCs w:val="21"/>
                      <w:lang w:bidi="ar"/>
                    </w:rPr>
                    <w:t>相符性分析</w:t>
                  </w:r>
                </w:p>
              </w:tc>
              <w:tc>
                <w:tcPr>
                  <w:tcW w:w="287" w:type="pct"/>
                  <w:tcBorders>
                    <w:tl2br w:val="nil"/>
                    <w:tr2bl w:val="nil"/>
                  </w:tcBorders>
                  <w:noWrap w:val="0"/>
                  <w:vAlign w:val="center"/>
                </w:tcPr>
                <w:p w14:paraId="4203557B">
                  <w:pPr>
                    <w:adjustRightInd w:val="0"/>
                    <w:snapToGrid w:val="0"/>
                    <w:jc w:val="center"/>
                    <w:rPr>
                      <w:b/>
                      <w:kern w:val="0"/>
                      <w:sz w:val="21"/>
                      <w:szCs w:val="21"/>
                      <w:lang w:bidi="ar"/>
                    </w:rPr>
                  </w:pPr>
                  <w:r>
                    <w:rPr>
                      <w:b/>
                      <w:kern w:val="0"/>
                      <w:sz w:val="21"/>
                      <w:szCs w:val="21"/>
                      <w:lang w:bidi="ar"/>
                    </w:rPr>
                    <w:t>是否相符</w:t>
                  </w:r>
                </w:p>
              </w:tc>
            </w:tr>
            <w:tr w14:paraId="097BB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421" w:type="pct"/>
                  <w:vMerge w:val="restart"/>
                  <w:tcBorders>
                    <w:tl2br w:val="nil"/>
                    <w:tr2bl w:val="nil"/>
                  </w:tcBorders>
                  <w:noWrap w:val="0"/>
                  <w:vAlign w:val="center"/>
                </w:tcPr>
                <w:p w14:paraId="22D7C10D">
                  <w:pPr>
                    <w:jc w:val="center"/>
                    <w:textAlignment w:val="center"/>
                    <w:rPr>
                      <w:sz w:val="21"/>
                      <w:szCs w:val="21"/>
                    </w:rPr>
                  </w:pPr>
                  <w:r>
                    <w:rPr>
                      <w:rFonts w:hint="eastAsia"/>
                      <w:sz w:val="21"/>
                      <w:szCs w:val="21"/>
                      <w:lang w:val="en-US" w:eastAsia="zh-CN"/>
                    </w:rPr>
                    <w:t>一、</w:t>
                  </w:r>
                  <w:r>
                    <w:rPr>
                      <w:sz w:val="21"/>
                      <w:szCs w:val="21"/>
                    </w:rPr>
                    <w:t>规范清淤前期管理程序</w:t>
                  </w:r>
                </w:p>
              </w:tc>
              <w:tc>
                <w:tcPr>
                  <w:tcW w:w="255" w:type="pct"/>
                  <w:tcBorders>
                    <w:tl2br w:val="nil"/>
                    <w:tr2bl w:val="nil"/>
                  </w:tcBorders>
                  <w:noWrap w:val="0"/>
                  <w:vAlign w:val="center"/>
                </w:tcPr>
                <w:p w14:paraId="19E3AFB4">
                  <w:pPr>
                    <w:jc w:val="center"/>
                    <w:textAlignment w:val="center"/>
                    <w:rPr>
                      <w:rFonts w:hint="eastAsia" w:eastAsia="宋体"/>
                      <w:sz w:val="21"/>
                      <w:szCs w:val="21"/>
                      <w:lang w:val="en-US" w:eastAsia="zh-CN"/>
                    </w:rPr>
                  </w:pPr>
                  <w:r>
                    <w:rPr>
                      <w:rFonts w:hint="eastAsia"/>
                      <w:sz w:val="21"/>
                      <w:szCs w:val="21"/>
                      <w:lang w:val="en-US" w:eastAsia="zh-CN"/>
                    </w:rPr>
                    <w:t>1</w:t>
                  </w:r>
                </w:p>
              </w:tc>
              <w:tc>
                <w:tcPr>
                  <w:tcW w:w="2293" w:type="pct"/>
                  <w:tcBorders>
                    <w:tl2br w:val="nil"/>
                    <w:tr2bl w:val="nil"/>
                  </w:tcBorders>
                  <w:noWrap w:val="0"/>
                  <w:vAlign w:val="center"/>
                </w:tcPr>
                <w:p w14:paraId="39252CC7">
                  <w:pPr>
                    <w:textAlignment w:val="center"/>
                    <w:rPr>
                      <w:rFonts w:hint="eastAsia"/>
                      <w:sz w:val="21"/>
                      <w:szCs w:val="21"/>
                      <w:lang w:val="en-US" w:eastAsia="zh-CN"/>
                    </w:rPr>
                  </w:pPr>
                  <w:r>
                    <w:rPr>
                      <w:sz w:val="21"/>
                      <w:szCs w:val="21"/>
                    </w:rPr>
                    <w:t>一般建设性工程建设单位施工前需按照相关要求完成项目立项、初步设计、环评、稳评、洪评等工作，需制定详细施工组织方案。按照环评批复要求，制定环境管控工作方案和突发环境事故的应急处置预案。对于工程规模较小或临时性、应急性工程，需针对环境质量状况和工程作业方法，提前制定环境保护工程措施。</w:t>
                  </w:r>
                </w:p>
              </w:tc>
              <w:tc>
                <w:tcPr>
                  <w:tcW w:w="1741" w:type="pct"/>
                  <w:tcBorders>
                    <w:tl2br w:val="nil"/>
                    <w:tr2bl w:val="nil"/>
                  </w:tcBorders>
                  <w:noWrap w:val="0"/>
                  <w:vAlign w:val="center"/>
                </w:tcPr>
                <w:p w14:paraId="35CD5B13">
                  <w:pPr>
                    <w:textAlignment w:val="center"/>
                    <w:rPr>
                      <w:rFonts w:hint="eastAsia" w:eastAsia="宋体"/>
                      <w:sz w:val="21"/>
                      <w:szCs w:val="21"/>
                      <w:lang w:val="en-US" w:eastAsia="zh-CN"/>
                    </w:rPr>
                  </w:pPr>
                  <w:r>
                    <w:rPr>
                      <w:sz w:val="21"/>
                      <w:szCs w:val="21"/>
                    </w:rPr>
                    <w:t>本项目已完成立项，正在进行初步设计、环评、稳评、洪评，履行报批手续。要求建设单位后期按照环评批复要求，制订环境管控工作方案和突发环境事故的应急处置预案。</w:t>
                  </w:r>
                </w:p>
              </w:tc>
              <w:tc>
                <w:tcPr>
                  <w:tcW w:w="287" w:type="pct"/>
                  <w:tcBorders>
                    <w:tl2br w:val="nil"/>
                    <w:tr2bl w:val="nil"/>
                  </w:tcBorders>
                  <w:noWrap w:val="0"/>
                  <w:vAlign w:val="center"/>
                </w:tcPr>
                <w:p w14:paraId="4F217282">
                  <w:pPr>
                    <w:jc w:val="center"/>
                    <w:textAlignment w:val="center"/>
                    <w:rPr>
                      <w:sz w:val="21"/>
                      <w:szCs w:val="21"/>
                    </w:rPr>
                  </w:pPr>
                  <w:r>
                    <w:rPr>
                      <w:sz w:val="21"/>
                      <w:szCs w:val="21"/>
                    </w:rPr>
                    <w:t>相符</w:t>
                  </w:r>
                </w:p>
              </w:tc>
            </w:tr>
            <w:tr w14:paraId="290A0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continue"/>
                  <w:tcBorders>
                    <w:tl2br w:val="nil"/>
                    <w:tr2bl w:val="nil"/>
                  </w:tcBorders>
                  <w:noWrap w:val="0"/>
                  <w:vAlign w:val="center"/>
                </w:tcPr>
                <w:p w14:paraId="6DA9A4FD">
                  <w:pPr>
                    <w:textAlignment w:val="center"/>
                  </w:pPr>
                </w:p>
              </w:tc>
              <w:tc>
                <w:tcPr>
                  <w:tcW w:w="255" w:type="pct"/>
                  <w:tcBorders>
                    <w:tl2br w:val="nil"/>
                    <w:tr2bl w:val="nil"/>
                  </w:tcBorders>
                  <w:noWrap w:val="0"/>
                  <w:vAlign w:val="center"/>
                </w:tcPr>
                <w:p w14:paraId="260D7909">
                  <w:pPr>
                    <w:jc w:val="center"/>
                    <w:textAlignment w:val="center"/>
                    <w:rPr>
                      <w:rFonts w:hint="default"/>
                      <w:sz w:val="21"/>
                      <w:szCs w:val="21"/>
                      <w:lang w:val="en-US" w:eastAsia="zh-CN"/>
                    </w:rPr>
                  </w:pPr>
                  <w:r>
                    <w:rPr>
                      <w:rFonts w:hint="eastAsia"/>
                      <w:sz w:val="21"/>
                      <w:szCs w:val="21"/>
                      <w:lang w:val="en-US" w:eastAsia="zh-CN"/>
                    </w:rPr>
                    <w:t>2</w:t>
                  </w:r>
                </w:p>
              </w:tc>
              <w:tc>
                <w:tcPr>
                  <w:tcW w:w="2293" w:type="pct"/>
                  <w:tcBorders>
                    <w:tl2br w:val="nil"/>
                    <w:tr2bl w:val="nil"/>
                  </w:tcBorders>
                  <w:noWrap w:val="0"/>
                  <w:vAlign w:val="center"/>
                </w:tcPr>
                <w:p w14:paraId="20EC00F3">
                  <w:pPr>
                    <w:textAlignment w:val="center"/>
                    <w:rPr>
                      <w:rFonts w:hint="eastAsia"/>
                      <w:sz w:val="21"/>
                      <w:szCs w:val="21"/>
                      <w:lang w:val="en-US" w:eastAsia="zh-CN"/>
                    </w:rPr>
                  </w:pPr>
                  <w:r>
                    <w:rPr>
                      <w:sz w:val="21"/>
                      <w:szCs w:val="21"/>
                    </w:rPr>
                    <w:t>对于重点湖泊和较大骨干河道清淤前，应开展湖（河）底泥摸底性调查，切实掌握底泥分布特点和实际污染状况，科学确定清淤深度和土方量。合理安排生态清淤工程作业方法，确保工程能够取得较大环境效益的同时，减轻对水环境、水生态造成影响。</w:t>
                  </w:r>
                </w:p>
              </w:tc>
              <w:tc>
                <w:tcPr>
                  <w:tcW w:w="1741" w:type="pct"/>
                  <w:tcBorders>
                    <w:tl2br w:val="nil"/>
                    <w:tr2bl w:val="nil"/>
                  </w:tcBorders>
                  <w:noWrap w:val="0"/>
                  <w:vAlign w:val="center"/>
                </w:tcPr>
                <w:p w14:paraId="1C98FF6F">
                  <w:pPr>
                    <w:keepNext w:val="0"/>
                    <w:keepLines w:val="0"/>
                    <w:widowControl/>
                    <w:suppressLineNumbers w:val="0"/>
                    <w:jc w:val="left"/>
                    <w:rPr>
                      <w:rFonts w:hint="eastAsia"/>
                      <w:sz w:val="21"/>
                      <w:szCs w:val="21"/>
                      <w:lang w:val="en-US" w:eastAsia="zh-CN"/>
                    </w:rPr>
                  </w:pPr>
                  <w:r>
                    <w:rPr>
                      <w:rFonts w:hint="eastAsia" w:ascii="宋体" w:hAnsi="宋体" w:cs="宋体"/>
                      <w:color w:val="000000"/>
                      <w:kern w:val="0"/>
                      <w:sz w:val="21"/>
                      <w:szCs w:val="21"/>
                      <w:lang w:val="en-US" w:eastAsia="zh-CN" w:bidi="ar"/>
                    </w:rPr>
                    <w:t>本次评价共</w:t>
                  </w:r>
                  <w:r>
                    <w:rPr>
                      <w:rFonts w:hint="default" w:ascii="Times New Roman" w:hAnsi="Times New Roman" w:cs="Times New Roman"/>
                      <w:color w:val="000000"/>
                      <w:kern w:val="0"/>
                      <w:sz w:val="21"/>
                      <w:szCs w:val="21"/>
                      <w:lang w:val="en-US" w:eastAsia="zh-CN" w:bidi="ar"/>
                    </w:rPr>
                    <w:t>设置3个底泥监测点，根据监</w:t>
                  </w:r>
                  <w:r>
                    <w:rPr>
                      <w:rFonts w:hint="eastAsia" w:ascii="宋体" w:hAnsi="宋体" w:cs="宋体"/>
                      <w:color w:val="000000"/>
                      <w:kern w:val="0"/>
                      <w:sz w:val="21"/>
                      <w:szCs w:val="21"/>
                      <w:lang w:val="en-US" w:eastAsia="zh-CN" w:bidi="ar"/>
                    </w:rPr>
                    <w:t>测结果</w:t>
                  </w:r>
                  <w:r>
                    <w:rPr>
                      <w:rFonts w:hint="eastAsia" w:ascii="宋体" w:hAnsi="宋体" w:eastAsia="宋体" w:cs="宋体"/>
                      <w:color w:val="000000"/>
                      <w:kern w:val="0"/>
                      <w:sz w:val="21"/>
                      <w:szCs w:val="21"/>
                      <w:lang w:val="en-US" w:eastAsia="zh-CN" w:bidi="ar"/>
                    </w:rPr>
                    <w:t>，全部监测指标均达到相应标准要求；工可编制单位根据项目情况，确定了</w:t>
                  </w:r>
                  <w:r>
                    <w:rPr>
                      <w:rFonts w:hint="eastAsia" w:ascii="宋体" w:hAnsi="宋体" w:eastAsia="宋体" w:cs="宋体"/>
                      <w:color w:val="auto"/>
                      <w:kern w:val="0"/>
                      <w:sz w:val="21"/>
                      <w:szCs w:val="21"/>
                      <w:lang w:val="en-US" w:eastAsia="zh-CN" w:bidi="ar"/>
                    </w:rPr>
                    <w:t>本项目疏浚工程量为</w:t>
                  </w:r>
                  <w:r>
                    <w:rPr>
                      <w:rFonts w:hint="eastAsia" w:ascii="Times New Roman" w:hAnsi="Times New Roman" w:eastAsia="宋体" w:cs="Times New Roman"/>
                      <w:color w:val="auto"/>
                      <w:kern w:val="0"/>
                      <w:sz w:val="21"/>
                      <w:szCs w:val="21"/>
                      <w:lang w:val="en-US" w:eastAsia="zh-CN" w:bidi="ar"/>
                    </w:rPr>
                    <w:t>26</w:t>
                  </w:r>
                  <w:r>
                    <w:rPr>
                      <w:rFonts w:hint="eastAsia" w:ascii="宋体" w:hAnsi="宋体" w:eastAsia="宋体" w:cs="宋体"/>
                      <w:color w:val="auto"/>
                      <w:kern w:val="0"/>
                      <w:sz w:val="21"/>
                      <w:szCs w:val="21"/>
                      <w:lang w:val="en-US" w:eastAsia="zh-CN" w:bidi="ar"/>
                    </w:rPr>
                    <w:t>万</w:t>
                  </w:r>
                  <w:r>
                    <w:rPr>
                      <w:rFonts w:hint="eastAsia" w:ascii="Times New Roman" w:hAnsi="Times New Roman" w:eastAsia="宋体" w:cs="Times New Roman"/>
                      <w:color w:val="auto"/>
                      <w:kern w:val="0"/>
                      <w:sz w:val="21"/>
                      <w:szCs w:val="21"/>
                      <w:lang w:val="en-US" w:eastAsia="zh-CN" w:bidi="ar"/>
                    </w:rPr>
                    <w:t>m</w:t>
                  </w:r>
                  <w:r>
                    <w:rPr>
                      <w:rFonts w:hint="eastAsia" w:ascii="Times New Roman" w:hAnsi="Times New Roman" w:eastAsia="宋体" w:cs="Times New Roman"/>
                      <w:color w:val="auto"/>
                      <w:kern w:val="0"/>
                      <w:sz w:val="21"/>
                      <w:szCs w:val="21"/>
                      <w:vertAlign w:val="superscript"/>
                      <w:lang w:val="en-US" w:eastAsia="zh-CN" w:bidi="ar"/>
                    </w:rPr>
                    <w:t>3</w:t>
                  </w:r>
                  <w:r>
                    <w:rPr>
                      <w:rFonts w:hint="eastAsia" w:ascii="宋体" w:hAnsi="宋体" w:eastAsia="宋体" w:cs="宋体"/>
                      <w:color w:val="auto"/>
                      <w:kern w:val="0"/>
                      <w:sz w:val="21"/>
                      <w:szCs w:val="21"/>
                      <w:lang w:val="en-US" w:eastAsia="zh-CN" w:bidi="ar"/>
                    </w:rPr>
                    <w:t xml:space="preserve">。 </w:t>
                  </w:r>
                </w:p>
              </w:tc>
              <w:tc>
                <w:tcPr>
                  <w:tcW w:w="287" w:type="pct"/>
                  <w:tcBorders>
                    <w:tl2br w:val="nil"/>
                    <w:tr2bl w:val="nil"/>
                  </w:tcBorders>
                  <w:noWrap w:val="0"/>
                  <w:vAlign w:val="center"/>
                </w:tcPr>
                <w:p w14:paraId="2D44E0D7">
                  <w:pPr>
                    <w:jc w:val="center"/>
                    <w:textAlignment w:val="center"/>
                    <w:rPr>
                      <w:rFonts w:hint="eastAsia"/>
                      <w:sz w:val="21"/>
                      <w:szCs w:val="21"/>
                      <w:lang w:val="en-US" w:eastAsia="zh-CN"/>
                    </w:rPr>
                  </w:pPr>
                  <w:r>
                    <w:rPr>
                      <w:sz w:val="21"/>
                      <w:szCs w:val="21"/>
                    </w:rPr>
                    <w:t>相符</w:t>
                  </w:r>
                </w:p>
              </w:tc>
            </w:tr>
            <w:tr w14:paraId="5955F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421" w:type="pct"/>
                  <w:vMerge w:val="continue"/>
                  <w:tcBorders>
                    <w:tl2br w:val="nil"/>
                    <w:tr2bl w:val="nil"/>
                  </w:tcBorders>
                  <w:noWrap w:val="0"/>
                  <w:vAlign w:val="center"/>
                </w:tcPr>
                <w:p w14:paraId="63CD2331">
                  <w:pPr>
                    <w:textAlignment w:val="center"/>
                    <w:rPr>
                      <w:rFonts w:hint="eastAsia"/>
                      <w:sz w:val="21"/>
                      <w:szCs w:val="21"/>
                      <w:lang w:val="en-US" w:eastAsia="zh-CN"/>
                    </w:rPr>
                  </w:pPr>
                </w:p>
              </w:tc>
              <w:tc>
                <w:tcPr>
                  <w:tcW w:w="255" w:type="pct"/>
                  <w:tcBorders>
                    <w:tl2br w:val="nil"/>
                    <w:tr2bl w:val="nil"/>
                  </w:tcBorders>
                  <w:noWrap w:val="0"/>
                  <w:vAlign w:val="center"/>
                </w:tcPr>
                <w:p w14:paraId="77AEDFC6">
                  <w:pPr>
                    <w:jc w:val="center"/>
                    <w:textAlignment w:val="center"/>
                    <w:rPr>
                      <w:rFonts w:hint="default"/>
                      <w:sz w:val="21"/>
                      <w:szCs w:val="21"/>
                      <w:lang w:val="en-US" w:eastAsia="zh-CN"/>
                    </w:rPr>
                  </w:pPr>
                  <w:r>
                    <w:rPr>
                      <w:rFonts w:hint="eastAsia"/>
                      <w:sz w:val="21"/>
                      <w:szCs w:val="21"/>
                      <w:lang w:val="en-US" w:eastAsia="zh-CN"/>
                    </w:rPr>
                    <w:t>3</w:t>
                  </w:r>
                </w:p>
              </w:tc>
              <w:tc>
                <w:tcPr>
                  <w:tcW w:w="2293" w:type="pct"/>
                  <w:tcBorders>
                    <w:tl2br w:val="nil"/>
                    <w:tr2bl w:val="nil"/>
                  </w:tcBorders>
                  <w:noWrap w:val="0"/>
                  <w:vAlign w:val="center"/>
                </w:tcPr>
                <w:p w14:paraId="3924FB10">
                  <w:pPr>
                    <w:textAlignment w:val="center"/>
                    <w:rPr>
                      <w:rFonts w:hint="eastAsia"/>
                      <w:sz w:val="21"/>
                      <w:szCs w:val="21"/>
                      <w:lang w:val="en-US" w:eastAsia="zh-CN"/>
                    </w:rPr>
                  </w:pPr>
                  <w:r>
                    <w:rPr>
                      <w:sz w:val="21"/>
                      <w:szCs w:val="21"/>
                    </w:rPr>
                    <w:t>影响国省考断面水质的治污清淤工程，应在工程实施前向省厅提前报备，并提供工程实施计划、图片资料等（包括招标合同、开工证明、清淤位置、淤泥去向、土方量、上游汇水去向、施工时限等）。若治污清淤工程将引起考核断面所在水体断流无监测数据的，应申请临时替代监测点位，其中涉及国考断面应提前三个月由设区市生态环境部门向省厅提出申请，经论证后由省厅报生态环境部审核批准；省考断面应提前两个月由设区市生态环境部门向省厅申请。为有效保障水环境质量，当地生态环境部门应会同相关行业主管部门和工程施工单位，立即编制断面水质保障应对方案，确保工程施工期间水质保持稳定。</w:t>
                  </w:r>
                </w:p>
              </w:tc>
              <w:tc>
                <w:tcPr>
                  <w:tcW w:w="1741" w:type="pct"/>
                  <w:tcBorders>
                    <w:tl2br w:val="nil"/>
                    <w:tr2bl w:val="nil"/>
                  </w:tcBorders>
                  <w:noWrap w:val="0"/>
                  <w:vAlign w:val="center"/>
                </w:tcPr>
                <w:p w14:paraId="5BBA9F77">
                  <w:pPr>
                    <w:textAlignment w:val="center"/>
                    <w:rPr>
                      <w:rFonts w:hint="eastAsia"/>
                      <w:sz w:val="21"/>
                      <w:szCs w:val="21"/>
                      <w:lang w:val="en-US" w:eastAsia="zh-CN"/>
                    </w:rPr>
                  </w:pPr>
                  <w:r>
                    <w:rPr>
                      <w:rFonts w:hint="eastAsia" w:ascii="宋体" w:hAnsi="宋体" w:eastAsia="宋体" w:cs="宋体"/>
                      <w:color w:val="000000"/>
                      <w:kern w:val="0"/>
                      <w:sz w:val="21"/>
                      <w:szCs w:val="21"/>
                      <w:lang w:val="en-US" w:eastAsia="zh-CN" w:bidi="ar"/>
                    </w:rPr>
                    <w:t>本项目评价</w:t>
                  </w:r>
                  <w:r>
                    <w:rPr>
                      <w:rFonts w:hint="default" w:ascii="宋体" w:hAnsi="宋体" w:eastAsia="宋体" w:cs="宋体"/>
                      <w:color w:val="000000"/>
                      <w:kern w:val="0"/>
                      <w:sz w:val="21"/>
                      <w:szCs w:val="21"/>
                      <w:lang w:val="en-US" w:eastAsia="zh-CN" w:bidi="ar"/>
                    </w:rPr>
                    <w:t>范</w:t>
                  </w:r>
                  <w:r>
                    <w:rPr>
                      <w:rFonts w:hint="default" w:ascii="Times New Roman" w:hAnsi="Times New Roman" w:eastAsia="宋体" w:cs="Times New Roman"/>
                      <w:color w:val="000000"/>
                      <w:kern w:val="0"/>
                      <w:sz w:val="21"/>
                      <w:szCs w:val="21"/>
                      <w:lang w:val="en-US" w:eastAsia="zh-CN" w:bidi="ar"/>
                    </w:rPr>
                    <w:t>围内分布</w:t>
                  </w:r>
                  <w:r>
                    <w:rPr>
                      <w:rFonts w:hint="eastAsia"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val="en-US" w:eastAsia="zh-CN" w:bidi="ar"/>
                    </w:rPr>
                    <w:t>处省考断面，分别为大运河桥省考断面、</w:t>
                  </w:r>
                  <w:r>
                    <w:rPr>
                      <w:rFonts w:hint="eastAsia" w:ascii="Times New Roman" w:hAnsi="Times New Roman" w:eastAsia="宋体" w:cs="Times New Roman"/>
                      <w:color w:val="000000"/>
                      <w:kern w:val="0"/>
                      <w:sz w:val="21"/>
                      <w:szCs w:val="21"/>
                      <w:lang w:val="en-US" w:eastAsia="zh-CN" w:bidi="ar"/>
                    </w:rPr>
                    <w:t>板闸</w:t>
                  </w:r>
                  <w:r>
                    <w:rPr>
                      <w:rFonts w:hint="default" w:ascii="Times New Roman" w:hAnsi="Times New Roman" w:eastAsia="宋体" w:cs="Times New Roman"/>
                      <w:color w:val="000000"/>
                      <w:kern w:val="0"/>
                      <w:sz w:val="21"/>
                      <w:szCs w:val="21"/>
                      <w:lang w:val="en-US" w:eastAsia="zh-CN" w:bidi="ar"/>
                    </w:rPr>
                    <w:t>省考断面</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黄码大桥省考断面，</w:t>
                  </w:r>
                  <w:r>
                    <w:rPr>
                      <w:rFonts w:hint="eastAsia" w:ascii="Times New Roman" w:hAnsi="Times New Roman" w:cs="Times New Roman"/>
                      <w:color w:val="000000"/>
                      <w:kern w:val="0"/>
                      <w:sz w:val="21"/>
                      <w:szCs w:val="21"/>
                      <w:lang w:val="en-US" w:eastAsia="zh-CN" w:bidi="ar"/>
                    </w:rPr>
                    <w:t>属于</w:t>
                  </w:r>
                  <w:r>
                    <w:rPr>
                      <w:sz w:val="21"/>
                      <w:szCs w:val="21"/>
                    </w:rPr>
                    <w:t>影响省考断面水质的治污清淤工程，</w:t>
                  </w:r>
                  <w:r>
                    <w:rPr>
                      <w:rFonts w:hint="eastAsia" w:ascii="宋体" w:hAnsi="宋体" w:eastAsia="宋体" w:cs="宋体"/>
                      <w:color w:val="000000"/>
                      <w:kern w:val="0"/>
                      <w:sz w:val="21"/>
                      <w:szCs w:val="21"/>
                      <w:lang w:val="en-US" w:eastAsia="zh-CN" w:bidi="ar"/>
                    </w:rPr>
                    <w:t>建设单位正在准备工程实施计划、图片资料等材料，在工程施工前向省厅提前报备。 本项目施工期采取不断流施工</w:t>
                  </w:r>
                  <w:r>
                    <w:rPr>
                      <w:rFonts w:hint="eastAsia" w:ascii="宋体" w:hAnsi="宋体" w:eastAsia="宋体" w:cs="宋体"/>
                      <w:color w:val="auto"/>
                      <w:kern w:val="0"/>
                      <w:sz w:val="21"/>
                      <w:szCs w:val="21"/>
                      <w:lang w:val="en-US" w:eastAsia="zh-CN" w:bidi="ar"/>
                    </w:rPr>
                    <w:t>，不涉及申请临时替代监测点位。 为确保工程施工期间水质保持稳定，</w:t>
                  </w:r>
                  <w:r>
                    <w:rPr>
                      <w:rFonts w:hint="default" w:ascii="Times New Roman" w:hAnsi="Times New Roman" w:cs="Times New Roman"/>
                      <w:color w:val="auto"/>
                      <w:kern w:val="0"/>
                      <w:sz w:val="21"/>
                      <w:szCs w:val="21"/>
                      <w:lang w:val="en-US" w:eastAsia="zh-CN" w:bidi="ar"/>
                    </w:rPr>
                    <w:t>2024年7月9日建设单位向区生态环境部门报备施工方案，同日，区生态环境部门向市生态环境部门进行了报备，下一步，市</w:t>
                  </w:r>
                  <w:r>
                    <w:rPr>
                      <w:rFonts w:hint="default" w:ascii="Times New Roman" w:hAnsi="Times New Roman" w:cs="Times New Roman"/>
                      <w:sz w:val="21"/>
                      <w:szCs w:val="21"/>
                    </w:rPr>
                    <w:t>生态环境部门向省厅申请</w:t>
                  </w:r>
                  <w:r>
                    <w:rPr>
                      <w:rFonts w:hint="default" w:ascii="Times New Roman" w:hAnsi="Times New Roman" w:cs="Times New Roman"/>
                      <w:color w:val="auto"/>
                      <w:kern w:val="0"/>
                      <w:sz w:val="21"/>
                      <w:szCs w:val="21"/>
                      <w:lang w:val="en-US" w:eastAsia="zh-CN" w:bidi="ar"/>
                    </w:rPr>
                    <w:t>。</w:t>
                  </w:r>
                  <w:r>
                    <w:rPr>
                      <w:rFonts w:hint="eastAsia" w:ascii="宋体" w:hAnsi="宋体" w:eastAsia="宋体" w:cs="宋体"/>
                      <w:color w:val="000000"/>
                      <w:kern w:val="0"/>
                      <w:sz w:val="21"/>
                      <w:szCs w:val="21"/>
                      <w:lang w:val="en-US" w:eastAsia="zh-CN" w:bidi="ar"/>
                    </w:rPr>
                    <w:t>后期</w:t>
                  </w:r>
                  <w:r>
                    <w:rPr>
                      <w:rFonts w:hint="eastAsia" w:ascii="宋体" w:hAnsi="宋体" w:cs="宋体"/>
                      <w:color w:val="000000"/>
                      <w:kern w:val="0"/>
                      <w:sz w:val="21"/>
                      <w:szCs w:val="21"/>
                      <w:lang w:val="en-US" w:eastAsia="zh-CN" w:bidi="ar"/>
                    </w:rPr>
                    <w:t>建设单位</w:t>
                  </w:r>
                  <w:r>
                    <w:rPr>
                      <w:rFonts w:hint="eastAsia" w:ascii="宋体" w:hAnsi="宋体" w:eastAsia="宋体" w:cs="宋体"/>
                      <w:color w:val="000000"/>
                      <w:kern w:val="0"/>
                      <w:sz w:val="21"/>
                      <w:szCs w:val="21"/>
                      <w:lang w:val="en-US" w:eastAsia="zh-CN" w:bidi="ar"/>
                    </w:rPr>
                    <w:t>将和生态环境部门一起，会同相关行业主管部门和工程施工单位，编制断面水质保障应对方案，确保工程施工期间水质保持稳定。</w:t>
                  </w:r>
                </w:p>
              </w:tc>
              <w:tc>
                <w:tcPr>
                  <w:tcW w:w="287" w:type="pct"/>
                  <w:tcBorders>
                    <w:tl2br w:val="nil"/>
                    <w:tr2bl w:val="nil"/>
                  </w:tcBorders>
                  <w:noWrap w:val="0"/>
                  <w:vAlign w:val="center"/>
                </w:tcPr>
                <w:p w14:paraId="4171501C">
                  <w:pPr>
                    <w:jc w:val="center"/>
                    <w:textAlignment w:val="center"/>
                    <w:rPr>
                      <w:rFonts w:hint="eastAsia"/>
                      <w:sz w:val="21"/>
                      <w:szCs w:val="21"/>
                      <w:lang w:val="en-US" w:eastAsia="zh-CN"/>
                    </w:rPr>
                  </w:pPr>
                  <w:r>
                    <w:rPr>
                      <w:sz w:val="21"/>
                      <w:szCs w:val="21"/>
                    </w:rPr>
                    <w:t>相符</w:t>
                  </w:r>
                </w:p>
              </w:tc>
            </w:tr>
            <w:tr w14:paraId="1754D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421" w:type="pct"/>
                  <w:vMerge w:val="restart"/>
                  <w:tcBorders>
                    <w:tl2br w:val="nil"/>
                    <w:tr2bl w:val="nil"/>
                  </w:tcBorders>
                  <w:noWrap w:val="0"/>
                  <w:vAlign w:val="center"/>
                </w:tcPr>
                <w:p w14:paraId="772F22E5">
                  <w:pPr>
                    <w:jc w:val="center"/>
                    <w:textAlignment w:val="center"/>
                    <w:rPr>
                      <w:sz w:val="21"/>
                      <w:szCs w:val="21"/>
                    </w:rPr>
                  </w:pPr>
                  <w:r>
                    <w:rPr>
                      <w:rFonts w:hint="eastAsia"/>
                      <w:sz w:val="21"/>
                      <w:szCs w:val="21"/>
                      <w:lang w:val="en-US" w:eastAsia="zh-CN"/>
                    </w:rPr>
                    <w:t>二、</w:t>
                  </w:r>
                  <w:r>
                    <w:rPr>
                      <w:sz w:val="21"/>
                      <w:szCs w:val="21"/>
                    </w:rPr>
                    <w:t>强化清淤施工期间各项环境管控</w:t>
                  </w:r>
                </w:p>
              </w:tc>
              <w:tc>
                <w:tcPr>
                  <w:tcW w:w="255" w:type="pct"/>
                  <w:tcBorders>
                    <w:tl2br w:val="nil"/>
                    <w:tr2bl w:val="nil"/>
                  </w:tcBorders>
                  <w:noWrap w:val="0"/>
                  <w:vAlign w:val="center"/>
                </w:tcPr>
                <w:p w14:paraId="5A16D45C">
                  <w:pPr>
                    <w:jc w:val="center"/>
                    <w:textAlignment w:val="center"/>
                    <w:rPr>
                      <w:rFonts w:hint="eastAsia" w:eastAsia="宋体"/>
                      <w:sz w:val="21"/>
                      <w:szCs w:val="21"/>
                      <w:lang w:val="en-US" w:eastAsia="zh-CN"/>
                    </w:rPr>
                  </w:pPr>
                  <w:r>
                    <w:rPr>
                      <w:rFonts w:hint="eastAsia"/>
                      <w:sz w:val="21"/>
                      <w:szCs w:val="21"/>
                      <w:lang w:val="en-US" w:eastAsia="zh-CN"/>
                    </w:rPr>
                    <w:t>1</w:t>
                  </w:r>
                </w:p>
              </w:tc>
              <w:tc>
                <w:tcPr>
                  <w:tcW w:w="2293" w:type="pct"/>
                  <w:tcBorders>
                    <w:tl2br w:val="nil"/>
                    <w:tr2bl w:val="nil"/>
                  </w:tcBorders>
                  <w:noWrap w:val="0"/>
                  <w:vAlign w:val="center"/>
                </w:tcPr>
                <w:p w14:paraId="1B20BE57">
                  <w:pPr>
                    <w:textAlignment w:val="center"/>
                    <w:rPr>
                      <w:rFonts w:hint="eastAsia"/>
                      <w:sz w:val="21"/>
                      <w:szCs w:val="21"/>
                      <w:lang w:val="en-US" w:eastAsia="zh-CN"/>
                    </w:rPr>
                  </w:pPr>
                  <w:r>
                    <w:rPr>
                      <w:sz w:val="21"/>
                      <w:szCs w:val="21"/>
                    </w:rPr>
                    <w:t>实施生态清淤。干法清淤需科学建设挡水围堰，严禁施工淤泥沿岸露天堆放。湿法清淤需规避抓斗式方法，减少底泥扰动扩散，严控对河水的二次污染。优先选用新型环保绞吸式清淤船作业，利用环保绞刀头进行全方位封闭式清淤，挖泥区周围需设置防淤帘，减少底泥中污染物释放。严禁水冲式湿法清淤，避免大量高浓度泥水下泄，造成下游水质污染。淤泥采用管理输送或汽运、船运等环节均需全程封闭，淤泥堆场需进行防渗、防漏、防雨处置。</w:t>
                  </w:r>
                </w:p>
              </w:tc>
              <w:tc>
                <w:tcPr>
                  <w:tcW w:w="1741" w:type="pct"/>
                  <w:tcBorders>
                    <w:tl2br w:val="nil"/>
                    <w:tr2bl w:val="nil"/>
                  </w:tcBorders>
                  <w:noWrap w:val="0"/>
                  <w:vAlign w:val="center"/>
                </w:tcPr>
                <w:p w14:paraId="0025CF88">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本项目沿线水下方土质较硬，不适宜采用绞吸式</w:t>
                  </w:r>
                  <w:r>
                    <w:rPr>
                      <w:rFonts w:hint="eastAsia" w:ascii="宋体" w:hAnsi="宋体" w:cs="宋体"/>
                      <w:color w:val="auto"/>
                      <w:kern w:val="0"/>
                      <w:sz w:val="21"/>
                      <w:szCs w:val="21"/>
                      <w:lang w:val="en-US" w:eastAsia="zh-CN" w:bidi="ar"/>
                    </w:rPr>
                    <w:t>挖泥船</w:t>
                  </w:r>
                  <w:r>
                    <w:rPr>
                      <w:rFonts w:hint="eastAsia" w:ascii="宋体" w:hAnsi="宋体" w:eastAsia="宋体" w:cs="宋体"/>
                      <w:color w:val="auto"/>
                      <w:kern w:val="0"/>
                      <w:sz w:val="21"/>
                      <w:szCs w:val="21"/>
                      <w:lang w:val="en-US" w:eastAsia="zh-CN" w:bidi="ar"/>
                    </w:rPr>
                    <w:t>进行施工作业；同时，京杭运河航线繁忙，施工期将采取不断航式施工，而绞吸式挖泥船施工影响面较大，将影响区域船舶通行；项目沿线无法设置污泥干化场，无法通过绞吸式挖泥船往岸边吹填。鉴于以上原因，本次清淤选择抓斗式挖泥船进行施工。</w:t>
                  </w:r>
                </w:p>
                <w:p w14:paraId="0EA46152">
                  <w:pPr>
                    <w:keepNext w:val="0"/>
                    <w:keepLines w:val="0"/>
                    <w:widowControl/>
                    <w:suppressLineNumbers w:val="0"/>
                    <w:jc w:val="left"/>
                    <w:rPr>
                      <w:rFonts w:hint="eastAsia" w:eastAsia="宋体"/>
                      <w:sz w:val="21"/>
                      <w:szCs w:val="21"/>
                      <w:lang w:val="en-US" w:eastAsia="zh-CN"/>
                    </w:rPr>
                  </w:pPr>
                  <w:r>
                    <w:rPr>
                      <w:rFonts w:hint="eastAsia" w:ascii="宋体" w:hAnsi="宋体" w:eastAsia="宋体" w:cs="宋体"/>
                      <w:color w:val="000000"/>
                      <w:kern w:val="0"/>
                      <w:sz w:val="21"/>
                      <w:szCs w:val="21"/>
                      <w:lang w:val="en-US" w:eastAsia="zh-CN" w:bidi="ar"/>
                    </w:rPr>
                    <w:t xml:space="preserve">临近省考断面施工时，挖泥区周围拟设置防淤帘；淤泥采用船运至拟定的符合方案要求的干化场，转运船舶、车辆全程封闭。淤泥干化场进行防渗、防漏和防雨处置。 </w:t>
                  </w:r>
                </w:p>
              </w:tc>
              <w:tc>
                <w:tcPr>
                  <w:tcW w:w="287" w:type="pct"/>
                  <w:tcBorders>
                    <w:tl2br w:val="nil"/>
                    <w:tr2bl w:val="nil"/>
                  </w:tcBorders>
                  <w:noWrap w:val="0"/>
                  <w:vAlign w:val="center"/>
                </w:tcPr>
                <w:p w14:paraId="65E86CD8">
                  <w:pPr>
                    <w:jc w:val="center"/>
                    <w:textAlignment w:val="center"/>
                    <w:rPr>
                      <w:sz w:val="21"/>
                      <w:szCs w:val="21"/>
                    </w:rPr>
                  </w:pPr>
                  <w:r>
                    <w:rPr>
                      <w:sz w:val="21"/>
                      <w:szCs w:val="21"/>
                    </w:rPr>
                    <w:t>相符</w:t>
                  </w:r>
                </w:p>
              </w:tc>
            </w:tr>
            <w:tr w14:paraId="6261B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421" w:type="pct"/>
                  <w:vMerge w:val="continue"/>
                  <w:tcBorders>
                    <w:tl2br w:val="nil"/>
                    <w:tr2bl w:val="nil"/>
                  </w:tcBorders>
                  <w:noWrap w:val="0"/>
                  <w:vAlign w:val="center"/>
                </w:tcPr>
                <w:p w14:paraId="3D4867F7">
                  <w:pPr>
                    <w:textAlignment w:val="center"/>
                  </w:pPr>
                </w:p>
              </w:tc>
              <w:tc>
                <w:tcPr>
                  <w:tcW w:w="255" w:type="pct"/>
                  <w:tcBorders>
                    <w:tl2br w:val="nil"/>
                    <w:tr2bl w:val="nil"/>
                  </w:tcBorders>
                  <w:noWrap w:val="0"/>
                  <w:vAlign w:val="center"/>
                </w:tcPr>
                <w:p w14:paraId="329CE289">
                  <w:pPr>
                    <w:jc w:val="center"/>
                    <w:textAlignment w:val="center"/>
                    <w:rPr>
                      <w:rFonts w:hint="eastAsia" w:eastAsia="宋体"/>
                      <w:lang w:val="en-US" w:eastAsia="zh-CN"/>
                    </w:rPr>
                  </w:pPr>
                  <w:r>
                    <w:rPr>
                      <w:rFonts w:hint="eastAsia"/>
                      <w:lang w:val="en-US" w:eastAsia="zh-CN"/>
                    </w:rPr>
                    <w:t>2</w:t>
                  </w:r>
                </w:p>
              </w:tc>
              <w:tc>
                <w:tcPr>
                  <w:tcW w:w="2293" w:type="pct"/>
                  <w:tcBorders>
                    <w:tl2br w:val="nil"/>
                    <w:tr2bl w:val="nil"/>
                  </w:tcBorders>
                  <w:noWrap w:val="0"/>
                  <w:vAlign w:val="center"/>
                </w:tcPr>
                <w:p w14:paraId="344A3F7E">
                  <w:pPr>
                    <w:textAlignment w:val="center"/>
                    <w:rPr>
                      <w:rFonts w:hint="eastAsia"/>
                      <w:sz w:val="21"/>
                      <w:szCs w:val="21"/>
                      <w:lang w:val="en-US" w:eastAsia="zh-CN"/>
                    </w:rPr>
                  </w:pPr>
                  <w:r>
                    <w:rPr>
                      <w:sz w:val="21"/>
                      <w:szCs w:val="21"/>
                    </w:rPr>
                    <w:t>清淤船舶管理。水下施工时，禁止将污水、垃圾和其它施工机械的废油等污染物抛入水体，清淤船舶内各种阀件和油路管中可能溢出的含油废水不可直接排放，含油废水需收集到岸上，进入隔油池进行预处理，处理后产生的油污交由有资质的单位处置。</w:t>
                  </w:r>
                </w:p>
              </w:tc>
              <w:tc>
                <w:tcPr>
                  <w:tcW w:w="1741" w:type="pct"/>
                  <w:tcBorders>
                    <w:tl2br w:val="nil"/>
                    <w:tr2bl w:val="nil"/>
                  </w:tcBorders>
                  <w:noWrap w:val="0"/>
                  <w:vAlign w:val="center"/>
                </w:tcPr>
                <w:p w14:paraId="15E1E837">
                  <w:pPr>
                    <w:keepNext w:val="0"/>
                    <w:keepLines w:val="0"/>
                    <w:widowControl/>
                    <w:suppressLineNumbers w:val="0"/>
                    <w:jc w:val="left"/>
                    <w:rPr>
                      <w:rFonts w:hint="eastAsia"/>
                      <w:sz w:val="21"/>
                      <w:szCs w:val="21"/>
                      <w:lang w:val="en-US" w:eastAsia="zh-CN"/>
                    </w:rPr>
                  </w:pPr>
                  <w:r>
                    <w:rPr>
                      <w:rFonts w:hint="eastAsia" w:cs="Times New Roman"/>
                      <w:b w:val="0"/>
                      <w:bCs/>
                      <w:sz w:val="21"/>
                      <w:szCs w:val="21"/>
                      <w:lang w:eastAsia="zh-CN"/>
                    </w:rPr>
                    <w:t>船舶生活污水由具备相应作业资质的污水接收船接收处理，运送到岸上集中处理；船舶含油污水由当地交通运输部门认可的有资质的单位接收处理，</w:t>
                  </w:r>
                  <w:r>
                    <w:rPr>
                      <w:rFonts w:hint="eastAsia" w:ascii="宋体" w:hAnsi="宋体" w:eastAsia="宋体" w:cs="宋体"/>
                      <w:color w:val="000000"/>
                      <w:kern w:val="0"/>
                      <w:sz w:val="21"/>
                      <w:szCs w:val="21"/>
                      <w:lang w:val="en-US" w:eastAsia="zh-CN" w:bidi="ar"/>
                    </w:rPr>
                    <w:t>不向施工水域排放。</w:t>
                  </w:r>
                </w:p>
              </w:tc>
              <w:tc>
                <w:tcPr>
                  <w:tcW w:w="287" w:type="pct"/>
                  <w:tcBorders>
                    <w:tl2br w:val="nil"/>
                    <w:tr2bl w:val="nil"/>
                  </w:tcBorders>
                  <w:noWrap w:val="0"/>
                  <w:vAlign w:val="center"/>
                </w:tcPr>
                <w:p w14:paraId="2E0249A4">
                  <w:pPr>
                    <w:jc w:val="center"/>
                    <w:textAlignment w:val="center"/>
                    <w:rPr>
                      <w:rFonts w:hint="eastAsia"/>
                      <w:sz w:val="21"/>
                      <w:szCs w:val="21"/>
                      <w:lang w:val="en-US" w:eastAsia="zh-CN"/>
                    </w:rPr>
                  </w:pPr>
                  <w:r>
                    <w:rPr>
                      <w:sz w:val="21"/>
                      <w:szCs w:val="21"/>
                    </w:rPr>
                    <w:t>相符</w:t>
                  </w:r>
                </w:p>
              </w:tc>
            </w:tr>
            <w:tr w14:paraId="6A402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421" w:type="pct"/>
                  <w:vMerge w:val="continue"/>
                  <w:tcBorders>
                    <w:tl2br w:val="nil"/>
                    <w:tr2bl w:val="nil"/>
                  </w:tcBorders>
                  <w:noWrap w:val="0"/>
                  <w:vAlign w:val="center"/>
                </w:tcPr>
                <w:p w14:paraId="1C1C4E78">
                  <w:pPr>
                    <w:textAlignment w:val="center"/>
                    <w:rPr>
                      <w:rFonts w:hint="eastAsia"/>
                      <w:sz w:val="21"/>
                      <w:szCs w:val="21"/>
                      <w:lang w:val="en-US" w:eastAsia="zh-CN"/>
                    </w:rPr>
                  </w:pPr>
                </w:p>
              </w:tc>
              <w:tc>
                <w:tcPr>
                  <w:tcW w:w="255" w:type="pct"/>
                  <w:tcBorders>
                    <w:tl2br w:val="nil"/>
                    <w:tr2bl w:val="nil"/>
                  </w:tcBorders>
                  <w:noWrap w:val="0"/>
                  <w:vAlign w:val="center"/>
                </w:tcPr>
                <w:p w14:paraId="7621F07C">
                  <w:pPr>
                    <w:jc w:val="center"/>
                    <w:textAlignment w:val="center"/>
                    <w:rPr>
                      <w:rFonts w:hint="default"/>
                      <w:sz w:val="21"/>
                      <w:szCs w:val="21"/>
                      <w:lang w:val="en-US" w:eastAsia="zh-CN"/>
                    </w:rPr>
                  </w:pPr>
                  <w:r>
                    <w:rPr>
                      <w:rFonts w:hint="eastAsia"/>
                      <w:sz w:val="21"/>
                      <w:szCs w:val="21"/>
                      <w:lang w:val="en-US" w:eastAsia="zh-CN"/>
                    </w:rPr>
                    <w:t>3</w:t>
                  </w:r>
                </w:p>
              </w:tc>
              <w:tc>
                <w:tcPr>
                  <w:tcW w:w="2293" w:type="pct"/>
                  <w:tcBorders>
                    <w:tl2br w:val="nil"/>
                    <w:tr2bl w:val="nil"/>
                  </w:tcBorders>
                  <w:noWrap w:val="0"/>
                  <w:vAlign w:val="center"/>
                </w:tcPr>
                <w:p w14:paraId="1A51C7F2">
                  <w:pPr>
                    <w:textAlignment w:val="center"/>
                    <w:rPr>
                      <w:rFonts w:hint="eastAsia"/>
                      <w:sz w:val="21"/>
                      <w:szCs w:val="21"/>
                      <w:lang w:val="en-US" w:eastAsia="zh-CN"/>
                    </w:rPr>
                  </w:pPr>
                  <w:r>
                    <w:rPr>
                      <w:sz w:val="21"/>
                      <w:szCs w:val="21"/>
                    </w:rPr>
                    <w:t>生产生活污水管控。严格规范施工行为，及时维护和修理施工机械，避免机油的跑冒滴漏，施工期车辆、设备冲洗废水、施工人员生活污水不可直接排放。需配建隔油池、沉淀池、集水池等设施，就近接入污水管网进行收集，送污水处理厂处理。淤泥堆场的尾水需经处理后达标排放，尾水排口应设置在考核断面下游，避免对考核监测带来不利影响。</w:t>
                  </w:r>
                </w:p>
              </w:tc>
              <w:tc>
                <w:tcPr>
                  <w:tcW w:w="1741" w:type="pct"/>
                  <w:tcBorders>
                    <w:tl2br w:val="nil"/>
                    <w:tr2bl w:val="nil"/>
                  </w:tcBorders>
                  <w:noWrap w:val="0"/>
                  <w:vAlign w:val="center"/>
                </w:tcPr>
                <w:p w14:paraId="7FFD289A">
                  <w:pPr>
                    <w:keepNext w:val="0"/>
                    <w:keepLines w:val="0"/>
                    <w:widowControl/>
                    <w:suppressLineNumbers w:val="0"/>
                    <w:jc w:val="left"/>
                    <w:rPr>
                      <w:rFonts w:hint="eastAsia"/>
                      <w:sz w:val="21"/>
                      <w:szCs w:val="21"/>
                      <w:lang w:val="en-US" w:eastAsia="zh-CN"/>
                    </w:rPr>
                  </w:pPr>
                  <w:r>
                    <w:rPr>
                      <w:rFonts w:hint="eastAsia" w:ascii="宋体" w:hAnsi="宋体" w:eastAsia="宋体" w:cs="宋体"/>
                      <w:color w:val="000000"/>
                      <w:kern w:val="0"/>
                      <w:sz w:val="21"/>
                      <w:szCs w:val="21"/>
                      <w:lang w:val="en-US" w:eastAsia="zh-CN" w:bidi="ar"/>
                    </w:rPr>
                    <w:t>本项目施工营地租用现有房屋，生活污水具备接管条件，接入市政污水管</w:t>
                  </w:r>
                  <w:r>
                    <w:rPr>
                      <w:rFonts w:hint="eastAsia" w:ascii="宋体" w:hAnsi="宋体" w:eastAsia="宋体" w:cs="宋体"/>
                      <w:color w:val="auto"/>
                      <w:kern w:val="0"/>
                      <w:sz w:val="21"/>
                      <w:szCs w:val="21"/>
                      <w:lang w:val="en-US" w:eastAsia="zh-CN" w:bidi="ar"/>
                    </w:rPr>
                    <w:t>网。淤泥干化场排水特征污染物为</w:t>
                  </w:r>
                  <w:r>
                    <w:rPr>
                      <w:rFonts w:hint="default" w:ascii="Times New Roman" w:hAnsi="Times New Roman" w:eastAsia="宋体" w:cs="Times New Roman"/>
                      <w:color w:val="auto"/>
                      <w:kern w:val="0"/>
                      <w:sz w:val="21"/>
                      <w:szCs w:val="21"/>
                      <w:lang w:val="en-US" w:eastAsia="zh-CN" w:bidi="ar"/>
                    </w:rPr>
                    <w:t>SS</w:t>
                  </w:r>
                  <w:r>
                    <w:rPr>
                      <w:rFonts w:hint="eastAsia" w:ascii="宋体" w:hAnsi="宋体" w:eastAsia="宋体" w:cs="宋体"/>
                      <w:color w:val="auto"/>
                      <w:kern w:val="0"/>
                      <w:sz w:val="21"/>
                      <w:szCs w:val="21"/>
                      <w:lang w:val="en-US" w:eastAsia="zh-CN" w:bidi="ar"/>
                    </w:rPr>
                    <w:t xml:space="preserve">，需经三级沉淀池达标处理后排入附近沟渠。 </w:t>
                  </w:r>
                </w:p>
              </w:tc>
              <w:tc>
                <w:tcPr>
                  <w:tcW w:w="287" w:type="pct"/>
                  <w:tcBorders>
                    <w:tl2br w:val="nil"/>
                    <w:tr2bl w:val="nil"/>
                  </w:tcBorders>
                  <w:noWrap w:val="0"/>
                  <w:vAlign w:val="center"/>
                </w:tcPr>
                <w:p w14:paraId="4A5AA55C">
                  <w:pPr>
                    <w:jc w:val="center"/>
                    <w:textAlignment w:val="center"/>
                    <w:rPr>
                      <w:rFonts w:hint="eastAsia"/>
                      <w:sz w:val="21"/>
                      <w:szCs w:val="21"/>
                      <w:lang w:val="en-US" w:eastAsia="zh-CN"/>
                    </w:rPr>
                  </w:pPr>
                  <w:r>
                    <w:rPr>
                      <w:sz w:val="21"/>
                      <w:szCs w:val="21"/>
                    </w:rPr>
                    <w:t>相符</w:t>
                  </w:r>
                </w:p>
              </w:tc>
            </w:tr>
            <w:tr w14:paraId="7685C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421" w:type="pct"/>
                  <w:vMerge w:val="continue"/>
                  <w:tcBorders>
                    <w:tl2br w:val="nil"/>
                    <w:tr2bl w:val="nil"/>
                  </w:tcBorders>
                  <w:noWrap w:val="0"/>
                  <w:vAlign w:val="center"/>
                </w:tcPr>
                <w:p w14:paraId="3768CC16">
                  <w:pPr>
                    <w:textAlignment w:val="center"/>
                    <w:rPr>
                      <w:rFonts w:hint="eastAsia"/>
                      <w:sz w:val="21"/>
                      <w:szCs w:val="21"/>
                      <w:lang w:val="en-US" w:eastAsia="zh-CN"/>
                    </w:rPr>
                  </w:pPr>
                </w:p>
              </w:tc>
              <w:tc>
                <w:tcPr>
                  <w:tcW w:w="255" w:type="pct"/>
                  <w:tcBorders>
                    <w:tl2br w:val="nil"/>
                    <w:tr2bl w:val="nil"/>
                  </w:tcBorders>
                  <w:noWrap w:val="0"/>
                  <w:vAlign w:val="center"/>
                </w:tcPr>
                <w:p w14:paraId="718571DF">
                  <w:pPr>
                    <w:jc w:val="center"/>
                    <w:textAlignment w:val="center"/>
                    <w:rPr>
                      <w:rFonts w:hint="default"/>
                      <w:sz w:val="21"/>
                      <w:szCs w:val="21"/>
                      <w:lang w:val="en-US" w:eastAsia="zh-CN"/>
                    </w:rPr>
                  </w:pPr>
                  <w:r>
                    <w:rPr>
                      <w:rFonts w:hint="eastAsia"/>
                      <w:sz w:val="21"/>
                      <w:szCs w:val="21"/>
                      <w:lang w:val="en-US" w:eastAsia="zh-CN"/>
                    </w:rPr>
                    <w:t>4</w:t>
                  </w:r>
                </w:p>
              </w:tc>
              <w:tc>
                <w:tcPr>
                  <w:tcW w:w="2293" w:type="pct"/>
                  <w:tcBorders>
                    <w:tl2br w:val="nil"/>
                    <w:tr2bl w:val="nil"/>
                  </w:tcBorders>
                  <w:noWrap w:val="0"/>
                  <w:vAlign w:val="center"/>
                </w:tcPr>
                <w:p w14:paraId="26CA613F">
                  <w:pPr>
                    <w:textAlignment w:val="center"/>
                    <w:rPr>
                      <w:rFonts w:hint="eastAsia"/>
                      <w:sz w:val="21"/>
                      <w:szCs w:val="21"/>
                      <w:lang w:val="en-US" w:eastAsia="zh-CN"/>
                    </w:rPr>
                  </w:pPr>
                  <w:r>
                    <w:rPr>
                      <w:sz w:val="21"/>
                      <w:szCs w:val="21"/>
                    </w:rPr>
                    <w:t>加强应急处置。建设足够容量的收集池，尤其在雨季和汛期，对可能存在的漫溢风险，做好雨水收集池的监管，降低漫溢风险。清淤船作业中一旦发生工程事故，按照保障方案要求进行应急处置。</w:t>
                  </w:r>
                </w:p>
              </w:tc>
              <w:tc>
                <w:tcPr>
                  <w:tcW w:w="1741" w:type="pct"/>
                  <w:tcBorders>
                    <w:tl2br w:val="nil"/>
                    <w:tr2bl w:val="nil"/>
                  </w:tcBorders>
                  <w:noWrap w:val="0"/>
                  <w:vAlign w:val="center"/>
                </w:tcPr>
                <w:p w14:paraId="6973F1D7">
                  <w:pPr>
                    <w:keepNext w:val="0"/>
                    <w:keepLines w:val="0"/>
                    <w:widowControl/>
                    <w:suppressLineNumbers w:val="0"/>
                    <w:jc w:val="left"/>
                    <w:rPr>
                      <w:rFonts w:hint="eastAsia"/>
                      <w:sz w:val="21"/>
                      <w:szCs w:val="21"/>
                      <w:lang w:val="en-US" w:eastAsia="zh-CN"/>
                    </w:rPr>
                  </w:pPr>
                  <w:r>
                    <w:rPr>
                      <w:rFonts w:hint="eastAsia" w:ascii="宋体" w:hAnsi="宋体" w:eastAsia="宋体" w:cs="宋体"/>
                      <w:color w:val="000000"/>
                      <w:kern w:val="0"/>
                      <w:sz w:val="21"/>
                      <w:szCs w:val="21"/>
                      <w:lang w:val="en-US" w:eastAsia="zh-CN" w:bidi="ar"/>
                    </w:rPr>
                    <w:t>本项目干化场容积能够满足本项目</w:t>
                  </w:r>
                  <w:r>
                    <w:rPr>
                      <w:color w:val="auto"/>
                      <w:sz w:val="21"/>
                      <w:szCs w:val="21"/>
                    </w:rPr>
                    <w:t>淤泥</w:t>
                  </w:r>
                  <w:r>
                    <w:rPr>
                      <w:rFonts w:hint="eastAsia" w:ascii="宋体" w:hAnsi="宋体" w:eastAsia="宋体" w:cs="宋体"/>
                      <w:color w:val="000000"/>
                      <w:kern w:val="0"/>
                      <w:sz w:val="21"/>
                      <w:szCs w:val="21"/>
                      <w:lang w:val="en-US" w:eastAsia="zh-CN" w:bidi="ar"/>
                    </w:rPr>
                    <w:t>堆放， 并留有一定余量，能够满足雨季使用。</w:t>
                  </w:r>
                </w:p>
              </w:tc>
              <w:tc>
                <w:tcPr>
                  <w:tcW w:w="287" w:type="pct"/>
                  <w:tcBorders>
                    <w:tl2br w:val="nil"/>
                    <w:tr2bl w:val="nil"/>
                  </w:tcBorders>
                  <w:noWrap w:val="0"/>
                  <w:vAlign w:val="center"/>
                </w:tcPr>
                <w:p w14:paraId="1644A023">
                  <w:pPr>
                    <w:jc w:val="center"/>
                    <w:textAlignment w:val="center"/>
                    <w:rPr>
                      <w:rFonts w:hint="eastAsia"/>
                      <w:sz w:val="21"/>
                      <w:szCs w:val="21"/>
                      <w:lang w:val="en-US" w:eastAsia="zh-CN"/>
                    </w:rPr>
                  </w:pPr>
                  <w:r>
                    <w:rPr>
                      <w:sz w:val="21"/>
                      <w:szCs w:val="21"/>
                    </w:rPr>
                    <w:t>相符</w:t>
                  </w:r>
                </w:p>
              </w:tc>
            </w:tr>
            <w:tr w14:paraId="2EB5F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421" w:type="pct"/>
                  <w:vMerge w:val="continue"/>
                  <w:tcBorders>
                    <w:tl2br w:val="nil"/>
                    <w:tr2bl w:val="nil"/>
                  </w:tcBorders>
                  <w:noWrap w:val="0"/>
                  <w:vAlign w:val="center"/>
                </w:tcPr>
                <w:p w14:paraId="2D318A30">
                  <w:pPr>
                    <w:textAlignment w:val="center"/>
                    <w:rPr>
                      <w:rFonts w:hint="eastAsia"/>
                      <w:sz w:val="21"/>
                      <w:szCs w:val="21"/>
                      <w:lang w:val="en-US" w:eastAsia="zh-CN"/>
                    </w:rPr>
                  </w:pPr>
                </w:p>
              </w:tc>
              <w:tc>
                <w:tcPr>
                  <w:tcW w:w="255" w:type="pct"/>
                  <w:tcBorders>
                    <w:tl2br w:val="nil"/>
                    <w:tr2bl w:val="nil"/>
                  </w:tcBorders>
                  <w:noWrap w:val="0"/>
                  <w:vAlign w:val="center"/>
                </w:tcPr>
                <w:p w14:paraId="204EE764">
                  <w:pPr>
                    <w:jc w:val="center"/>
                    <w:textAlignment w:val="center"/>
                    <w:rPr>
                      <w:rFonts w:hint="default"/>
                      <w:sz w:val="21"/>
                      <w:szCs w:val="21"/>
                      <w:lang w:val="en-US" w:eastAsia="zh-CN"/>
                    </w:rPr>
                  </w:pPr>
                  <w:r>
                    <w:rPr>
                      <w:rFonts w:hint="eastAsia"/>
                      <w:sz w:val="21"/>
                      <w:szCs w:val="21"/>
                      <w:lang w:val="en-US" w:eastAsia="zh-CN"/>
                    </w:rPr>
                    <w:t>5</w:t>
                  </w:r>
                </w:p>
              </w:tc>
              <w:tc>
                <w:tcPr>
                  <w:tcW w:w="2293" w:type="pct"/>
                  <w:tcBorders>
                    <w:tl2br w:val="nil"/>
                    <w:tr2bl w:val="nil"/>
                  </w:tcBorders>
                  <w:noWrap w:val="0"/>
                  <w:vAlign w:val="center"/>
                </w:tcPr>
                <w:p w14:paraId="43212F6B">
                  <w:pPr>
                    <w:textAlignment w:val="center"/>
                    <w:rPr>
                      <w:rFonts w:hint="eastAsia"/>
                      <w:sz w:val="21"/>
                      <w:szCs w:val="21"/>
                      <w:lang w:val="en-US" w:eastAsia="zh-CN"/>
                    </w:rPr>
                  </w:pPr>
                  <w:r>
                    <w:rPr>
                      <w:sz w:val="21"/>
                      <w:szCs w:val="21"/>
                    </w:rPr>
                    <w:t>加强水质监测监控。建设单位需科学制定企业自行监测方案。按照有关要求在淤泥尾水排放点设置监控断面或尾水自动监测，委托第三方有资质检测单位定期对水质进行监测，及时研判施工过程对水体影响。如尾水出现不达标的情况，立即停工，优化措施，确保减少对断面水质的影响。</w:t>
                  </w:r>
                </w:p>
              </w:tc>
              <w:tc>
                <w:tcPr>
                  <w:tcW w:w="1741" w:type="pct"/>
                  <w:tcBorders>
                    <w:tl2br w:val="nil"/>
                    <w:tr2bl w:val="nil"/>
                  </w:tcBorders>
                  <w:noWrap w:val="0"/>
                  <w:vAlign w:val="center"/>
                </w:tcPr>
                <w:p w14:paraId="618E20A7">
                  <w:pPr>
                    <w:keepNext w:val="0"/>
                    <w:keepLines w:val="0"/>
                    <w:widowControl/>
                    <w:suppressLineNumbers w:val="0"/>
                    <w:jc w:val="left"/>
                    <w:rPr>
                      <w:rFonts w:hint="eastAsia"/>
                      <w:sz w:val="21"/>
                      <w:szCs w:val="21"/>
                      <w:lang w:val="en-US" w:eastAsia="zh-CN"/>
                    </w:rPr>
                  </w:pPr>
                  <w:r>
                    <w:rPr>
                      <w:rFonts w:hint="eastAsia" w:ascii="宋体" w:hAnsi="宋体" w:eastAsia="宋体" w:cs="宋体"/>
                      <w:color w:val="000000"/>
                      <w:kern w:val="0"/>
                      <w:sz w:val="21"/>
                      <w:szCs w:val="21"/>
                      <w:lang w:val="en-US" w:eastAsia="zh-CN" w:bidi="ar"/>
                    </w:rPr>
                    <w:t>本次环评要</w:t>
                  </w:r>
                  <w:r>
                    <w:rPr>
                      <w:rFonts w:hint="eastAsia" w:ascii="宋体" w:hAnsi="宋体" w:eastAsia="宋体" w:cs="宋体"/>
                      <w:color w:val="auto"/>
                      <w:kern w:val="0"/>
                      <w:sz w:val="21"/>
                      <w:szCs w:val="21"/>
                      <w:lang w:val="en-US" w:eastAsia="zh-CN" w:bidi="ar"/>
                    </w:rPr>
                    <w:t>求建设单位对淤泥干化场尾水沉淀池进行维护管理，实现达标排</w:t>
                  </w:r>
                  <w:r>
                    <w:rPr>
                      <w:rFonts w:hint="eastAsia" w:ascii="宋体" w:hAnsi="宋体" w:eastAsia="宋体" w:cs="宋体"/>
                      <w:color w:val="000000"/>
                      <w:kern w:val="0"/>
                      <w:sz w:val="21"/>
                      <w:szCs w:val="21"/>
                      <w:lang w:val="en-US" w:eastAsia="zh-CN" w:bidi="ar"/>
                    </w:rPr>
                    <w:t>放。同时需对干化场尾水排放口设置监测断面，委托具有资质的检测单位对尾水进行定期监测。尾水如出现超标应立即</w:t>
                  </w:r>
                  <w:r>
                    <w:rPr>
                      <w:rFonts w:hint="eastAsia" w:ascii="宋体" w:hAnsi="宋体" w:eastAsia="宋体" w:cs="宋体"/>
                      <w:color w:val="auto"/>
                      <w:kern w:val="0"/>
                      <w:sz w:val="21"/>
                      <w:szCs w:val="21"/>
                      <w:lang w:val="en-US" w:eastAsia="zh-CN" w:bidi="ar"/>
                    </w:rPr>
                    <w:t>停工，清理沉淀池，使尾水具有足够的沉淀时间，确保减</w:t>
                  </w:r>
                  <w:r>
                    <w:rPr>
                      <w:rFonts w:hint="eastAsia" w:ascii="宋体" w:hAnsi="宋体" w:eastAsia="宋体" w:cs="宋体"/>
                      <w:color w:val="000000"/>
                      <w:kern w:val="0"/>
                      <w:sz w:val="21"/>
                      <w:szCs w:val="21"/>
                      <w:lang w:val="en-US" w:eastAsia="zh-CN" w:bidi="ar"/>
                    </w:rPr>
                    <w:t>少对周边水体的影响。</w:t>
                  </w:r>
                </w:p>
              </w:tc>
              <w:tc>
                <w:tcPr>
                  <w:tcW w:w="287" w:type="pct"/>
                  <w:tcBorders>
                    <w:tl2br w:val="nil"/>
                    <w:tr2bl w:val="nil"/>
                  </w:tcBorders>
                  <w:noWrap w:val="0"/>
                  <w:vAlign w:val="center"/>
                </w:tcPr>
                <w:p w14:paraId="1EA5EB12">
                  <w:pPr>
                    <w:jc w:val="center"/>
                    <w:textAlignment w:val="center"/>
                    <w:rPr>
                      <w:rFonts w:hint="eastAsia"/>
                      <w:sz w:val="21"/>
                      <w:szCs w:val="21"/>
                      <w:lang w:val="en-US" w:eastAsia="zh-CN"/>
                    </w:rPr>
                  </w:pPr>
                  <w:r>
                    <w:rPr>
                      <w:sz w:val="21"/>
                      <w:szCs w:val="21"/>
                    </w:rPr>
                    <w:t>相符</w:t>
                  </w:r>
                </w:p>
              </w:tc>
            </w:tr>
            <w:tr w14:paraId="346FC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421" w:type="pct"/>
                  <w:vMerge w:val="continue"/>
                  <w:tcBorders>
                    <w:tl2br w:val="nil"/>
                    <w:tr2bl w:val="nil"/>
                  </w:tcBorders>
                  <w:noWrap w:val="0"/>
                  <w:vAlign w:val="center"/>
                </w:tcPr>
                <w:p w14:paraId="7B6E2316">
                  <w:pPr>
                    <w:textAlignment w:val="center"/>
                    <w:rPr>
                      <w:rFonts w:hint="eastAsia"/>
                      <w:sz w:val="21"/>
                      <w:szCs w:val="21"/>
                      <w:lang w:val="en-US" w:eastAsia="zh-CN"/>
                    </w:rPr>
                  </w:pPr>
                </w:p>
              </w:tc>
              <w:tc>
                <w:tcPr>
                  <w:tcW w:w="255" w:type="pct"/>
                  <w:tcBorders>
                    <w:tl2br w:val="nil"/>
                    <w:tr2bl w:val="nil"/>
                  </w:tcBorders>
                  <w:noWrap w:val="0"/>
                  <w:vAlign w:val="center"/>
                </w:tcPr>
                <w:p w14:paraId="3A948DB5">
                  <w:pPr>
                    <w:jc w:val="center"/>
                    <w:textAlignment w:val="center"/>
                    <w:rPr>
                      <w:rFonts w:hint="default"/>
                      <w:sz w:val="21"/>
                      <w:szCs w:val="21"/>
                      <w:lang w:val="en-US" w:eastAsia="zh-CN"/>
                    </w:rPr>
                  </w:pPr>
                  <w:r>
                    <w:rPr>
                      <w:rFonts w:hint="eastAsia"/>
                      <w:sz w:val="21"/>
                      <w:szCs w:val="21"/>
                      <w:lang w:val="en-US" w:eastAsia="zh-CN"/>
                    </w:rPr>
                    <w:t>6</w:t>
                  </w:r>
                </w:p>
              </w:tc>
              <w:tc>
                <w:tcPr>
                  <w:tcW w:w="2293" w:type="pct"/>
                  <w:tcBorders>
                    <w:tl2br w:val="nil"/>
                    <w:tr2bl w:val="nil"/>
                  </w:tcBorders>
                  <w:noWrap w:val="0"/>
                  <w:vAlign w:val="center"/>
                </w:tcPr>
                <w:p w14:paraId="12933513">
                  <w:pPr>
                    <w:textAlignment w:val="center"/>
                    <w:rPr>
                      <w:rFonts w:hint="eastAsia"/>
                      <w:sz w:val="21"/>
                      <w:szCs w:val="21"/>
                      <w:lang w:val="en-US" w:eastAsia="zh-CN"/>
                    </w:rPr>
                  </w:pPr>
                  <w:r>
                    <w:rPr>
                      <w:sz w:val="21"/>
                      <w:szCs w:val="21"/>
                    </w:rPr>
                    <w:t>严禁干扰国省考断面监测的行为。施工单位和相关部门要严格落实《省生态环境厅关于进一步明确生态环境监测设施保护范围的通知》要求，在河流型站点的采水口周边区域覆盖站点采水口上、下游1公里范围以及湖库型站点的采水口周边区域覆盖站点采水口500m半径水域，严禁对采水环境实施人为干扰，造成河流改道或断流或故意绕开站点采水口，导致站点失去污染监控作用等违法违规行为。杜绝出现《环境监测数据弄虚作假行为判定及处理办法》和《国家采测分离管理办法》等文件中禁止的违法违规行为。如确因突发性事件影响监测条件需暂停或替代断面监测的，要及时履行相关报批、备案、审批等手续。</w:t>
                  </w:r>
                </w:p>
              </w:tc>
              <w:tc>
                <w:tcPr>
                  <w:tcW w:w="1741" w:type="pct"/>
                  <w:tcBorders>
                    <w:tl2br w:val="nil"/>
                    <w:tr2bl w:val="nil"/>
                  </w:tcBorders>
                  <w:noWrap w:val="0"/>
                  <w:vAlign w:val="center"/>
                </w:tcPr>
                <w:p w14:paraId="35126A1E">
                  <w:pPr>
                    <w:keepNext w:val="0"/>
                    <w:keepLines w:val="0"/>
                    <w:widowControl/>
                    <w:suppressLineNumbers w:val="0"/>
                    <w:jc w:val="left"/>
                    <w:rPr>
                      <w:rFonts w:hint="eastAsia" w:eastAsia="宋体"/>
                      <w:sz w:val="21"/>
                      <w:szCs w:val="21"/>
                      <w:lang w:val="en-US" w:eastAsia="zh-CN"/>
                    </w:rPr>
                  </w:pPr>
                  <w:r>
                    <w:rPr>
                      <w:rFonts w:hint="eastAsia" w:ascii="宋体" w:hAnsi="宋体" w:eastAsia="宋体" w:cs="宋体"/>
                      <w:color w:val="000000"/>
                      <w:kern w:val="0"/>
                      <w:sz w:val="21"/>
                      <w:szCs w:val="21"/>
                      <w:lang w:val="en-US" w:eastAsia="zh-CN" w:bidi="ar"/>
                    </w:rPr>
                    <w:t>本项目疏浚工程涉及</w:t>
                  </w:r>
                  <w:r>
                    <w:rPr>
                      <w:rFonts w:hint="eastAsia"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val="en-US" w:eastAsia="zh-CN" w:bidi="ar"/>
                    </w:rPr>
                    <w:t>处省考断面，分别为大运河桥省考断面、</w:t>
                  </w:r>
                  <w:r>
                    <w:rPr>
                      <w:rFonts w:hint="eastAsia" w:ascii="Times New Roman" w:hAnsi="Times New Roman" w:eastAsia="宋体" w:cs="Times New Roman"/>
                      <w:color w:val="000000"/>
                      <w:kern w:val="0"/>
                      <w:sz w:val="21"/>
                      <w:szCs w:val="21"/>
                      <w:lang w:val="en-US" w:eastAsia="zh-CN" w:bidi="ar"/>
                    </w:rPr>
                    <w:t>板闸</w:t>
                  </w:r>
                  <w:r>
                    <w:rPr>
                      <w:rFonts w:hint="default" w:ascii="Times New Roman" w:hAnsi="Times New Roman" w:eastAsia="宋体" w:cs="Times New Roman"/>
                      <w:color w:val="000000"/>
                      <w:kern w:val="0"/>
                      <w:sz w:val="21"/>
                      <w:szCs w:val="21"/>
                      <w:lang w:val="en-US" w:eastAsia="zh-CN" w:bidi="ar"/>
                    </w:rPr>
                    <w:t>省考断面</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黄码大桥省考断面</w:t>
                  </w:r>
                  <w:r>
                    <w:rPr>
                      <w:rFonts w:hint="eastAsia" w:ascii="宋体" w:hAnsi="宋体" w:eastAsia="宋体" w:cs="宋体"/>
                      <w:color w:val="000000"/>
                      <w:kern w:val="0"/>
                      <w:sz w:val="21"/>
                      <w:szCs w:val="21"/>
                      <w:lang w:val="en-US" w:eastAsia="zh-CN" w:bidi="ar"/>
                    </w:rPr>
                    <w:t>，本次环评提出：在临近省考断面疏浚工程实施前向省厅提前报备，并提供工程实施计划、图片资料等，并按照方案要求履行各种审批手续，编制断面水质保障应对方案。</w:t>
                  </w:r>
                  <w:r>
                    <w:rPr>
                      <w:rFonts w:hint="eastAsia" w:ascii="宋体" w:hAnsi="宋体" w:cs="宋体"/>
                      <w:color w:val="auto"/>
                      <w:kern w:val="0"/>
                      <w:sz w:val="21"/>
                      <w:szCs w:val="21"/>
                      <w:lang w:val="en-US" w:eastAsia="zh-CN" w:bidi="ar"/>
                    </w:rPr>
                    <w:t>2024年7月9日建设单位向区生态环境部门报备施工方案，同日，区生态环境部门向市生态环境部门进行了报备，下一步，市</w:t>
                  </w:r>
                  <w:r>
                    <w:rPr>
                      <w:sz w:val="21"/>
                      <w:szCs w:val="21"/>
                    </w:rPr>
                    <w:t>生态环境部门向省厅申请</w:t>
                  </w:r>
                  <w:r>
                    <w:rPr>
                      <w:rFonts w:hint="eastAsia" w:ascii="宋体" w:hAnsi="宋体" w:eastAsia="宋体" w:cs="宋体"/>
                      <w:color w:val="000000"/>
                      <w:kern w:val="0"/>
                      <w:sz w:val="21"/>
                      <w:szCs w:val="21"/>
                      <w:lang w:val="en-US" w:eastAsia="zh-CN" w:bidi="ar"/>
                    </w:rPr>
                    <w:t>。后期将和生态环境部门一起，会同相关行业主管部门和工程施工单位，编制断面水质保障应对方案，确保工程施工期间水质保持稳定。</w:t>
                  </w:r>
                </w:p>
              </w:tc>
              <w:tc>
                <w:tcPr>
                  <w:tcW w:w="287" w:type="pct"/>
                  <w:tcBorders>
                    <w:tl2br w:val="nil"/>
                    <w:tr2bl w:val="nil"/>
                  </w:tcBorders>
                  <w:noWrap w:val="0"/>
                  <w:vAlign w:val="center"/>
                </w:tcPr>
                <w:p w14:paraId="22C351FB">
                  <w:pPr>
                    <w:jc w:val="center"/>
                    <w:textAlignment w:val="center"/>
                    <w:rPr>
                      <w:rFonts w:hint="eastAsia"/>
                      <w:sz w:val="21"/>
                      <w:szCs w:val="21"/>
                      <w:lang w:val="en-US" w:eastAsia="zh-CN"/>
                    </w:rPr>
                  </w:pPr>
                  <w:r>
                    <w:rPr>
                      <w:sz w:val="21"/>
                      <w:szCs w:val="21"/>
                    </w:rPr>
                    <w:t>相符</w:t>
                  </w:r>
                </w:p>
              </w:tc>
            </w:tr>
            <w:tr w14:paraId="5D2C8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6" w:hRule="atLeast"/>
                <w:jc w:val="center"/>
              </w:trPr>
              <w:tc>
                <w:tcPr>
                  <w:tcW w:w="421" w:type="pct"/>
                  <w:vMerge w:val="restart"/>
                  <w:tcBorders>
                    <w:tl2br w:val="nil"/>
                    <w:tr2bl w:val="nil"/>
                  </w:tcBorders>
                  <w:noWrap w:val="0"/>
                  <w:vAlign w:val="center"/>
                </w:tcPr>
                <w:p w14:paraId="7C36F9F9">
                  <w:pPr>
                    <w:textAlignment w:val="center"/>
                    <w:rPr>
                      <w:color w:val="auto"/>
                      <w:sz w:val="21"/>
                      <w:szCs w:val="21"/>
                    </w:rPr>
                  </w:pPr>
                  <w:r>
                    <w:rPr>
                      <w:rFonts w:hint="eastAsia"/>
                      <w:color w:val="auto"/>
                      <w:sz w:val="21"/>
                      <w:szCs w:val="21"/>
                      <w:lang w:val="en-US" w:eastAsia="zh-CN"/>
                    </w:rPr>
                    <w:t>三、</w:t>
                  </w:r>
                  <w:r>
                    <w:rPr>
                      <w:color w:val="auto"/>
                      <w:sz w:val="21"/>
                      <w:szCs w:val="21"/>
                    </w:rPr>
                    <w:t>规范淤泥临时堆场管理</w:t>
                  </w:r>
                </w:p>
              </w:tc>
              <w:tc>
                <w:tcPr>
                  <w:tcW w:w="255" w:type="pct"/>
                  <w:tcBorders>
                    <w:tl2br w:val="nil"/>
                    <w:tr2bl w:val="nil"/>
                  </w:tcBorders>
                  <w:noWrap w:val="0"/>
                  <w:vAlign w:val="center"/>
                </w:tcPr>
                <w:p w14:paraId="735F569F">
                  <w:pPr>
                    <w:jc w:val="center"/>
                    <w:textAlignment w:val="center"/>
                    <w:rPr>
                      <w:rFonts w:hint="eastAsia" w:eastAsia="宋体"/>
                      <w:color w:val="auto"/>
                      <w:sz w:val="21"/>
                      <w:szCs w:val="21"/>
                      <w:lang w:val="en-US" w:eastAsia="zh-CN"/>
                    </w:rPr>
                  </w:pPr>
                  <w:r>
                    <w:rPr>
                      <w:rFonts w:hint="eastAsia"/>
                      <w:color w:val="auto"/>
                      <w:sz w:val="21"/>
                      <w:szCs w:val="21"/>
                      <w:lang w:val="en-US" w:eastAsia="zh-CN"/>
                    </w:rPr>
                    <w:t>1</w:t>
                  </w:r>
                </w:p>
              </w:tc>
              <w:tc>
                <w:tcPr>
                  <w:tcW w:w="2293" w:type="pct"/>
                  <w:tcBorders>
                    <w:tl2br w:val="nil"/>
                    <w:tr2bl w:val="nil"/>
                  </w:tcBorders>
                  <w:noWrap w:val="0"/>
                  <w:vAlign w:val="center"/>
                </w:tcPr>
                <w:p w14:paraId="2CE48D5E">
                  <w:pPr>
                    <w:textAlignment w:val="center"/>
                    <w:rPr>
                      <w:rFonts w:hint="eastAsia"/>
                      <w:color w:val="auto"/>
                      <w:sz w:val="21"/>
                      <w:szCs w:val="21"/>
                      <w:lang w:val="en-US" w:eastAsia="zh-CN"/>
                    </w:rPr>
                  </w:pPr>
                  <w:r>
                    <w:rPr>
                      <w:color w:val="auto"/>
                      <w:sz w:val="21"/>
                      <w:szCs w:val="21"/>
                    </w:rPr>
                    <w:t>严格规范淤泥堆场设置。淤泥堆场应尽量设置于考核断面下游，若河道往复流频繁的原则上清淤堆场应设置在考核断面1公里范围以外。干化淤泥等堆放应远离水体，应在场地四周设置围挡，必要时进行加高加固，同时应备有防雨遮雨等设施，避免淤泥受雨水冲刷后随地表径流进入附近水体。</w:t>
                  </w:r>
                </w:p>
              </w:tc>
              <w:tc>
                <w:tcPr>
                  <w:tcW w:w="1741" w:type="pct"/>
                  <w:tcBorders>
                    <w:tl2br w:val="nil"/>
                    <w:tr2bl w:val="nil"/>
                  </w:tcBorders>
                  <w:noWrap w:val="0"/>
                  <w:vAlign w:val="center"/>
                </w:tcPr>
                <w:p w14:paraId="3067772B">
                  <w:pPr>
                    <w:keepNext w:val="0"/>
                    <w:keepLines w:val="0"/>
                    <w:widowControl/>
                    <w:suppressLineNumbers w:val="0"/>
                    <w:jc w:val="left"/>
                    <w:rPr>
                      <w:rFonts w:hint="eastAsia" w:eastAsia="宋体"/>
                      <w:sz w:val="21"/>
                      <w:szCs w:val="21"/>
                      <w:highlight w:val="none"/>
                      <w:lang w:val="en-US" w:eastAsia="zh-CN"/>
                    </w:rPr>
                  </w:pPr>
                  <w:r>
                    <w:rPr>
                      <w:rFonts w:hint="eastAsia" w:ascii="宋体" w:hAnsi="宋体" w:eastAsia="宋体" w:cs="宋体"/>
                      <w:color w:val="000000"/>
                      <w:kern w:val="0"/>
                      <w:sz w:val="21"/>
                      <w:szCs w:val="21"/>
                      <w:lang w:val="en-US" w:eastAsia="zh-CN" w:bidi="ar"/>
                    </w:rPr>
                    <w:t>本项目干化</w:t>
                  </w:r>
                  <w:r>
                    <w:rPr>
                      <w:rFonts w:hint="eastAsia" w:ascii="宋体" w:hAnsi="宋体" w:eastAsia="宋体" w:cs="宋体"/>
                      <w:color w:val="auto"/>
                      <w:kern w:val="0"/>
                      <w:sz w:val="21"/>
                      <w:szCs w:val="21"/>
                      <w:lang w:val="en-US" w:eastAsia="zh-CN" w:bidi="ar"/>
                    </w:rPr>
                    <w:t>场现状为</w:t>
                  </w:r>
                  <w:r>
                    <w:rPr>
                      <w:rFonts w:hint="eastAsia" w:ascii="宋体" w:hAnsi="宋体" w:cs="宋体"/>
                      <w:color w:val="auto"/>
                      <w:kern w:val="0"/>
                      <w:sz w:val="21"/>
                      <w:szCs w:val="21"/>
                      <w:lang w:val="en-US" w:eastAsia="zh-CN" w:bidi="ar"/>
                    </w:rPr>
                    <w:t>建设用地</w:t>
                  </w:r>
                  <w:r>
                    <w:rPr>
                      <w:rFonts w:hint="eastAsia" w:ascii="宋体" w:hAnsi="宋体" w:eastAsia="宋体" w:cs="宋体"/>
                      <w:color w:val="auto"/>
                      <w:kern w:val="0"/>
                      <w:sz w:val="21"/>
                      <w:szCs w:val="21"/>
                      <w:lang w:val="en-US" w:eastAsia="zh-CN" w:bidi="ar"/>
                    </w:rPr>
                    <w:t>，设置在省</w:t>
                  </w:r>
                  <w:r>
                    <w:rPr>
                      <w:rFonts w:hint="default" w:ascii="Times New Roman" w:hAnsi="Times New Roman" w:eastAsia="宋体" w:cs="Times New Roman"/>
                      <w:color w:val="auto"/>
                      <w:kern w:val="0"/>
                      <w:sz w:val="21"/>
                      <w:szCs w:val="21"/>
                      <w:lang w:val="en-US" w:eastAsia="zh-CN" w:bidi="ar"/>
                    </w:rPr>
                    <w:t>考核断面1 km范围以外</w:t>
                  </w:r>
                  <w:r>
                    <w:rPr>
                      <w:rFonts w:hint="default" w:ascii="Times New Roman" w:hAnsi="Times New Roman" w:cs="Times New Roman"/>
                      <w:color w:val="auto"/>
                      <w:kern w:val="0"/>
                      <w:sz w:val="21"/>
                      <w:szCs w:val="21"/>
                      <w:lang w:val="en-US" w:eastAsia="zh-CN" w:bidi="ar"/>
                    </w:rPr>
                    <w:t>（具体见附图8）</w:t>
                  </w:r>
                  <w:r>
                    <w:rPr>
                      <w:rFonts w:hint="eastAsia" w:ascii="宋体" w:hAnsi="宋体" w:eastAsia="宋体" w:cs="宋体"/>
                      <w:color w:val="auto"/>
                      <w:kern w:val="0"/>
                      <w:sz w:val="21"/>
                      <w:szCs w:val="21"/>
                      <w:lang w:val="en-US" w:eastAsia="zh-CN" w:bidi="ar"/>
                    </w:rPr>
                    <w:t>。使用前铺设复合土工膜、并在四周设置围堰；干化场一端围堰开排水口，排水口下游设置沉淀池收集干化场排水， 防止淤泥被雨水冲刷随地表径流进入附近水体。</w:t>
                  </w:r>
                </w:p>
              </w:tc>
              <w:tc>
                <w:tcPr>
                  <w:tcW w:w="287" w:type="pct"/>
                  <w:tcBorders>
                    <w:tl2br w:val="nil"/>
                    <w:tr2bl w:val="nil"/>
                  </w:tcBorders>
                  <w:noWrap w:val="0"/>
                  <w:vAlign w:val="center"/>
                </w:tcPr>
                <w:p w14:paraId="7E2A3B3E">
                  <w:pPr>
                    <w:jc w:val="center"/>
                    <w:textAlignment w:val="center"/>
                    <w:rPr>
                      <w:sz w:val="21"/>
                      <w:szCs w:val="21"/>
                    </w:rPr>
                  </w:pPr>
                  <w:r>
                    <w:rPr>
                      <w:sz w:val="21"/>
                      <w:szCs w:val="21"/>
                    </w:rPr>
                    <w:t>相符</w:t>
                  </w:r>
                </w:p>
              </w:tc>
            </w:tr>
            <w:tr w14:paraId="0A222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6" w:hRule="atLeast"/>
                <w:jc w:val="center"/>
              </w:trPr>
              <w:tc>
                <w:tcPr>
                  <w:tcW w:w="421" w:type="pct"/>
                  <w:vMerge w:val="continue"/>
                  <w:tcBorders>
                    <w:tl2br w:val="nil"/>
                    <w:tr2bl w:val="nil"/>
                  </w:tcBorders>
                  <w:noWrap w:val="0"/>
                  <w:vAlign w:val="center"/>
                </w:tcPr>
                <w:p w14:paraId="13EA9000">
                  <w:pPr>
                    <w:jc w:val="center"/>
                    <w:textAlignment w:val="center"/>
                  </w:pPr>
                </w:p>
              </w:tc>
              <w:tc>
                <w:tcPr>
                  <w:tcW w:w="255" w:type="pct"/>
                  <w:tcBorders>
                    <w:tl2br w:val="nil"/>
                    <w:tr2bl w:val="nil"/>
                  </w:tcBorders>
                  <w:noWrap w:val="0"/>
                  <w:vAlign w:val="center"/>
                </w:tcPr>
                <w:p w14:paraId="388764F0">
                  <w:pPr>
                    <w:jc w:val="center"/>
                    <w:textAlignment w:val="center"/>
                    <w:rPr>
                      <w:rFonts w:hint="eastAsia" w:eastAsia="宋体"/>
                      <w:color w:val="auto"/>
                      <w:sz w:val="21"/>
                      <w:szCs w:val="21"/>
                      <w:lang w:val="en-US" w:eastAsia="zh-CN"/>
                    </w:rPr>
                  </w:pPr>
                  <w:r>
                    <w:rPr>
                      <w:rFonts w:hint="eastAsia"/>
                      <w:color w:val="auto"/>
                      <w:sz w:val="21"/>
                      <w:szCs w:val="21"/>
                      <w:lang w:val="en-US" w:eastAsia="zh-CN"/>
                    </w:rPr>
                    <w:t>2</w:t>
                  </w:r>
                </w:p>
              </w:tc>
              <w:tc>
                <w:tcPr>
                  <w:tcW w:w="2293" w:type="pct"/>
                  <w:tcBorders>
                    <w:tl2br w:val="nil"/>
                    <w:tr2bl w:val="nil"/>
                  </w:tcBorders>
                  <w:noWrap w:val="0"/>
                  <w:vAlign w:val="center"/>
                </w:tcPr>
                <w:p w14:paraId="76C03828">
                  <w:pPr>
                    <w:jc w:val="center"/>
                    <w:textAlignment w:val="center"/>
                    <w:rPr>
                      <w:color w:val="auto"/>
                      <w:sz w:val="21"/>
                      <w:szCs w:val="21"/>
                    </w:rPr>
                  </w:pPr>
                  <w:r>
                    <w:rPr>
                      <w:color w:val="auto"/>
                      <w:sz w:val="21"/>
                      <w:szCs w:val="21"/>
                    </w:rPr>
                    <w:t>严格规范淤泥管理程序。根据《固体废物鉴别导则》《土壤环境质量 建设用地土壤污染风险管控标准（试行）》和《土壤环境质量 农用地土壤污染风险管控标准（试行）》中风险筛选值和管制值的要求，对淤泥进行鉴定和监测，如不能满足淤泥去向对应的风险管控标准，应合理利用、妥善处置；属于危险废物的，及时送交资质单位处置，不得用于农用地填埋，避免对土壤造成二次污染。</w:t>
                  </w:r>
                </w:p>
              </w:tc>
              <w:tc>
                <w:tcPr>
                  <w:tcW w:w="1741" w:type="pct"/>
                  <w:tcBorders>
                    <w:tl2br w:val="nil"/>
                    <w:tr2bl w:val="nil"/>
                  </w:tcBorders>
                  <w:noWrap w:val="0"/>
                  <w:vAlign w:val="center"/>
                </w:tcPr>
                <w:p w14:paraId="00EB9890">
                  <w:pPr>
                    <w:keepNext w:val="0"/>
                    <w:keepLines w:val="0"/>
                    <w:widowControl/>
                    <w:suppressLineNumbers w:val="0"/>
                    <w:jc w:val="left"/>
                    <w:rPr>
                      <w:color w:val="auto"/>
                      <w:sz w:val="21"/>
                      <w:szCs w:val="21"/>
                    </w:rPr>
                  </w:pPr>
                  <w:r>
                    <w:rPr>
                      <w:rFonts w:hint="eastAsia" w:ascii="宋体" w:hAnsi="宋体" w:eastAsia="宋体" w:cs="宋体"/>
                      <w:color w:val="000000"/>
                      <w:kern w:val="0"/>
                      <w:sz w:val="21"/>
                      <w:szCs w:val="21"/>
                      <w:lang w:val="en-US" w:eastAsia="zh-CN" w:bidi="ar"/>
                    </w:rPr>
                    <w:t>根据对沿线底泥监测结果：项目疏浚淤泥满足《土壤环境质量 农用地土壤污染风险管控标准（试行）》（</w:t>
                  </w:r>
                  <w:r>
                    <w:rPr>
                      <w:rFonts w:hint="default" w:ascii="Times New Roman" w:hAnsi="Times New Roman" w:eastAsia="宋体" w:cs="Times New Roman"/>
                      <w:color w:val="000000"/>
                      <w:kern w:val="0"/>
                      <w:sz w:val="21"/>
                      <w:szCs w:val="21"/>
                      <w:lang w:val="en-US" w:eastAsia="zh-CN" w:bidi="ar"/>
                    </w:rPr>
                    <w:t>GB15618-2018</w:t>
                  </w:r>
                  <w:r>
                    <w:rPr>
                      <w:rFonts w:hint="eastAsia" w:ascii="宋体" w:hAnsi="宋体" w:eastAsia="宋体" w:cs="宋体"/>
                      <w:color w:val="000000"/>
                      <w:kern w:val="0"/>
                      <w:sz w:val="21"/>
                      <w:szCs w:val="21"/>
                      <w:lang w:val="en-US" w:eastAsia="zh-CN" w:bidi="ar"/>
                    </w:rPr>
                    <w:t>）筛选值标准，以及《土壤环境质量 建设用地土壤污染风险管控标准（试行）》（</w:t>
                  </w:r>
                  <w:r>
                    <w:rPr>
                      <w:rFonts w:hint="default" w:ascii="Times New Roman" w:hAnsi="Times New Roman" w:eastAsia="宋体" w:cs="Times New Roman"/>
                      <w:color w:val="000000"/>
                      <w:kern w:val="0"/>
                      <w:sz w:val="21"/>
                      <w:szCs w:val="21"/>
                      <w:lang w:val="en-US" w:eastAsia="zh-CN" w:bidi="ar"/>
                    </w:rPr>
                    <w:t>GB36600-2018</w:t>
                  </w:r>
                  <w:r>
                    <w:rPr>
                      <w:rFonts w:hint="eastAsia" w:ascii="宋体" w:hAnsi="宋体" w:eastAsia="宋体" w:cs="宋体"/>
                      <w:color w:val="000000"/>
                      <w:kern w:val="0"/>
                      <w:sz w:val="21"/>
                      <w:szCs w:val="21"/>
                      <w:lang w:val="en-US" w:eastAsia="zh-CN" w:bidi="ar"/>
                    </w:rPr>
                    <w:t xml:space="preserve">）中标准。 </w:t>
                  </w:r>
                </w:p>
              </w:tc>
              <w:tc>
                <w:tcPr>
                  <w:tcW w:w="287" w:type="pct"/>
                  <w:tcBorders>
                    <w:tl2br w:val="nil"/>
                    <w:tr2bl w:val="nil"/>
                  </w:tcBorders>
                  <w:noWrap w:val="0"/>
                  <w:vAlign w:val="center"/>
                </w:tcPr>
                <w:p w14:paraId="4E571C5E">
                  <w:pPr>
                    <w:jc w:val="center"/>
                    <w:textAlignment w:val="center"/>
                    <w:rPr>
                      <w:color w:val="auto"/>
                      <w:sz w:val="21"/>
                      <w:szCs w:val="21"/>
                    </w:rPr>
                  </w:pPr>
                  <w:r>
                    <w:rPr>
                      <w:sz w:val="21"/>
                      <w:szCs w:val="21"/>
                    </w:rPr>
                    <w:t>相符</w:t>
                  </w:r>
                </w:p>
              </w:tc>
            </w:tr>
          </w:tbl>
          <w:p w14:paraId="55E6BED6">
            <w:pPr>
              <w:spacing w:line="480" w:lineRule="exact"/>
              <w:ind w:firstLine="482" w:firstLineChars="200"/>
              <w:rPr>
                <w:rFonts w:hint="default" w:ascii="Times New Roman" w:hAnsi="Times New Roman" w:eastAsia="宋体" w:cs="Times New Roman"/>
                <w:b/>
                <w:color w:val="auto"/>
                <w:sz w:val="24"/>
                <w:szCs w:val="24"/>
                <w:highlight w:val="none"/>
                <w:lang w:val="en-US" w:eastAsia="zh-CN" w:bidi="ar"/>
              </w:rPr>
            </w:pPr>
            <w:r>
              <w:rPr>
                <w:rFonts w:hint="eastAsia" w:cs="Times New Roman"/>
                <w:b/>
                <w:bCs/>
                <w:color w:val="auto"/>
                <w:kern w:val="2"/>
                <w:sz w:val="24"/>
                <w:szCs w:val="24"/>
                <w:highlight w:val="none"/>
                <w:lang w:val="en-US" w:eastAsia="zh-CN" w:bidi="ar-SA"/>
              </w:rPr>
              <w:t>1.8</w:t>
            </w:r>
            <w:r>
              <w:rPr>
                <w:rFonts w:hint="eastAsia" w:ascii="Times New Roman" w:hAnsi="Times New Roman" w:eastAsia="宋体" w:cs="Times New Roman"/>
                <w:b/>
                <w:color w:val="auto"/>
                <w:sz w:val="24"/>
                <w:szCs w:val="24"/>
                <w:highlight w:val="none"/>
                <w:lang w:val="en-US" w:eastAsia="zh-CN" w:bidi="ar"/>
              </w:rPr>
              <w:t>与</w:t>
            </w:r>
            <w:r>
              <w:rPr>
                <w:rFonts w:hint="default" w:ascii="Times New Roman" w:hAnsi="Times New Roman" w:eastAsia="宋体" w:cs="Times New Roman"/>
                <w:b/>
                <w:color w:val="auto"/>
                <w:sz w:val="24"/>
                <w:szCs w:val="24"/>
                <w:highlight w:val="none"/>
                <w:lang w:val="en-US" w:eastAsia="zh-CN" w:bidi="ar"/>
              </w:rPr>
              <w:t>《省政府关于印发大运河江苏段核心监控区国土空间管控暂行办法的通知》</w:t>
            </w:r>
            <w:r>
              <w:rPr>
                <w:rFonts w:hint="eastAsia" w:ascii="Times New Roman" w:hAnsi="Times New Roman" w:eastAsia="宋体" w:cs="Times New Roman"/>
                <w:b/>
                <w:color w:val="auto"/>
                <w:sz w:val="24"/>
                <w:szCs w:val="24"/>
                <w:highlight w:val="none"/>
                <w:lang w:val="en-US" w:eastAsia="zh-CN" w:bidi="ar"/>
              </w:rPr>
              <w:t>（</w:t>
            </w:r>
            <w:r>
              <w:rPr>
                <w:rFonts w:hint="default" w:ascii="Times New Roman" w:hAnsi="Times New Roman" w:eastAsia="宋体" w:cs="Times New Roman"/>
                <w:b/>
                <w:color w:val="auto"/>
                <w:sz w:val="24"/>
                <w:szCs w:val="24"/>
                <w:highlight w:val="none"/>
                <w:lang w:val="en-US" w:eastAsia="zh-CN" w:bidi="ar"/>
              </w:rPr>
              <w:t>苏</w:t>
            </w:r>
            <w:r>
              <w:rPr>
                <w:rFonts w:hint="eastAsia" w:ascii="Times New Roman" w:hAnsi="Times New Roman" w:cs="Times New Roman"/>
                <w:b/>
                <w:color w:val="auto"/>
                <w:sz w:val="24"/>
                <w:szCs w:val="24"/>
                <w:highlight w:val="none"/>
                <w:lang w:val="en-US" w:eastAsia="zh-CN" w:bidi="ar"/>
              </w:rPr>
              <w:t>政发</w:t>
            </w:r>
            <w:r>
              <w:rPr>
                <w:rFonts w:hint="eastAsia" w:ascii="Times New Roman" w:hAnsi="Times New Roman" w:eastAsia="宋体" w:cs="Times New Roman"/>
                <w:b/>
                <w:color w:val="auto"/>
                <w:sz w:val="24"/>
                <w:szCs w:val="24"/>
                <w:highlight w:val="none"/>
                <w:lang w:val="en-US" w:eastAsia="zh-CN" w:bidi="ar"/>
              </w:rPr>
              <w:t>（</w:t>
            </w:r>
            <w:r>
              <w:rPr>
                <w:rFonts w:hint="default" w:ascii="Times New Roman" w:hAnsi="Times New Roman" w:eastAsia="宋体" w:cs="Times New Roman"/>
                <w:b/>
                <w:color w:val="auto"/>
                <w:sz w:val="24"/>
                <w:szCs w:val="24"/>
                <w:highlight w:val="none"/>
                <w:lang w:val="en-US" w:eastAsia="zh-CN" w:bidi="ar"/>
              </w:rPr>
              <w:t>2021)</w:t>
            </w:r>
            <w:r>
              <w:rPr>
                <w:rFonts w:hint="eastAsia" w:ascii="Times New Roman" w:hAnsi="Times New Roman" w:cs="Times New Roman"/>
                <w:b/>
                <w:color w:val="auto"/>
                <w:sz w:val="24"/>
                <w:szCs w:val="24"/>
                <w:highlight w:val="none"/>
                <w:lang w:val="en-US" w:eastAsia="zh-CN" w:bidi="ar"/>
              </w:rPr>
              <w:t>20</w:t>
            </w:r>
            <w:r>
              <w:rPr>
                <w:rFonts w:hint="default" w:ascii="Times New Roman" w:hAnsi="Times New Roman" w:eastAsia="宋体" w:cs="Times New Roman"/>
                <w:b/>
                <w:color w:val="auto"/>
                <w:sz w:val="24"/>
                <w:szCs w:val="24"/>
                <w:highlight w:val="none"/>
                <w:lang w:val="en-US" w:eastAsia="zh-CN" w:bidi="ar"/>
              </w:rPr>
              <w:t>号</w:t>
            </w:r>
            <w:r>
              <w:rPr>
                <w:rFonts w:hint="eastAsia" w:ascii="Times New Roman" w:hAnsi="Times New Roman" w:eastAsia="宋体" w:cs="Times New Roman"/>
                <w:b/>
                <w:color w:val="auto"/>
                <w:sz w:val="24"/>
                <w:szCs w:val="24"/>
                <w:highlight w:val="none"/>
                <w:lang w:val="en-US" w:eastAsia="zh-CN" w:bidi="ar"/>
              </w:rPr>
              <w:t>）</w:t>
            </w:r>
            <w:r>
              <w:rPr>
                <w:rFonts w:hint="eastAsia" w:cs="Times New Roman"/>
                <w:b/>
                <w:color w:val="auto"/>
                <w:sz w:val="24"/>
                <w:szCs w:val="24"/>
                <w:highlight w:val="none"/>
                <w:lang w:val="en-US" w:eastAsia="zh-CN" w:bidi="ar"/>
              </w:rPr>
              <w:t>、</w:t>
            </w:r>
            <w:r>
              <w:rPr>
                <w:rFonts w:hint="default" w:ascii="Times New Roman" w:hAnsi="Times New Roman" w:eastAsia="宋体" w:cs="Times New Roman"/>
                <w:b/>
                <w:color w:val="auto"/>
                <w:sz w:val="24"/>
                <w:szCs w:val="24"/>
                <w:highlight w:val="none"/>
                <w:lang w:val="en-US" w:eastAsia="zh-CN" w:bidi="ar"/>
              </w:rPr>
              <w:t>《</w:t>
            </w:r>
            <w:r>
              <w:rPr>
                <w:rFonts w:hint="eastAsia" w:ascii="Times New Roman" w:hAnsi="Times New Roman" w:eastAsia="宋体" w:cs="Times New Roman"/>
                <w:b/>
                <w:color w:val="auto"/>
                <w:sz w:val="24"/>
                <w:szCs w:val="24"/>
                <w:highlight w:val="none"/>
                <w:lang w:val="en-US" w:eastAsia="zh-CN" w:bidi="ar"/>
              </w:rPr>
              <w:t>市政府关于印发大运河淮安段核心监控区国土空间管控细则的通知</w:t>
            </w:r>
            <w:r>
              <w:rPr>
                <w:rFonts w:hint="default" w:ascii="Times New Roman" w:hAnsi="Times New Roman" w:eastAsia="宋体" w:cs="Times New Roman"/>
                <w:b/>
                <w:color w:val="auto"/>
                <w:sz w:val="24"/>
                <w:szCs w:val="24"/>
                <w:highlight w:val="none"/>
                <w:lang w:val="en-US" w:eastAsia="zh-CN" w:bidi="ar"/>
              </w:rPr>
              <w:t>》</w:t>
            </w:r>
            <w:r>
              <w:rPr>
                <w:rFonts w:hint="eastAsia" w:ascii="Times New Roman" w:hAnsi="Times New Roman" w:eastAsia="宋体" w:cs="Times New Roman"/>
                <w:b/>
                <w:color w:val="auto"/>
                <w:sz w:val="24"/>
                <w:szCs w:val="24"/>
                <w:highlight w:val="none"/>
                <w:lang w:val="en-US" w:eastAsia="zh-CN" w:bidi="ar"/>
              </w:rPr>
              <w:t>（</w:t>
            </w:r>
            <w:r>
              <w:rPr>
                <w:rFonts w:hint="eastAsia" w:ascii="Times New Roman" w:hAnsi="Times New Roman" w:cs="Times New Roman"/>
                <w:b/>
                <w:color w:val="auto"/>
                <w:sz w:val="24"/>
                <w:szCs w:val="24"/>
                <w:highlight w:val="none"/>
                <w:lang w:val="en-US" w:eastAsia="zh-CN" w:bidi="ar"/>
              </w:rPr>
              <w:t>淮政规</w:t>
            </w:r>
            <w:r>
              <w:rPr>
                <w:rFonts w:hint="eastAsia" w:ascii="Times New Roman" w:hAnsi="Times New Roman" w:eastAsia="宋体" w:cs="Times New Roman"/>
                <w:b/>
                <w:color w:val="auto"/>
                <w:sz w:val="24"/>
                <w:szCs w:val="24"/>
                <w:highlight w:val="none"/>
                <w:lang w:val="en-US" w:eastAsia="zh-CN" w:bidi="ar"/>
              </w:rPr>
              <w:t>（</w:t>
            </w:r>
            <w:r>
              <w:rPr>
                <w:rFonts w:hint="default" w:ascii="Times New Roman" w:hAnsi="Times New Roman" w:eastAsia="宋体" w:cs="Times New Roman"/>
                <w:b/>
                <w:color w:val="auto"/>
                <w:sz w:val="24"/>
                <w:szCs w:val="24"/>
                <w:highlight w:val="none"/>
                <w:lang w:val="en-US" w:eastAsia="zh-CN" w:bidi="ar"/>
              </w:rPr>
              <w:t>202</w:t>
            </w:r>
            <w:r>
              <w:rPr>
                <w:rFonts w:hint="eastAsia" w:ascii="Times New Roman" w:hAnsi="Times New Roman" w:cs="Times New Roman"/>
                <w:b/>
                <w:color w:val="auto"/>
                <w:sz w:val="24"/>
                <w:szCs w:val="24"/>
                <w:highlight w:val="none"/>
                <w:lang w:val="en-US" w:eastAsia="zh-CN" w:bidi="ar"/>
              </w:rPr>
              <w:t>2</w:t>
            </w:r>
            <w:r>
              <w:rPr>
                <w:rFonts w:hint="eastAsia" w:cs="Times New Roman"/>
                <w:b/>
                <w:color w:val="auto"/>
                <w:sz w:val="24"/>
                <w:szCs w:val="24"/>
                <w:highlight w:val="none"/>
                <w:lang w:val="en-US" w:eastAsia="zh-CN" w:bidi="ar"/>
              </w:rPr>
              <w:t>）</w:t>
            </w:r>
            <w:r>
              <w:rPr>
                <w:rFonts w:hint="eastAsia" w:ascii="Times New Roman" w:hAnsi="Times New Roman" w:cs="Times New Roman"/>
                <w:b/>
                <w:color w:val="auto"/>
                <w:sz w:val="24"/>
                <w:szCs w:val="24"/>
                <w:highlight w:val="none"/>
                <w:lang w:val="en-US" w:eastAsia="zh-CN" w:bidi="ar"/>
              </w:rPr>
              <w:t>8</w:t>
            </w:r>
            <w:r>
              <w:rPr>
                <w:rFonts w:hint="default" w:ascii="Times New Roman" w:hAnsi="Times New Roman" w:eastAsia="宋体" w:cs="Times New Roman"/>
                <w:b/>
                <w:color w:val="auto"/>
                <w:sz w:val="24"/>
                <w:szCs w:val="24"/>
                <w:highlight w:val="none"/>
                <w:lang w:val="en-US" w:eastAsia="zh-CN" w:bidi="ar"/>
              </w:rPr>
              <w:t>号</w:t>
            </w:r>
            <w:r>
              <w:rPr>
                <w:rFonts w:hint="eastAsia" w:ascii="Times New Roman" w:hAnsi="Times New Roman" w:eastAsia="宋体" w:cs="Times New Roman"/>
                <w:b/>
                <w:color w:val="auto"/>
                <w:sz w:val="24"/>
                <w:szCs w:val="24"/>
                <w:highlight w:val="none"/>
                <w:lang w:val="en-US" w:eastAsia="zh-CN" w:bidi="ar"/>
              </w:rPr>
              <w:t>）</w:t>
            </w:r>
            <w:r>
              <w:rPr>
                <w:rFonts w:hint="default" w:ascii="Times New Roman" w:hAnsi="Times New Roman" w:eastAsia="宋体" w:cs="Times New Roman"/>
                <w:b/>
                <w:color w:val="auto"/>
                <w:sz w:val="24"/>
                <w:szCs w:val="24"/>
                <w:highlight w:val="none"/>
                <w:lang w:val="en-US" w:eastAsia="zh-CN" w:bidi="ar"/>
              </w:rPr>
              <w:t>的相符性分析</w:t>
            </w:r>
          </w:p>
          <w:p w14:paraId="542542D3">
            <w:pPr>
              <w:spacing w:line="480" w:lineRule="exact"/>
              <w:ind w:firstLine="480" w:firstLineChars="200"/>
              <w:rPr>
                <w:rFonts w:hint="eastAsia" w:ascii="Times New Roman" w:hAnsi="Times New Roman" w:eastAsia="宋体" w:cs="Times New Roman"/>
                <w:b/>
                <w:color w:val="auto"/>
                <w:sz w:val="24"/>
                <w:szCs w:val="24"/>
                <w:highlight w:val="none"/>
                <w:lang w:val="en-US" w:eastAsia="zh-CN" w:bidi="ar"/>
              </w:rPr>
            </w:pPr>
            <w:r>
              <w:rPr>
                <w:rFonts w:hint="eastAsia" w:ascii="Times New Roman" w:hAnsi="Times New Roman" w:eastAsia="宋体" w:cs="Times New Roman"/>
                <w:b w:val="0"/>
                <w:bCs/>
                <w:color w:val="auto"/>
                <w:sz w:val="24"/>
                <w:szCs w:val="24"/>
                <w:highlight w:val="none"/>
                <w:lang w:val="en-US" w:eastAsia="zh-CN" w:bidi="ar"/>
              </w:rPr>
              <w:t>与</w:t>
            </w:r>
            <w:r>
              <w:rPr>
                <w:rFonts w:hint="default" w:ascii="Times New Roman" w:hAnsi="Times New Roman" w:eastAsia="宋体" w:cs="Times New Roman"/>
                <w:b w:val="0"/>
                <w:bCs/>
                <w:color w:val="auto"/>
                <w:sz w:val="24"/>
                <w:szCs w:val="24"/>
                <w:highlight w:val="none"/>
                <w:lang w:val="en-US" w:eastAsia="zh-CN" w:bidi="ar"/>
              </w:rPr>
              <w:t>《省政府关于印发大运河江苏段核心监控区国土空间管控暂行办法的通知》</w:t>
            </w:r>
            <w:r>
              <w:rPr>
                <w:rFonts w:hint="eastAsia" w:ascii="Times New Roman" w:hAnsi="Times New Roman" w:eastAsia="宋体" w:cs="Times New Roman"/>
                <w:b w:val="0"/>
                <w:bCs/>
                <w:color w:val="auto"/>
                <w:sz w:val="24"/>
                <w:szCs w:val="24"/>
                <w:highlight w:val="none"/>
                <w:lang w:val="en-US" w:eastAsia="zh-CN" w:bidi="ar"/>
              </w:rPr>
              <w:t>（</w:t>
            </w:r>
            <w:r>
              <w:rPr>
                <w:rFonts w:hint="default" w:ascii="Times New Roman" w:hAnsi="Times New Roman" w:eastAsia="宋体" w:cs="Times New Roman"/>
                <w:b w:val="0"/>
                <w:bCs/>
                <w:color w:val="auto"/>
                <w:sz w:val="24"/>
                <w:szCs w:val="24"/>
                <w:highlight w:val="none"/>
                <w:lang w:val="en-US" w:eastAsia="zh-CN" w:bidi="ar"/>
              </w:rPr>
              <w:t>苏</w:t>
            </w:r>
            <w:r>
              <w:rPr>
                <w:rFonts w:hint="eastAsia" w:ascii="Times New Roman" w:hAnsi="Times New Roman" w:cs="Times New Roman"/>
                <w:b w:val="0"/>
                <w:bCs/>
                <w:color w:val="auto"/>
                <w:sz w:val="24"/>
                <w:szCs w:val="24"/>
                <w:highlight w:val="none"/>
                <w:lang w:val="en-US" w:eastAsia="zh-CN" w:bidi="ar"/>
              </w:rPr>
              <w:t>政发</w:t>
            </w:r>
            <w:r>
              <w:rPr>
                <w:rFonts w:hint="eastAsia" w:ascii="Times New Roman" w:hAnsi="Times New Roman" w:eastAsia="宋体" w:cs="Times New Roman"/>
                <w:b w:val="0"/>
                <w:bCs/>
                <w:color w:val="auto"/>
                <w:sz w:val="24"/>
                <w:szCs w:val="24"/>
                <w:highlight w:val="none"/>
                <w:lang w:val="en-US" w:eastAsia="zh-CN" w:bidi="ar"/>
              </w:rPr>
              <w:t>（</w:t>
            </w:r>
            <w:r>
              <w:rPr>
                <w:rFonts w:hint="default" w:ascii="Times New Roman" w:hAnsi="Times New Roman" w:eastAsia="宋体" w:cs="Times New Roman"/>
                <w:b w:val="0"/>
                <w:bCs/>
                <w:color w:val="auto"/>
                <w:sz w:val="24"/>
                <w:szCs w:val="24"/>
                <w:highlight w:val="none"/>
                <w:lang w:val="en-US" w:eastAsia="zh-CN" w:bidi="ar"/>
              </w:rPr>
              <w:t>2021)</w:t>
            </w:r>
            <w:r>
              <w:rPr>
                <w:rFonts w:hint="eastAsia" w:ascii="Times New Roman" w:hAnsi="Times New Roman" w:cs="Times New Roman"/>
                <w:b w:val="0"/>
                <w:bCs/>
                <w:color w:val="auto"/>
                <w:sz w:val="24"/>
                <w:szCs w:val="24"/>
                <w:highlight w:val="none"/>
                <w:lang w:val="en-US" w:eastAsia="zh-CN" w:bidi="ar"/>
              </w:rPr>
              <w:t>20</w:t>
            </w:r>
            <w:r>
              <w:rPr>
                <w:rFonts w:hint="default" w:ascii="Times New Roman" w:hAnsi="Times New Roman" w:eastAsia="宋体" w:cs="Times New Roman"/>
                <w:b w:val="0"/>
                <w:bCs/>
                <w:color w:val="auto"/>
                <w:sz w:val="24"/>
                <w:szCs w:val="24"/>
                <w:highlight w:val="none"/>
                <w:lang w:val="en-US" w:eastAsia="zh-CN" w:bidi="ar"/>
              </w:rPr>
              <w:t>号</w:t>
            </w:r>
            <w:r>
              <w:rPr>
                <w:rFonts w:hint="eastAsia" w:ascii="Times New Roman" w:hAnsi="Times New Roman" w:eastAsia="宋体" w:cs="Times New Roman"/>
                <w:b w:val="0"/>
                <w:bCs/>
                <w:color w:val="auto"/>
                <w:sz w:val="24"/>
                <w:szCs w:val="24"/>
                <w:highlight w:val="none"/>
                <w:lang w:val="en-US" w:eastAsia="zh-CN" w:bidi="ar"/>
              </w:rPr>
              <w:t>）</w:t>
            </w:r>
            <w:r>
              <w:rPr>
                <w:rFonts w:hint="eastAsia" w:cs="Times New Roman"/>
                <w:b w:val="0"/>
                <w:bCs/>
                <w:color w:val="auto"/>
                <w:sz w:val="24"/>
                <w:szCs w:val="24"/>
                <w:highlight w:val="none"/>
                <w:lang w:val="en-US" w:eastAsia="zh-CN" w:bidi="ar"/>
              </w:rPr>
              <w:t>、</w:t>
            </w:r>
            <w:r>
              <w:rPr>
                <w:rFonts w:hint="default" w:ascii="Times New Roman" w:hAnsi="Times New Roman" w:eastAsia="宋体" w:cs="Times New Roman"/>
                <w:b w:val="0"/>
                <w:bCs/>
                <w:color w:val="auto"/>
                <w:sz w:val="24"/>
                <w:szCs w:val="24"/>
                <w:highlight w:val="none"/>
                <w:lang w:val="en-US" w:eastAsia="zh-CN" w:bidi="ar"/>
              </w:rPr>
              <w:t>《</w:t>
            </w:r>
            <w:r>
              <w:rPr>
                <w:rFonts w:hint="eastAsia" w:ascii="Times New Roman" w:hAnsi="Times New Roman" w:eastAsia="宋体" w:cs="Times New Roman"/>
                <w:b w:val="0"/>
                <w:bCs/>
                <w:color w:val="auto"/>
                <w:sz w:val="24"/>
                <w:szCs w:val="24"/>
                <w:highlight w:val="none"/>
                <w:lang w:val="en-US" w:eastAsia="zh-CN" w:bidi="ar"/>
              </w:rPr>
              <w:t>市政府关于印发大运河淮安段核心监控区国土空间管控细则的通知</w:t>
            </w:r>
            <w:r>
              <w:rPr>
                <w:rFonts w:hint="default" w:ascii="Times New Roman" w:hAnsi="Times New Roman" w:eastAsia="宋体" w:cs="Times New Roman"/>
                <w:b w:val="0"/>
                <w:bCs/>
                <w:color w:val="auto"/>
                <w:sz w:val="24"/>
                <w:szCs w:val="24"/>
                <w:highlight w:val="none"/>
                <w:lang w:val="en-US" w:eastAsia="zh-CN" w:bidi="ar"/>
              </w:rPr>
              <w:t>》</w:t>
            </w:r>
            <w:r>
              <w:rPr>
                <w:rFonts w:hint="eastAsia" w:ascii="Times New Roman" w:hAnsi="Times New Roman" w:eastAsia="宋体" w:cs="Times New Roman"/>
                <w:b w:val="0"/>
                <w:bCs/>
                <w:color w:val="auto"/>
                <w:sz w:val="24"/>
                <w:szCs w:val="24"/>
                <w:highlight w:val="none"/>
                <w:lang w:val="en-US" w:eastAsia="zh-CN" w:bidi="ar"/>
              </w:rPr>
              <w:t>（</w:t>
            </w:r>
            <w:r>
              <w:rPr>
                <w:rFonts w:hint="eastAsia" w:ascii="Times New Roman" w:hAnsi="Times New Roman" w:cs="Times New Roman"/>
                <w:b w:val="0"/>
                <w:bCs/>
                <w:color w:val="auto"/>
                <w:sz w:val="24"/>
                <w:szCs w:val="24"/>
                <w:highlight w:val="none"/>
                <w:lang w:val="en-US" w:eastAsia="zh-CN" w:bidi="ar"/>
              </w:rPr>
              <w:t>淮政规</w:t>
            </w:r>
            <w:r>
              <w:rPr>
                <w:rFonts w:hint="eastAsia" w:ascii="Times New Roman" w:hAnsi="Times New Roman" w:eastAsia="宋体" w:cs="Times New Roman"/>
                <w:b w:val="0"/>
                <w:bCs/>
                <w:color w:val="auto"/>
                <w:sz w:val="24"/>
                <w:szCs w:val="24"/>
                <w:highlight w:val="none"/>
                <w:lang w:val="en-US" w:eastAsia="zh-CN" w:bidi="ar"/>
              </w:rPr>
              <w:t>（</w:t>
            </w:r>
            <w:r>
              <w:rPr>
                <w:rFonts w:hint="default" w:ascii="Times New Roman" w:hAnsi="Times New Roman" w:eastAsia="宋体" w:cs="Times New Roman"/>
                <w:b w:val="0"/>
                <w:bCs/>
                <w:color w:val="auto"/>
                <w:sz w:val="24"/>
                <w:szCs w:val="24"/>
                <w:highlight w:val="none"/>
                <w:lang w:val="en-US" w:eastAsia="zh-CN" w:bidi="ar"/>
              </w:rPr>
              <w:t>202</w:t>
            </w:r>
            <w:r>
              <w:rPr>
                <w:rFonts w:hint="eastAsia" w:ascii="Times New Roman" w:hAnsi="Times New Roman" w:cs="Times New Roman"/>
                <w:b w:val="0"/>
                <w:bCs/>
                <w:color w:val="auto"/>
                <w:sz w:val="24"/>
                <w:szCs w:val="24"/>
                <w:highlight w:val="none"/>
                <w:lang w:val="en-US" w:eastAsia="zh-CN" w:bidi="ar"/>
              </w:rPr>
              <w:t>2</w:t>
            </w:r>
            <w:r>
              <w:rPr>
                <w:rFonts w:hint="eastAsia" w:cs="Times New Roman"/>
                <w:b w:val="0"/>
                <w:bCs/>
                <w:color w:val="auto"/>
                <w:sz w:val="24"/>
                <w:szCs w:val="24"/>
                <w:highlight w:val="none"/>
                <w:lang w:val="en-US" w:eastAsia="zh-CN" w:bidi="ar"/>
              </w:rPr>
              <w:t>）</w:t>
            </w:r>
            <w:r>
              <w:rPr>
                <w:rFonts w:hint="eastAsia" w:ascii="Times New Roman" w:hAnsi="Times New Roman" w:cs="Times New Roman"/>
                <w:b w:val="0"/>
                <w:bCs/>
                <w:color w:val="auto"/>
                <w:sz w:val="24"/>
                <w:szCs w:val="24"/>
                <w:highlight w:val="none"/>
                <w:lang w:val="en-US" w:eastAsia="zh-CN" w:bidi="ar"/>
              </w:rPr>
              <w:t>8</w:t>
            </w:r>
            <w:r>
              <w:rPr>
                <w:rFonts w:hint="default" w:ascii="Times New Roman" w:hAnsi="Times New Roman" w:eastAsia="宋体" w:cs="Times New Roman"/>
                <w:b w:val="0"/>
                <w:bCs/>
                <w:color w:val="auto"/>
                <w:sz w:val="24"/>
                <w:szCs w:val="24"/>
                <w:highlight w:val="none"/>
                <w:lang w:val="en-US" w:eastAsia="zh-CN" w:bidi="ar"/>
              </w:rPr>
              <w:t>号</w:t>
            </w:r>
            <w:r>
              <w:rPr>
                <w:rFonts w:hint="eastAsia" w:ascii="Times New Roman" w:hAnsi="Times New Roman" w:eastAsia="宋体" w:cs="Times New Roman"/>
                <w:b w:val="0"/>
                <w:bCs/>
                <w:color w:val="auto"/>
                <w:sz w:val="24"/>
                <w:szCs w:val="24"/>
                <w:highlight w:val="none"/>
                <w:lang w:val="en-US" w:eastAsia="zh-CN" w:bidi="ar"/>
              </w:rPr>
              <w:t>）</w:t>
            </w:r>
            <w:r>
              <w:rPr>
                <w:rFonts w:hint="default" w:ascii="Times New Roman" w:hAnsi="Times New Roman" w:eastAsia="宋体" w:cs="Times New Roman"/>
                <w:b w:val="0"/>
                <w:bCs/>
                <w:color w:val="auto"/>
                <w:sz w:val="24"/>
                <w:szCs w:val="24"/>
                <w:highlight w:val="none"/>
                <w:lang w:val="en-US" w:eastAsia="zh-CN" w:bidi="ar"/>
              </w:rPr>
              <w:t>的相符性分析</w:t>
            </w:r>
            <w:r>
              <w:rPr>
                <w:rFonts w:hint="eastAsia" w:cs="Times New Roman"/>
                <w:b w:val="0"/>
                <w:bCs/>
                <w:snapToGrid/>
                <w:sz w:val="24"/>
                <w:szCs w:val="24"/>
                <w:lang w:val="en-US" w:eastAsia="zh-CN" w:bidi="ar-SA"/>
              </w:rPr>
              <w:t>如下</w:t>
            </w:r>
            <w:r>
              <w:rPr>
                <w:rFonts w:hint="default" w:ascii="Times New Roman" w:hAnsi="Times New Roman" w:eastAsia="宋体" w:cs="Times New Roman"/>
                <w:color w:val="auto"/>
                <w:kern w:val="2"/>
                <w:sz w:val="24"/>
                <w:szCs w:val="24"/>
                <w:highlight w:val="none"/>
                <w:lang w:val="en-US" w:eastAsia="zh-CN" w:bidi="ar"/>
              </w:rPr>
              <w:t>：</w:t>
            </w:r>
          </w:p>
          <w:p w14:paraId="395C902C">
            <w:pPr>
              <w:spacing w:line="480" w:lineRule="exact"/>
              <w:jc w:val="center"/>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表</w:t>
            </w:r>
            <w:r>
              <w:rPr>
                <w:rFonts w:hint="default" w:ascii="Times New Roman" w:hAnsi="Times New Roman" w:eastAsia="宋体" w:cs="Times New Roman"/>
                <w:b/>
                <w:bCs/>
                <w:color w:val="auto"/>
                <w:sz w:val="24"/>
                <w:szCs w:val="21"/>
                <w:highlight w:val="none"/>
                <w:lang w:val="en-US" w:eastAsia="zh-CN"/>
              </w:rPr>
              <w:t>1.</w:t>
            </w:r>
            <w:r>
              <w:rPr>
                <w:rFonts w:hint="eastAsia" w:cs="Times New Roman"/>
                <w:b/>
                <w:bCs/>
                <w:color w:val="auto"/>
                <w:sz w:val="24"/>
                <w:szCs w:val="21"/>
                <w:highlight w:val="none"/>
                <w:lang w:val="en-US" w:eastAsia="zh-CN"/>
              </w:rPr>
              <w:t>8</w:t>
            </w:r>
            <w:r>
              <w:rPr>
                <w:rFonts w:hint="default" w:ascii="Times New Roman" w:hAnsi="Times New Roman" w:eastAsia="宋体" w:cs="Times New Roman"/>
                <w:b/>
                <w:bCs/>
                <w:color w:val="auto"/>
                <w:sz w:val="24"/>
                <w:szCs w:val="21"/>
                <w:highlight w:val="none"/>
                <w:lang w:val="en-US" w:eastAsia="zh-CN"/>
              </w:rPr>
              <w:t>-1</w:t>
            </w:r>
            <w:r>
              <w:rPr>
                <w:rFonts w:hint="default" w:ascii="Times New Roman" w:hAnsi="Times New Roman" w:eastAsia="宋体" w:cs="Times New Roman"/>
                <w:b/>
                <w:bCs/>
                <w:color w:val="auto"/>
                <w:sz w:val="24"/>
                <w:szCs w:val="21"/>
                <w:highlight w:val="none"/>
              </w:rPr>
              <w:t xml:space="preserve">  本项目与《</w:t>
            </w:r>
            <w:r>
              <w:rPr>
                <w:rFonts w:hint="default" w:ascii="Times New Roman" w:hAnsi="Times New Roman" w:eastAsia="宋体" w:cs="Times New Roman"/>
                <w:b/>
                <w:bCs/>
                <w:color w:val="auto"/>
                <w:sz w:val="24"/>
                <w:szCs w:val="21"/>
                <w:highlight w:val="none"/>
                <w:lang w:val="en-US" w:eastAsia="zh-CN"/>
              </w:rPr>
              <w:t>省政府关于印发大运河江苏段核心监控区国土空间管控暂行办法的通知</w:t>
            </w:r>
            <w:r>
              <w:rPr>
                <w:rFonts w:hint="default" w:ascii="Times New Roman" w:hAnsi="Times New Roman" w:eastAsia="宋体" w:cs="Times New Roman"/>
                <w:b/>
                <w:bCs/>
                <w:color w:val="auto"/>
                <w:sz w:val="24"/>
                <w:szCs w:val="21"/>
                <w:highlight w:val="none"/>
              </w:rPr>
              <w:t>》</w:t>
            </w:r>
            <w:r>
              <w:rPr>
                <w:rFonts w:hint="eastAsia" w:cs="Times New Roman"/>
                <w:b/>
                <w:bCs/>
                <w:color w:val="auto"/>
                <w:sz w:val="24"/>
                <w:szCs w:val="21"/>
                <w:highlight w:val="none"/>
                <w:lang w:val="en-US" w:eastAsia="zh-CN"/>
              </w:rPr>
              <w:t>和</w:t>
            </w:r>
            <w:r>
              <w:rPr>
                <w:rFonts w:hint="default" w:ascii="Times New Roman" w:hAnsi="Times New Roman" w:eastAsia="宋体" w:cs="Times New Roman"/>
                <w:b/>
                <w:color w:val="auto"/>
                <w:sz w:val="24"/>
                <w:szCs w:val="24"/>
                <w:highlight w:val="none"/>
                <w:lang w:val="en-US" w:eastAsia="zh-CN" w:bidi="ar"/>
              </w:rPr>
              <w:t>《</w:t>
            </w:r>
            <w:r>
              <w:rPr>
                <w:rFonts w:hint="eastAsia" w:ascii="Times New Roman" w:hAnsi="Times New Roman" w:eastAsia="宋体" w:cs="Times New Roman"/>
                <w:b/>
                <w:color w:val="auto"/>
                <w:sz w:val="24"/>
                <w:szCs w:val="24"/>
                <w:highlight w:val="none"/>
                <w:lang w:val="en-US" w:eastAsia="zh-CN" w:bidi="ar"/>
              </w:rPr>
              <w:t>市政府关于印发大运河淮安段核心监控区国土空间管控细则的通知</w:t>
            </w:r>
            <w:r>
              <w:rPr>
                <w:rFonts w:hint="default" w:ascii="Times New Roman" w:hAnsi="Times New Roman" w:eastAsia="宋体" w:cs="Times New Roman"/>
                <w:b/>
                <w:color w:val="auto"/>
                <w:sz w:val="24"/>
                <w:szCs w:val="24"/>
                <w:highlight w:val="none"/>
                <w:lang w:val="en-US" w:eastAsia="zh-CN" w:bidi="ar"/>
              </w:rPr>
              <w:t>》</w:t>
            </w:r>
            <w:r>
              <w:rPr>
                <w:rFonts w:hint="default" w:ascii="Times New Roman" w:hAnsi="Times New Roman" w:eastAsia="宋体" w:cs="Times New Roman"/>
                <w:b/>
                <w:bCs/>
                <w:color w:val="auto"/>
                <w:sz w:val="24"/>
                <w:szCs w:val="21"/>
                <w:highlight w:val="none"/>
              </w:rPr>
              <w:t>的相符性分析</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5565"/>
              <w:gridCol w:w="1702"/>
            </w:tblGrid>
            <w:tr w14:paraId="014EC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23" w:type="pct"/>
                  <w:tcBorders>
                    <w:tl2br w:val="nil"/>
                    <w:tr2bl w:val="nil"/>
                  </w:tcBorders>
                  <w:noWrap w:val="0"/>
                  <w:vAlign w:val="center"/>
                </w:tcPr>
                <w:p w14:paraId="6A54EC0F">
                  <w:pPr>
                    <w:adjustRightInd w:val="0"/>
                    <w:snapToGrid w:val="0"/>
                    <w:jc w:val="center"/>
                    <w:rPr>
                      <w:rFonts w:hint="default" w:ascii="Times New Roman" w:hAnsi="Times New Roman" w:cs="Times New Roman"/>
                      <w:b/>
                      <w:bCs w:val="0"/>
                      <w:color w:val="auto"/>
                      <w:kern w:val="0"/>
                      <w:szCs w:val="21"/>
                      <w:highlight w:val="none"/>
                      <w:lang w:val="en-US" w:eastAsia="zh-CN" w:bidi="ar"/>
                    </w:rPr>
                  </w:pPr>
                  <w:r>
                    <w:rPr>
                      <w:rFonts w:hint="eastAsia" w:cs="Times New Roman"/>
                      <w:b/>
                      <w:bCs w:val="0"/>
                      <w:color w:val="auto"/>
                      <w:kern w:val="0"/>
                      <w:szCs w:val="21"/>
                      <w:highlight w:val="none"/>
                      <w:lang w:val="en-US" w:eastAsia="zh-CN" w:bidi="ar"/>
                    </w:rPr>
                    <w:t>文件名</w:t>
                  </w:r>
                </w:p>
              </w:tc>
              <w:tc>
                <w:tcPr>
                  <w:tcW w:w="3198" w:type="pct"/>
                  <w:tcBorders>
                    <w:tl2br w:val="nil"/>
                    <w:tr2bl w:val="nil"/>
                  </w:tcBorders>
                  <w:noWrap w:val="0"/>
                  <w:vAlign w:val="center"/>
                </w:tcPr>
                <w:p w14:paraId="2A1F7247">
                  <w:pPr>
                    <w:adjustRightInd w:val="0"/>
                    <w:snapToGrid w:val="0"/>
                    <w:jc w:val="center"/>
                    <w:textAlignment w:val="center"/>
                    <w:rPr>
                      <w:rFonts w:hint="default" w:ascii="Times New Roman" w:hAnsi="Times New Roman" w:cs="Times New Roman"/>
                      <w:b/>
                      <w:color w:val="auto"/>
                      <w:kern w:val="0"/>
                      <w:szCs w:val="21"/>
                      <w:highlight w:val="none"/>
                      <w:lang w:bidi="ar"/>
                    </w:rPr>
                  </w:pPr>
                  <w:r>
                    <w:rPr>
                      <w:rFonts w:hint="default" w:ascii="Times New Roman" w:hAnsi="Times New Roman" w:cs="Times New Roman"/>
                      <w:b/>
                      <w:color w:val="auto"/>
                      <w:kern w:val="0"/>
                      <w:szCs w:val="21"/>
                      <w:highlight w:val="none"/>
                      <w:lang w:bidi="ar"/>
                    </w:rPr>
                    <w:t>措施要求</w:t>
                  </w:r>
                </w:p>
              </w:tc>
              <w:tc>
                <w:tcPr>
                  <w:tcW w:w="978" w:type="pct"/>
                  <w:tcBorders>
                    <w:tl2br w:val="nil"/>
                    <w:tr2bl w:val="nil"/>
                  </w:tcBorders>
                  <w:noWrap w:val="0"/>
                  <w:vAlign w:val="center"/>
                </w:tcPr>
                <w:p w14:paraId="61B249E4">
                  <w:pPr>
                    <w:adjustRightInd w:val="0"/>
                    <w:snapToGrid w:val="0"/>
                    <w:jc w:val="center"/>
                    <w:rPr>
                      <w:rFonts w:hint="default" w:ascii="Times New Roman" w:hAnsi="Times New Roman" w:cs="Times New Roman"/>
                      <w:b/>
                      <w:color w:val="auto"/>
                      <w:kern w:val="0"/>
                      <w:szCs w:val="21"/>
                      <w:highlight w:val="none"/>
                      <w:lang w:bidi="ar"/>
                    </w:rPr>
                  </w:pPr>
                  <w:r>
                    <w:rPr>
                      <w:rFonts w:hint="default" w:ascii="Times New Roman" w:hAnsi="Times New Roman" w:cs="Times New Roman"/>
                      <w:b/>
                      <w:color w:val="auto"/>
                      <w:kern w:val="0"/>
                      <w:szCs w:val="21"/>
                      <w:highlight w:val="none"/>
                      <w:lang w:bidi="ar"/>
                    </w:rPr>
                    <w:t>相符性分析</w:t>
                  </w:r>
                </w:p>
              </w:tc>
            </w:tr>
            <w:tr w14:paraId="38A4F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tcBorders>
                    <w:tl2br w:val="nil"/>
                    <w:tr2bl w:val="nil"/>
                  </w:tcBorders>
                  <w:noWrap w:val="0"/>
                  <w:vAlign w:val="center"/>
                </w:tcPr>
                <w:p w14:paraId="600E2BB1">
                  <w:pPr>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《省政府关于印发大运河江苏段核心监控区国土空间管控暂行办法的通知》</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苏</w:t>
                  </w:r>
                  <w:r>
                    <w:rPr>
                      <w:rFonts w:hint="eastAsia" w:ascii="Times New Roman" w:hAnsi="Times New Roman" w:cs="Times New Roman"/>
                      <w:color w:val="auto"/>
                      <w:szCs w:val="21"/>
                      <w:highlight w:val="none"/>
                      <w:lang w:val="en-US" w:eastAsia="zh-CN"/>
                    </w:rPr>
                    <w:t>政发（</w:t>
                  </w:r>
                  <w:r>
                    <w:rPr>
                      <w:rFonts w:hint="default" w:ascii="Times New Roman" w:hAnsi="Times New Roman" w:cs="Times New Roman"/>
                      <w:color w:val="auto"/>
                      <w:szCs w:val="21"/>
                      <w:highlight w:val="none"/>
                      <w:lang w:val="en-US" w:eastAsia="zh-CN"/>
                    </w:rPr>
                    <w:t>2021)</w:t>
                  </w:r>
                  <w:r>
                    <w:rPr>
                      <w:rFonts w:hint="eastAsia"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lang w:val="en-US" w:eastAsia="zh-CN"/>
                    </w:rPr>
                    <w:t>号</w:t>
                  </w:r>
                  <w:r>
                    <w:rPr>
                      <w:rFonts w:hint="eastAsia" w:ascii="Times New Roman" w:hAnsi="Times New Roman" w:cs="Times New Roman"/>
                      <w:color w:val="auto"/>
                      <w:szCs w:val="21"/>
                      <w:highlight w:val="none"/>
                      <w:lang w:val="en-US" w:eastAsia="zh-CN"/>
                    </w:rPr>
                    <w:t>）</w:t>
                  </w:r>
                </w:p>
              </w:tc>
              <w:tc>
                <w:tcPr>
                  <w:tcW w:w="3198" w:type="pct"/>
                  <w:tcBorders>
                    <w:tl2br w:val="nil"/>
                    <w:tr2bl w:val="nil"/>
                  </w:tcBorders>
                  <w:noWrap w:val="0"/>
                  <w:vAlign w:val="center"/>
                </w:tcPr>
                <w:p w14:paraId="34C4497B">
                  <w:pPr>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第六条</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lang w:val="en-US" w:eastAsia="zh-CN"/>
                    </w:rPr>
                    <w:t>核心监控区国土空间管控应遵循保护优先、绿色发展，文化引领、永续传承，因地制宜、合理利用的原则</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按照滨河生态空间、建成区</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城市、建制镇）和核心监控区其他区域</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“三区”</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予以分类管控。</w:t>
                  </w:r>
                </w:p>
                <w:p w14:paraId="24EC451F">
                  <w:pPr>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第十四条</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lang w:val="en-US" w:eastAsia="zh-CN"/>
                    </w:rPr>
                    <w:t>建成区</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城市、建制镇）内，严禁实施不符合产业政策、规划和管制要求的建设项目。在避免占用耕地和永久基本农田的前提下，可结合大运河自然生态空间变迁史及地方生态需求，因地制宜实施滨河防护林生态屏障工程，树种、颜色、形态应与大运河文化相融合。</w:t>
                  </w:r>
                </w:p>
                <w:p w14:paraId="6EBC10D5">
                  <w:pPr>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城市建成区老城改造应加强建筑高度管控，开展建筑高度影响分析，按照高层禁建区管理，落实限高、限密度的具体要求，限制各类用地调整为大型的工商业、商务办公、住宅商品房、仓储物流设施等项目用地。</w:t>
                  </w:r>
                </w:p>
                <w:p w14:paraId="3EDD192E">
                  <w:pPr>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第十九条</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lang w:val="en-US" w:eastAsia="zh-CN"/>
                    </w:rPr>
                    <w:t>城镇开发边界范围内，鼓励与大运河国家文化公园相关的文化展示、文旅线路、文旅设施以及各类公园绿地建设</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鼓励与城市功能发展定位匹配的公共服务设施和基础设施建设。建成区内鼓励优化商业、住宅、服务等各类建设用地结构，调整不合理布局。</w:t>
                  </w:r>
                </w:p>
                <w:p w14:paraId="5FE4D181">
                  <w:pPr>
                    <w:jc w:val="center"/>
                    <w:textAlignment w:val="center"/>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第二十条</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lang w:val="en-US" w:eastAsia="zh-CN"/>
                    </w:rPr>
                    <w:t>大运河遗产保护区域内，严禁不利于文化遗产安全及环境保护相关的项目建设。对不符合历史文化遗产保护等相关法律法规及规划要求的建设项目不予办理相关手续。对已有文化遗产及其环境产生影响的设施，应限期治理。</w:t>
                  </w:r>
                </w:p>
              </w:tc>
              <w:tc>
                <w:tcPr>
                  <w:tcW w:w="978" w:type="pct"/>
                  <w:vMerge w:val="restart"/>
                  <w:tcBorders>
                    <w:tl2br w:val="nil"/>
                    <w:tr2bl w:val="nil"/>
                  </w:tcBorders>
                  <w:noWrap w:val="0"/>
                  <w:vAlign w:val="center"/>
                </w:tcPr>
                <w:p w14:paraId="170EADF7">
                  <w:pPr>
                    <w:keepNext w:val="0"/>
                    <w:keepLines w:val="0"/>
                    <w:widowControl/>
                    <w:suppressLineNumbers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本项目淤泥干化场位于核心监控区内的建成区内。</w:t>
                  </w:r>
                  <w:r>
                    <w:rPr>
                      <w:rFonts w:hint="eastAsia"/>
                      <w:color w:val="auto"/>
                      <w:szCs w:val="21"/>
                      <w:highlight w:val="none"/>
                      <w:lang w:val="en-US" w:eastAsia="zh-CN"/>
                    </w:rPr>
                    <w:t>本项目</w:t>
                  </w:r>
                  <w:r>
                    <w:rPr>
                      <w:rFonts w:hint="eastAsia" w:ascii="Times New Roman" w:hAnsi="Times New Roman" w:cs="Times New Roman"/>
                      <w:color w:val="auto"/>
                      <w:szCs w:val="21"/>
                      <w:highlight w:val="none"/>
                      <w:lang w:val="en-US" w:eastAsia="zh-CN"/>
                    </w:rPr>
                    <w:t>属于</w:t>
                  </w:r>
                  <w:r>
                    <w:rPr>
                      <w:rFonts w:hint="default" w:ascii="Times New Roman" w:hAnsi="Times New Roman" w:cs="Times New Roman"/>
                      <w:color w:val="auto"/>
                      <w:szCs w:val="21"/>
                      <w:highlight w:val="none"/>
                      <w:lang w:val="en-US" w:eastAsia="zh-CN"/>
                    </w:rPr>
                    <w:t>其他水上辅助运输活动</w:t>
                  </w:r>
                  <w:r>
                    <w:rPr>
                      <w:rFonts w:hint="eastAsia" w:cs="Times New Roman"/>
                      <w:color w:val="auto"/>
                      <w:szCs w:val="21"/>
                      <w:highlight w:val="none"/>
                      <w:lang w:val="en-US" w:eastAsia="zh-CN"/>
                    </w:rPr>
                    <w:t>，符合产业政策、规划和管制要求，</w:t>
                  </w:r>
                  <w:r>
                    <w:rPr>
                      <w:rFonts w:hint="eastAsia" w:ascii="宋体" w:hAnsi="宋体" w:eastAsia="宋体" w:cs="宋体"/>
                      <w:color w:val="000000"/>
                      <w:kern w:val="0"/>
                      <w:sz w:val="21"/>
                      <w:szCs w:val="21"/>
                      <w:highlight w:val="none"/>
                      <w:lang w:val="en-US" w:eastAsia="zh-CN" w:bidi="ar"/>
                    </w:rPr>
                    <w:t>不涉及世界遗产保护区，相符。</w:t>
                  </w:r>
                </w:p>
              </w:tc>
            </w:tr>
            <w:tr w14:paraId="2D0CB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23" w:type="pct"/>
                  <w:tcBorders>
                    <w:tl2br w:val="nil"/>
                    <w:tr2bl w:val="nil"/>
                  </w:tcBorders>
                  <w:noWrap w:val="0"/>
                  <w:vAlign w:val="center"/>
                </w:tcPr>
                <w:p w14:paraId="41918874">
                  <w:pPr>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市政府关于印发大运河淮安段核心监控区国土空间管控细则的通知</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（淮政规（</w:t>
                  </w:r>
                  <w:r>
                    <w:rPr>
                      <w:rFonts w:hint="default" w:ascii="Times New Roman" w:hAnsi="Times New Roman" w:cs="Times New Roman"/>
                      <w:color w:val="auto"/>
                      <w:szCs w:val="21"/>
                      <w:highlight w:val="none"/>
                      <w:lang w:val="en-US" w:eastAsia="zh-CN"/>
                    </w:rPr>
                    <w:t>202</w:t>
                  </w:r>
                  <w:r>
                    <w:rPr>
                      <w:rFonts w:hint="eastAsia" w:ascii="Times New Roman" w:hAnsi="Times New Roman" w:cs="Times New Roman"/>
                      <w:color w:val="auto"/>
                      <w:szCs w:val="21"/>
                      <w:highlight w:val="none"/>
                      <w:lang w:val="en-US" w:eastAsia="zh-CN"/>
                    </w:rPr>
                    <w:t>2</w:t>
                  </w:r>
                  <w:r>
                    <w:rPr>
                      <w:rFonts w:hint="eastAsia"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val="en-US" w:eastAsia="zh-CN"/>
                    </w:rPr>
                    <w:t>号</w:t>
                  </w:r>
                  <w:r>
                    <w:rPr>
                      <w:rFonts w:hint="eastAsia" w:ascii="Times New Roman" w:hAnsi="Times New Roman" w:cs="Times New Roman"/>
                      <w:color w:val="auto"/>
                      <w:szCs w:val="21"/>
                      <w:highlight w:val="none"/>
                      <w:lang w:val="en-US" w:eastAsia="zh-CN"/>
                    </w:rPr>
                    <w:t>）</w:t>
                  </w:r>
                </w:p>
              </w:tc>
              <w:tc>
                <w:tcPr>
                  <w:tcW w:w="3198" w:type="pct"/>
                  <w:tcBorders>
                    <w:tl2br w:val="nil"/>
                    <w:tr2bl w:val="nil"/>
                  </w:tcBorders>
                  <w:noWrap w:val="0"/>
                  <w:vAlign w:val="center"/>
                </w:tcPr>
                <w:p w14:paraId="19590096">
                  <w:pPr>
                    <w:jc w:val="center"/>
                    <w:textAlignment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第十一条 建成区内，严禁实施不符合产业政策、规划和管制要求的建设项目。</w:t>
                  </w:r>
                </w:p>
                <w:p w14:paraId="754161EE">
                  <w:pPr>
                    <w:jc w:val="center"/>
                    <w:textAlignment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第十七条 城镇开发边界范围内，鼓励与大运河国家文化公园相关的文旅项目和公园绿地建设；鼓励传承利用大运河文化的文旅休闲、现代化港口航运等项目建设；鼓励与城市功能发展定位匹配的公共服务设施和基础设施；鼓励在国土空间规划中优化商业、住宅、服务等各类建设用地结构，调整不合理布局。</w:t>
                  </w:r>
                </w:p>
                <w:p w14:paraId="25E50AC4">
                  <w:pPr>
                    <w:jc w:val="center"/>
                    <w:textAlignment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第十八条 历史文化遗产保护区域内，建设项目严格按照历史文化遗产保护等相关法律法规及规划要求办理相关手续。对已有文化遗产及其环境产生影响的设施，应当限期治理。</w:t>
                  </w:r>
                </w:p>
              </w:tc>
              <w:tc>
                <w:tcPr>
                  <w:tcW w:w="978" w:type="pct"/>
                  <w:vMerge w:val="continue"/>
                  <w:tcBorders>
                    <w:tl2br w:val="nil"/>
                    <w:tr2bl w:val="nil"/>
                  </w:tcBorders>
                  <w:noWrap w:val="0"/>
                  <w:vAlign w:val="center"/>
                </w:tcPr>
                <w:p w14:paraId="2D5FA666">
                  <w:pPr>
                    <w:jc w:val="center"/>
                    <w:textAlignment w:val="center"/>
                    <w:rPr>
                      <w:rFonts w:hint="default" w:ascii="Times New Roman" w:hAnsi="Times New Roman" w:eastAsia="宋体" w:cs="Times New Roman"/>
                      <w:color w:val="auto"/>
                      <w:sz w:val="21"/>
                      <w:szCs w:val="21"/>
                      <w:highlight w:val="none"/>
                      <w:lang w:val="en-US" w:eastAsia="zh-CN"/>
                    </w:rPr>
                  </w:pPr>
                </w:p>
              </w:tc>
            </w:tr>
          </w:tbl>
          <w:p w14:paraId="54E9CE23">
            <w:pPr>
              <w:widowControl/>
              <w:adjustRightInd w:val="0"/>
              <w:snapToGrid w:val="0"/>
              <w:spacing w:line="500" w:lineRule="exact"/>
              <w:rPr>
                <w:rFonts w:hint="default" w:ascii="Times New Roman" w:hAnsi="Times New Roman" w:eastAsia="宋体" w:cs="Times New Roman"/>
                <w:b/>
                <w:sz w:val="24"/>
                <w:szCs w:val="24"/>
              </w:rPr>
            </w:pPr>
          </w:p>
        </w:tc>
      </w:tr>
    </w:tbl>
    <w:p w14:paraId="27BC4ECA">
      <w:pPr>
        <w:rPr>
          <w:rFonts w:hint="default" w:ascii="Times New Roman" w:hAnsi="Times New Roman" w:eastAsia="宋体" w:cs="Times New Roman"/>
          <w:szCs w:val="21"/>
        </w:rPr>
        <w:sectPr>
          <w:footerReference r:id="rId4" w:type="default"/>
          <w:pgSz w:w="11906" w:h="16838"/>
          <w:pgMar w:top="1440" w:right="1083" w:bottom="1440" w:left="1083"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63067D67">
      <w:pPr>
        <w:pStyle w:val="82"/>
        <w:jc w:val="center"/>
        <w:outlineLvl w:val="0"/>
        <w:rPr>
          <w:rFonts w:hint="default" w:ascii="Times New Roman" w:hAnsi="Times New Roman" w:eastAsia="宋体" w:cs="Times New Roman"/>
          <w:b/>
          <w:snapToGrid w:val="0"/>
          <w:sz w:val="30"/>
          <w:szCs w:val="30"/>
        </w:rPr>
      </w:pPr>
      <w:bookmarkStart w:id="3" w:name="_Toc18963"/>
      <w:r>
        <w:rPr>
          <w:rFonts w:hint="default" w:ascii="Times New Roman" w:hAnsi="Times New Roman" w:eastAsia="宋体" w:cs="Times New Roman"/>
          <w:b/>
          <w:snapToGrid w:val="0"/>
          <w:sz w:val="30"/>
          <w:szCs w:val="30"/>
        </w:rPr>
        <w:t>二、建设内容</w:t>
      </w:r>
      <w:bookmarkEnd w:id="3"/>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8"/>
        <w:gridCol w:w="9048"/>
      </w:tblGrid>
      <w:tr w14:paraId="38E07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777" w:type="dxa"/>
            <w:vAlign w:val="center"/>
          </w:tcPr>
          <w:p w14:paraId="709635E5">
            <w:pPr>
              <w:pStyle w:val="82"/>
              <w:adjustRightInd w:val="0"/>
              <w:snapToGrid w:val="0"/>
              <w:spacing w:before="0" w:beforeAutospacing="0" w:after="0" w:afterAutospacing="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地理位置</w:t>
            </w:r>
          </w:p>
        </w:tc>
        <w:tc>
          <w:tcPr>
            <w:tcW w:w="7745" w:type="dxa"/>
          </w:tcPr>
          <w:p w14:paraId="2786AA7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位于</w:t>
            </w:r>
            <w:r>
              <w:rPr>
                <w:rFonts w:hint="eastAsia" w:ascii="Times New Roman" w:hAnsi="Times New Roman" w:eastAsia="宋体" w:cs="Times New Roman"/>
                <w:sz w:val="24"/>
                <w:szCs w:val="24"/>
                <w:lang w:val="en-US" w:eastAsia="zh-CN"/>
              </w:rPr>
              <w:t>淮安市清江浦区和淮安区境内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京杭大运河淮安段。其中，锚地扩建工程位于黄码大桥下游约650m，京杭大运河东岸</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黄码已建淮安锚地上下游两端</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桩号</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146+060~146+537，148+037~148+489。南港岸线疏浚工程位于清浦大桥与运河大桥间，京杭大运河北岸，桩号</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161+301~162+295。</w:t>
            </w:r>
          </w:p>
        </w:tc>
      </w:tr>
      <w:tr w14:paraId="5A053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777" w:type="dxa"/>
            <w:vAlign w:val="center"/>
          </w:tcPr>
          <w:p w14:paraId="5ACA8375">
            <w:pPr>
              <w:pStyle w:val="82"/>
              <w:adjustRightInd w:val="0"/>
              <w:snapToGrid w:val="0"/>
              <w:spacing w:before="0" w:beforeAutospacing="0" w:after="0" w:afterAutospacing="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项目组成及规模</w:t>
            </w:r>
          </w:p>
        </w:tc>
        <w:tc>
          <w:tcPr>
            <w:tcW w:w="7745" w:type="dxa"/>
          </w:tcPr>
          <w:p w14:paraId="095491FF">
            <w:pPr>
              <w:pStyle w:val="157"/>
              <w:keepNext w:val="0"/>
              <w:keepLines w:val="0"/>
              <w:pageBreakBefore w:val="0"/>
              <w:widowControl w:val="0"/>
              <w:kinsoku/>
              <w:wordWrap/>
              <w:overflowPunct/>
              <w:topLinePunct w:val="0"/>
              <w:autoSpaceDE/>
              <w:autoSpaceDN/>
              <w:bidi w:val="0"/>
              <w:adjustRightInd w:val="0"/>
              <w:snapToGrid w:val="0"/>
              <w:spacing w:line="500" w:lineRule="exact"/>
              <w:ind w:left="422" w:firstLine="0" w:firstLineChars="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1、项目由来</w:t>
            </w:r>
          </w:p>
          <w:p w14:paraId="2AE15CC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因淮安市区港区黄码作业区工程完全占用淮安船闸上游船队待泊区，根据2018年4月2日苏北航务管理处《关于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淮安市区港区黄码作业区工程通航影响评价报告&gt;的审核意见》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京运苏北航【2018】39号</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lang w:val="en-US" w:eastAsia="zh-CN"/>
              </w:rPr>
              <w:t>（见附件</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4"/>
                <w:lang w:val="en-US" w:eastAsia="zh-CN"/>
              </w:rPr>
              <w:t xml:space="preserve">需在码头对岸淮安船闸锚地进行补偿建设，以满足淮安船闸下行待闸船队停泊需求，淮安船闸原锚地长1.6公里，补建长度应不小于原锚地长度并适当加长（建议2公里为宜）。 </w:t>
            </w:r>
          </w:p>
          <w:p w14:paraId="12AC7B6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2021年8月19日，淮安市清江浦区人民政府及苏北航务处就锚地补偿工程建设方案进一步进行了沟通，形成了《关于支持清江浦区推进淮安市区港区黄码作业区项目建设的专题会议纪要》（淮安市清江浦区人民政府专题会议纪要第17号）</w:t>
            </w:r>
            <w:r>
              <w:rPr>
                <w:rFonts w:hint="eastAsia" w:ascii="Times New Roman" w:hAnsi="Times New Roman" w:eastAsia="宋体" w:cs="Times New Roman"/>
                <w:color w:val="auto"/>
                <w:sz w:val="24"/>
                <w:szCs w:val="24"/>
                <w:lang w:val="en-US" w:eastAsia="zh-CN"/>
              </w:rPr>
              <w:t>（见附件</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。根据纪</w:t>
            </w:r>
            <w:r>
              <w:rPr>
                <w:rFonts w:hint="default" w:ascii="Times New Roman" w:hAnsi="Times New Roman" w:eastAsia="宋体" w:cs="Times New Roman"/>
                <w:sz w:val="24"/>
                <w:szCs w:val="24"/>
                <w:lang w:val="en-US" w:eastAsia="zh-CN"/>
              </w:rPr>
              <w:t xml:space="preserve">要，大成公司在码头对岸对淮安船闸锚地进行补偿建设方案进行适当优化，优化后的方案为：从黄码作业区对岸已建成的标准化锚地南北两侧端点起，按照相关设计规范要求，参照已建成的标准化锚地建设标准分别向两侧最大化延伸建设，不足部分通过运河公司现使用的南港岸线予以疏浚补充，补偿长度以苏北处2018年4月2日《审核意见》为准，并作为淮安船闸待泊锚地专属使用，疏浚工艺及标准达苏北处要求。 </w:t>
            </w:r>
          </w:p>
          <w:p w14:paraId="5C052A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2021年8月20日，苏北航务管理处重新对淮安市区港区黄码作业区工程进行了许可，根据《准予交通运输行政确认决定书》（案号：苏交苏北航确字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2021</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00011号）</w:t>
            </w:r>
            <w:r>
              <w:rPr>
                <w:rFonts w:hint="eastAsia" w:ascii="Times New Roman" w:hAnsi="Times New Roman" w:eastAsia="宋体" w:cs="Times New Roman"/>
                <w:color w:val="auto"/>
                <w:sz w:val="24"/>
                <w:szCs w:val="24"/>
                <w:lang w:val="en-US" w:eastAsia="zh-CN"/>
              </w:rPr>
              <w:t>（见附件</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4"/>
                <w:lang w:val="en-US" w:eastAsia="zh-CN"/>
              </w:rPr>
              <w:t xml:space="preserve">，因淮安市区港区黄码作业区项目建设占用淮安船闸待泊区，应按照《支持清江浦区推进淮安市区港区黄码作业区项目建设的专题会议纪要》，抓紧组织占用待泊区的补偿建设，保证作业区运营前建成投入使用。目前，黄码作业区码头工程即将建成投产，为保证码头正常投入运营，急需根据苏北处行政许可要求建设锚地补偿工程。 </w:t>
            </w:r>
          </w:p>
          <w:p w14:paraId="53FDB80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为此，</w:t>
            </w:r>
            <w:r>
              <w:rPr>
                <w:rFonts w:hint="default" w:ascii="Times New Roman" w:hAnsi="Times New Roman" w:eastAsia="宋体" w:cs="Times New Roman"/>
                <w:sz w:val="24"/>
                <w:szCs w:val="24"/>
              </w:rPr>
              <w:t>淮安大成港业投资股份有限公司</w:t>
            </w:r>
            <w:r>
              <w:rPr>
                <w:rFonts w:hint="eastAsia" w:ascii="Times New Roman" w:hAnsi="Times New Roman" w:eastAsia="宋体" w:cs="Times New Roman"/>
                <w:sz w:val="24"/>
                <w:szCs w:val="24"/>
                <w:lang w:val="en-US" w:eastAsia="zh-CN"/>
              </w:rPr>
              <w:t>拟投资6000万元建设</w:t>
            </w:r>
            <w:r>
              <w:rPr>
                <w:rFonts w:hint="default" w:ascii="Times New Roman" w:hAnsi="Times New Roman" w:eastAsia="宋体" w:cs="Times New Roman"/>
                <w:sz w:val="24"/>
                <w:szCs w:val="24"/>
                <w:lang w:val="en-US" w:eastAsia="zh-CN"/>
              </w:rPr>
              <w:t>京杭运河淮安段黄码港锚地建设工程</w:t>
            </w:r>
            <w:r>
              <w:rPr>
                <w:rFonts w:hint="eastAsia" w:ascii="Times New Roman" w:hAnsi="Times New Roman" w:eastAsia="宋体" w:cs="Times New Roman"/>
                <w:sz w:val="24"/>
                <w:szCs w:val="24"/>
                <w:lang w:val="en-US" w:eastAsia="zh-CN"/>
              </w:rPr>
              <w:t>。本工程</w:t>
            </w:r>
            <w:r>
              <w:rPr>
                <w:rFonts w:hint="default" w:ascii="Times New Roman" w:hAnsi="Times New Roman" w:eastAsia="宋体" w:cs="Times New Roman"/>
                <w:sz w:val="24"/>
                <w:szCs w:val="24"/>
                <w:lang w:val="en-US" w:eastAsia="zh-CN"/>
              </w:rPr>
              <w:t>位于京杭运河主航道左侧，主要建设内容包含京杭运河淮安锚地扩</w:t>
            </w:r>
            <w:r>
              <w:rPr>
                <w:rFonts w:hint="eastAsia" w:ascii="Times New Roman" w:hAnsi="Times New Roman" w:eastAsia="宋体" w:cs="Times New Roman"/>
                <w:sz w:val="24"/>
                <w:szCs w:val="24"/>
                <w:lang w:val="en-US" w:eastAsia="zh-CN"/>
              </w:rPr>
              <w:t>建及南港岸线疏浚。其中淮安锚地扩建位于苏北运河145至149段，扩建长度为810m，增加2个1拖 6*1000DWT拖带船队泊位。南港岸线疏浚位于苏北运河161至163段，疏浚长度约为900米，疏浚宽度约为40m-80m，疏浚设计水深为4.0m。</w:t>
            </w:r>
          </w:p>
          <w:p w14:paraId="7683453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根据《中华人民共和国</w:t>
            </w:r>
            <w:r>
              <w:rPr>
                <w:rFonts w:hint="eastAsia" w:cs="Times New Roman"/>
                <w:sz w:val="24"/>
                <w:szCs w:val="24"/>
                <w:lang w:val="en-US" w:eastAsia="zh-CN"/>
              </w:rPr>
              <w:t>环境影响评价</w:t>
            </w:r>
            <w:r>
              <w:rPr>
                <w:rFonts w:hint="default" w:ascii="Times New Roman" w:hAnsi="Times New Roman" w:eastAsia="宋体" w:cs="Times New Roman"/>
                <w:sz w:val="24"/>
                <w:szCs w:val="24"/>
              </w:rPr>
              <w:t>法》、《建设项目环境保护管理条例》，</w:t>
            </w:r>
            <w:r>
              <w:rPr>
                <w:rFonts w:hint="eastAsia"/>
                <w:sz w:val="24"/>
                <w:szCs w:val="24"/>
              </w:rPr>
              <w:t>建设项目应当在开工建设前进行环境影响评价</w:t>
            </w:r>
            <w:r>
              <w:rPr>
                <w:rFonts w:hint="default" w:ascii="Times New Roman" w:hAnsi="Times New Roman" w:eastAsia="宋体" w:cs="Times New Roman"/>
                <w:sz w:val="24"/>
                <w:szCs w:val="24"/>
              </w:rPr>
              <w:t>。根据《国民经济行业分类》</w:t>
            </w:r>
            <w:r>
              <w:rPr>
                <w:rFonts w:hint="eastAsia" w:cs="Times New Roman"/>
                <w:sz w:val="24"/>
                <w:szCs w:val="24"/>
                <w:lang w:eastAsia="zh-CN"/>
              </w:rPr>
              <w:t>（</w:t>
            </w:r>
            <w:r>
              <w:rPr>
                <w:rFonts w:hint="default" w:ascii="Times New Roman" w:hAnsi="Times New Roman" w:eastAsia="宋体" w:cs="Times New Roman"/>
                <w:sz w:val="24"/>
                <w:szCs w:val="24"/>
              </w:rPr>
              <w:t>GB/T4754-2017</w:t>
            </w:r>
            <w:r>
              <w:rPr>
                <w:rFonts w:hint="eastAsia" w:cs="Times New Roman"/>
                <w:sz w:val="24"/>
                <w:szCs w:val="24"/>
                <w:lang w:eastAsia="zh-CN"/>
              </w:rPr>
              <w:t>）</w:t>
            </w:r>
            <w:r>
              <w:rPr>
                <w:rFonts w:hint="default" w:ascii="Times New Roman" w:hAnsi="Times New Roman" w:eastAsia="宋体" w:cs="Times New Roman"/>
                <w:sz w:val="24"/>
                <w:szCs w:val="24"/>
              </w:rPr>
              <w:t>，本项目属于</w:t>
            </w:r>
            <w:r>
              <w:rPr>
                <w:rFonts w:hint="eastAsia" w:ascii="微软雅黑" w:hAnsi="微软雅黑" w:eastAsia="微软雅黑" w:cs="微软雅黑"/>
                <w:sz w:val="24"/>
                <w:szCs w:val="24"/>
                <w:lang w:eastAsia="zh-CN"/>
              </w:rPr>
              <w:t>〔</w:t>
            </w:r>
            <w:r>
              <w:rPr>
                <w:rFonts w:hint="default" w:ascii="Times New Roman" w:hAnsi="Times New Roman" w:eastAsia="宋体" w:cs="Times New Roman"/>
                <w:sz w:val="24"/>
                <w:szCs w:val="24"/>
              </w:rPr>
              <w:t>G5539</w:t>
            </w:r>
            <w:r>
              <w:rPr>
                <w:rFonts w:hint="eastAsia" w:ascii="微软雅黑" w:hAnsi="微软雅黑" w:eastAsia="微软雅黑" w:cs="微软雅黑"/>
                <w:sz w:val="24"/>
                <w:szCs w:val="24"/>
                <w:lang w:eastAsia="zh-CN"/>
              </w:rPr>
              <w:t>〕</w:t>
            </w:r>
            <w:r>
              <w:rPr>
                <w:rFonts w:hint="default" w:ascii="Times New Roman" w:hAnsi="Times New Roman" w:eastAsia="宋体" w:cs="Times New Roman"/>
                <w:sz w:val="24"/>
                <w:szCs w:val="24"/>
              </w:rPr>
              <w:t>其他水上辅助运输活动</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对照</w:t>
            </w:r>
            <w:r>
              <w:rPr>
                <w:rFonts w:hint="default" w:ascii="Times New Roman" w:hAnsi="Times New Roman" w:eastAsia="宋体" w:cs="Times New Roman"/>
                <w:sz w:val="24"/>
                <w:szCs w:val="24"/>
              </w:rPr>
              <w:t>《建设项目环境影响评价分类管理名录》（2021年版），本项目属于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五十二、交通运输业、管道运输业中</w:t>
            </w:r>
            <w:r>
              <w:rPr>
                <w:rFonts w:hint="eastAsia" w:ascii="Times New Roman" w:hAnsi="Times New Roman" w:eastAsia="宋体" w:cs="Times New Roman"/>
                <w:sz w:val="24"/>
                <w:szCs w:val="24"/>
                <w:lang w:val="en-US" w:eastAsia="zh-CN"/>
              </w:rPr>
              <w:t>－143、航道工程、水运辅助工程－</w:t>
            </w:r>
            <w:r>
              <w:rPr>
                <w:rFonts w:hint="default" w:ascii="Times New Roman" w:hAnsi="Times New Roman" w:eastAsia="宋体" w:cs="Times New Roman"/>
                <w:sz w:val="24"/>
                <w:szCs w:val="24"/>
              </w:rPr>
              <w:t>其他</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应</w:t>
            </w:r>
            <w:r>
              <w:rPr>
                <w:rFonts w:hint="default" w:ascii="Times New Roman" w:hAnsi="Times New Roman" w:eastAsia="宋体" w:cs="Times New Roman"/>
                <w:sz w:val="24"/>
                <w:szCs w:val="24"/>
              </w:rPr>
              <w:t>编制环境影响报告表，</w:t>
            </w:r>
            <w:r>
              <w:rPr>
                <w:rFonts w:hint="eastAsia" w:cs="Times New Roman"/>
                <w:sz w:val="24"/>
                <w:szCs w:val="24"/>
                <w:lang w:val="en-US" w:eastAsia="zh-CN"/>
              </w:rPr>
              <w:t>同时本项目也属于</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 xml:space="preserve">五十一、水利 </w:t>
            </w:r>
            <w:r>
              <w:rPr>
                <w:rFonts w:hint="default" w:ascii="Times New Roman" w:hAnsi="Times New Roman" w:eastAsia="宋体" w:cs="Times New Roman"/>
                <w:sz w:val="24"/>
                <w:szCs w:val="24"/>
                <w:lang w:val="en-US" w:eastAsia="zh-CN"/>
              </w:rPr>
              <w:t>128</w:t>
            </w:r>
            <w:r>
              <w:rPr>
                <w:rFonts w:hint="eastAsia" w:ascii="Times New Roman" w:hAnsi="Times New Roman" w:eastAsia="宋体" w:cs="Times New Roman"/>
                <w:sz w:val="24"/>
                <w:szCs w:val="24"/>
                <w:lang w:val="en-US" w:eastAsia="zh-CN"/>
              </w:rPr>
              <w:t>河湖整治（不含农村塘堰、水渠）－</w:t>
            </w:r>
            <w:r>
              <w:rPr>
                <w:rFonts w:hint="default" w:ascii="Times New Roman" w:hAnsi="Times New Roman" w:eastAsia="宋体" w:cs="Times New Roman"/>
                <w:sz w:val="24"/>
                <w:szCs w:val="24"/>
              </w:rPr>
              <w:t>其他</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r>
              <w:rPr>
                <w:rFonts w:hint="eastAsia" w:cs="Times New Roman"/>
                <w:sz w:val="24"/>
                <w:szCs w:val="24"/>
                <w:lang w:val="en-US" w:eastAsia="zh-CN"/>
              </w:rPr>
              <w:t>也</w:t>
            </w:r>
            <w:r>
              <w:rPr>
                <w:rFonts w:hint="eastAsia" w:ascii="Times New Roman" w:hAnsi="Times New Roman" w:eastAsia="宋体" w:cs="Times New Roman"/>
                <w:sz w:val="24"/>
                <w:szCs w:val="24"/>
                <w:lang w:val="en-US" w:eastAsia="zh-CN"/>
              </w:rPr>
              <w:t>应</w:t>
            </w:r>
            <w:r>
              <w:rPr>
                <w:rFonts w:hint="default" w:ascii="Times New Roman" w:hAnsi="Times New Roman" w:eastAsia="宋体" w:cs="Times New Roman"/>
                <w:sz w:val="24"/>
                <w:szCs w:val="24"/>
              </w:rPr>
              <w:t>编制环境影响报告表。因此</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淮安大成港业投资股份有限公司委托我单位开展该项目的环境影响评价工作。我单位接受委托后，进行了实地踏勘和资料收集，在工程分析的基础上，编制了本环境影响报告表。</w:t>
            </w:r>
          </w:p>
          <w:p w14:paraId="143AB11B">
            <w:pPr>
              <w:pStyle w:val="157"/>
              <w:keepNext w:val="0"/>
              <w:keepLines w:val="0"/>
              <w:pageBreakBefore w:val="0"/>
              <w:widowControl w:val="0"/>
              <w:kinsoku/>
              <w:wordWrap/>
              <w:overflowPunct/>
              <w:topLinePunct w:val="0"/>
              <w:autoSpaceDE/>
              <w:autoSpaceDN/>
              <w:bidi w:val="0"/>
              <w:adjustRightInd w:val="0"/>
              <w:snapToGrid w:val="0"/>
              <w:spacing w:line="500" w:lineRule="exact"/>
              <w:ind w:left="422" w:firstLine="0" w:firstLineChars="0"/>
              <w:jc w:val="left"/>
              <w:textAlignment w:val="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rPr>
              <w:t>2、项目</w:t>
            </w:r>
            <w:r>
              <w:rPr>
                <w:rFonts w:hint="eastAsia" w:ascii="Times New Roman" w:hAnsi="Times New Roman" w:eastAsia="宋体" w:cs="Times New Roman"/>
                <w:b/>
                <w:sz w:val="24"/>
                <w:szCs w:val="24"/>
                <w:lang w:val="en-US" w:eastAsia="zh-CN"/>
              </w:rPr>
              <w:t>组成及规模</w:t>
            </w:r>
          </w:p>
          <w:p w14:paraId="56E90C0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val="en-US" w:eastAsia="zh-CN"/>
              </w:rPr>
              <w:t>主要建设内容包含京杭运河淮安锚地扩</w:t>
            </w:r>
            <w:r>
              <w:rPr>
                <w:rFonts w:hint="eastAsia" w:ascii="Times New Roman" w:hAnsi="Times New Roman" w:eastAsia="宋体" w:cs="Times New Roman"/>
                <w:sz w:val="24"/>
                <w:szCs w:val="24"/>
                <w:lang w:val="en-US" w:eastAsia="zh-CN"/>
              </w:rPr>
              <w:t>建及南港岸线疏浚两部分。其中淮安锚地扩建位于苏北运河145至149段，扩建长度为810m，增加2个1拖 6*1000DWT拖带船队泊位。南港岸线疏浚位于苏北运河161至163段，疏浚长度约为900米，疏浚宽度约为40m-80m，疏浚设计水深为4.0m。</w:t>
            </w:r>
            <w:r>
              <w:rPr>
                <w:rFonts w:hint="eastAsia" w:cs="Times New Roman"/>
                <w:sz w:val="24"/>
                <w:szCs w:val="24"/>
                <w:lang w:val="en-US" w:eastAsia="zh-CN"/>
              </w:rPr>
              <w:t>本项目不涉及泊岸硬化。</w:t>
            </w:r>
            <w:r>
              <w:rPr>
                <w:rFonts w:hint="eastAsia" w:ascii="Times New Roman" w:hAnsi="Times New Roman" w:eastAsia="宋体" w:cs="Times New Roman"/>
                <w:sz w:val="24"/>
                <w:szCs w:val="24"/>
                <w:lang w:val="en-US" w:eastAsia="zh-CN"/>
              </w:rPr>
              <w:t>具体项目组成见下表所示：</w:t>
            </w:r>
          </w:p>
          <w:p w14:paraId="18757F2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表2-1  本项目工程组成一览表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680"/>
              <w:gridCol w:w="5934"/>
            </w:tblGrid>
            <w:tr w14:paraId="47899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9" w:type="pct"/>
                  <w:tcBorders>
                    <w:tl2br w:val="nil"/>
                    <w:tr2bl w:val="nil"/>
                  </w:tcBorders>
                  <w:vAlign w:val="center"/>
                </w:tcPr>
                <w:p w14:paraId="6E308F7C">
                  <w:pPr>
                    <w:pStyle w:val="1473"/>
                    <w:jc w:val="center"/>
                    <w:rPr>
                      <w:rFonts w:hint="eastAsia" w:ascii="Times New Roman" w:hAnsi="Times New Roman" w:eastAsia="宋体" w:cs="Times New Roman"/>
                      <w:b/>
                      <w:sz w:val="21"/>
                      <w:szCs w:val="21"/>
                      <w:lang w:eastAsia="zh-CN"/>
                    </w:rPr>
                  </w:pPr>
                  <w:r>
                    <w:rPr>
                      <w:rFonts w:hint="eastAsia" w:cs="Times New Roman"/>
                      <w:b/>
                      <w:color w:val="000000"/>
                      <w:sz w:val="21"/>
                      <w:szCs w:val="21"/>
                      <w:lang w:val="en-US" w:eastAsia="zh-CN"/>
                    </w:rPr>
                    <w:t>项目</w:t>
                  </w:r>
                </w:p>
              </w:tc>
              <w:tc>
                <w:tcPr>
                  <w:tcW w:w="951" w:type="pct"/>
                  <w:tcBorders>
                    <w:tl2br w:val="nil"/>
                    <w:tr2bl w:val="nil"/>
                  </w:tcBorders>
                  <w:vAlign w:val="center"/>
                </w:tcPr>
                <w:p w14:paraId="080CCCAC">
                  <w:pPr>
                    <w:pStyle w:val="1473"/>
                    <w:jc w:val="center"/>
                    <w:rPr>
                      <w:rFonts w:hint="eastAsia" w:ascii="Times New Roman" w:hAnsi="Times New Roman" w:eastAsia="宋体" w:cs="Times New Roman"/>
                      <w:b/>
                      <w:sz w:val="21"/>
                      <w:szCs w:val="21"/>
                      <w:lang w:eastAsia="zh-CN"/>
                    </w:rPr>
                  </w:pPr>
                  <w:r>
                    <w:rPr>
                      <w:rFonts w:hint="eastAsia" w:cs="Times New Roman"/>
                      <w:b/>
                      <w:color w:val="000000"/>
                      <w:sz w:val="21"/>
                      <w:szCs w:val="21"/>
                      <w:lang w:val="en-US" w:eastAsia="zh-CN"/>
                    </w:rPr>
                    <w:t>类别</w:t>
                  </w:r>
                </w:p>
              </w:tc>
              <w:tc>
                <w:tcPr>
                  <w:tcW w:w="3359" w:type="pct"/>
                  <w:tcBorders>
                    <w:tl2br w:val="nil"/>
                    <w:tr2bl w:val="nil"/>
                  </w:tcBorders>
                  <w:vAlign w:val="center"/>
                </w:tcPr>
                <w:p w14:paraId="66CD91BC">
                  <w:pPr>
                    <w:pStyle w:val="1473"/>
                    <w:jc w:val="center"/>
                    <w:rPr>
                      <w:rFonts w:hint="default" w:ascii="Times New Roman" w:hAnsi="Times New Roman" w:eastAsia="宋体" w:cs="Times New Roman"/>
                      <w:b/>
                      <w:sz w:val="21"/>
                      <w:szCs w:val="21"/>
                      <w:lang w:val="en-US" w:eastAsia="zh-CN"/>
                    </w:rPr>
                  </w:pPr>
                  <w:r>
                    <w:rPr>
                      <w:rFonts w:hint="eastAsia" w:cs="Times New Roman"/>
                      <w:b/>
                      <w:color w:val="000000"/>
                      <w:sz w:val="21"/>
                      <w:szCs w:val="21"/>
                      <w:lang w:val="en-US" w:eastAsia="zh-CN"/>
                    </w:rPr>
                    <w:t>工程内容</w:t>
                  </w:r>
                </w:p>
              </w:tc>
            </w:tr>
            <w:tr w14:paraId="1D6EB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vMerge w:val="restart"/>
                  <w:tcBorders>
                    <w:tl2br w:val="nil"/>
                    <w:tr2bl w:val="nil"/>
                  </w:tcBorders>
                  <w:vAlign w:val="center"/>
                </w:tcPr>
                <w:p w14:paraId="1F29DB02">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主体工程</w:t>
                  </w:r>
                </w:p>
              </w:tc>
              <w:tc>
                <w:tcPr>
                  <w:tcW w:w="951" w:type="pct"/>
                  <w:tcBorders>
                    <w:tl2br w:val="nil"/>
                    <w:tr2bl w:val="nil"/>
                  </w:tcBorders>
                  <w:vAlign w:val="center"/>
                </w:tcPr>
                <w:p w14:paraId="49C8B208">
                  <w:pPr>
                    <w:adjustRightInd w:val="0"/>
                    <w:snapToGrid w:val="0"/>
                    <w:jc w:val="center"/>
                    <w:rPr>
                      <w:rFonts w:hint="default"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锚地</w:t>
                  </w:r>
                </w:p>
              </w:tc>
              <w:tc>
                <w:tcPr>
                  <w:tcW w:w="3359" w:type="pct"/>
                  <w:tcBorders>
                    <w:tl2br w:val="nil"/>
                    <w:tr2bl w:val="nil"/>
                  </w:tcBorders>
                  <w:vAlign w:val="center"/>
                </w:tcPr>
                <w:p w14:paraId="48285839">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锚地长度810m，上游段新建364m，利用翼墙36m；下游段新建374m，利用翼墙36m</w:t>
                  </w:r>
                </w:p>
              </w:tc>
            </w:tr>
            <w:tr w14:paraId="3FFCA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vMerge w:val="continue"/>
                  <w:tcBorders>
                    <w:tl2br w:val="nil"/>
                    <w:tr2bl w:val="nil"/>
                  </w:tcBorders>
                  <w:vAlign w:val="center"/>
                </w:tcPr>
                <w:p w14:paraId="011ED2D9">
                  <w:pPr>
                    <w:adjustRightInd w:val="0"/>
                    <w:snapToGrid w:val="0"/>
                    <w:jc w:val="center"/>
                    <w:rPr>
                      <w:rFonts w:hint="eastAsia" w:ascii="Times New Roman" w:hAnsi="Times New Roman" w:eastAsia="宋体" w:cs="Times New Roman"/>
                      <w:bCs/>
                      <w:sz w:val="21"/>
                      <w:szCs w:val="21"/>
                      <w:lang w:val="en-US" w:eastAsia="zh-CN"/>
                    </w:rPr>
                  </w:pPr>
                </w:p>
              </w:tc>
              <w:tc>
                <w:tcPr>
                  <w:tcW w:w="951" w:type="pct"/>
                  <w:tcBorders>
                    <w:tl2br w:val="nil"/>
                    <w:tr2bl w:val="nil"/>
                  </w:tcBorders>
                  <w:vAlign w:val="center"/>
                </w:tcPr>
                <w:p w14:paraId="75BD4752">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疏浚</w:t>
                  </w:r>
                </w:p>
              </w:tc>
              <w:tc>
                <w:tcPr>
                  <w:tcW w:w="3359" w:type="pct"/>
                  <w:tcBorders>
                    <w:tl2br w:val="nil"/>
                    <w:tr2bl w:val="nil"/>
                  </w:tcBorders>
                  <w:vAlign w:val="center"/>
                </w:tcPr>
                <w:p w14:paraId="2555CF69">
                  <w:pPr>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lang w:val="en-US" w:eastAsia="zh-CN"/>
                    </w:rPr>
                    <w:t>锚地前沿至航道中心线之间按照锚地前沿设计底高程4.33m进行疏浚，疏浚工程量约为14万m³；</w:t>
                  </w:r>
                  <w:r>
                    <w:rPr>
                      <w:rFonts w:hint="default" w:ascii="Times New Roman" w:hAnsi="Times New Roman" w:eastAsia="宋体" w:cs="Times New Roman"/>
                      <w:bCs/>
                      <w:sz w:val="21"/>
                      <w:szCs w:val="21"/>
                      <w:lang w:val="en-US" w:eastAsia="zh-CN"/>
                    </w:rPr>
                    <w:t>南港疏浚尺寸994×</w:t>
                  </w:r>
                  <w:r>
                    <w:rPr>
                      <w:rFonts w:hint="default" w:ascii="Times New Roman" w:hAnsi="Times New Roman" w:eastAsia="宋体" w:cs="Times New Roman"/>
                      <w:sz w:val="21"/>
                      <w:szCs w:val="21"/>
                      <w:lang w:val="en-US" w:eastAsia="zh-CN"/>
                    </w:rPr>
                    <w:t>40m-80m</w:t>
                  </w:r>
                  <w:r>
                    <w:rPr>
                      <w:rFonts w:hint="default" w:ascii="Times New Roman" w:hAnsi="Times New Roman" w:eastAsia="宋体" w:cs="Times New Roman"/>
                      <w:bCs/>
                      <w:sz w:val="21"/>
                      <w:szCs w:val="21"/>
                      <w:lang w:val="en-US" w:eastAsia="zh-CN"/>
                    </w:rPr>
                    <w:t>，疏浚后水深不小于4.0m，</w:t>
                  </w:r>
                  <w:r>
                    <w:rPr>
                      <w:rFonts w:hint="default" w:ascii="Times New Roman" w:hAnsi="Times New Roman" w:eastAsia="宋体" w:cs="Times New Roman"/>
                      <w:sz w:val="21"/>
                      <w:szCs w:val="21"/>
                      <w:lang w:val="en-US" w:eastAsia="zh-CN"/>
                    </w:rPr>
                    <w:t>疏浚工程量约为12万m³</w:t>
                  </w:r>
                </w:p>
              </w:tc>
            </w:tr>
            <w:tr w14:paraId="66357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vMerge w:val="restart"/>
                  <w:tcBorders>
                    <w:tl2br w:val="nil"/>
                    <w:tr2bl w:val="nil"/>
                  </w:tcBorders>
                  <w:vAlign w:val="center"/>
                </w:tcPr>
                <w:p w14:paraId="1FA3C318">
                  <w:pPr>
                    <w:adjustRightInd w:val="0"/>
                    <w:snapToGrid w:val="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公辅</w:t>
                  </w:r>
                  <w:r>
                    <w:rPr>
                      <w:rFonts w:hint="eastAsia" w:ascii="Times New Roman" w:hAnsi="Times New Roman" w:eastAsia="宋体" w:cs="Times New Roman"/>
                      <w:bCs/>
                      <w:sz w:val="21"/>
                      <w:szCs w:val="21"/>
                      <w:lang w:val="en-US" w:eastAsia="zh-CN"/>
                    </w:rPr>
                    <w:t>工程</w:t>
                  </w:r>
                </w:p>
              </w:tc>
              <w:tc>
                <w:tcPr>
                  <w:tcW w:w="951" w:type="pct"/>
                  <w:tcBorders>
                    <w:tl2br w:val="nil"/>
                    <w:tr2bl w:val="nil"/>
                  </w:tcBorders>
                  <w:vAlign w:val="center"/>
                </w:tcPr>
                <w:p w14:paraId="4CF73515">
                  <w:pPr>
                    <w:adjustRightInd w:val="0"/>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道路</w:t>
                  </w:r>
                </w:p>
              </w:tc>
              <w:tc>
                <w:tcPr>
                  <w:tcW w:w="3359" w:type="pct"/>
                  <w:tcBorders>
                    <w:tl2br w:val="nil"/>
                    <w:tr2bl w:val="nil"/>
                  </w:tcBorders>
                  <w:vAlign w:val="center"/>
                </w:tcPr>
                <w:p w14:paraId="4C6F1ADB">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道路宽度2.5m，后方道路设计方案与已建淮安锚地一致，将已建道路向上下游延伸</w:t>
                  </w:r>
                </w:p>
              </w:tc>
            </w:tr>
            <w:tr w14:paraId="3AF75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vMerge w:val="continue"/>
                  <w:tcBorders>
                    <w:tl2br w:val="nil"/>
                    <w:tr2bl w:val="nil"/>
                  </w:tcBorders>
                  <w:vAlign w:val="center"/>
                </w:tcPr>
                <w:p w14:paraId="7F83BC9F">
                  <w:pPr>
                    <w:adjustRightInd w:val="0"/>
                    <w:snapToGrid w:val="0"/>
                    <w:jc w:val="center"/>
                    <w:rPr>
                      <w:rFonts w:hint="eastAsia" w:ascii="Times New Roman" w:hAnsi="Times New Roman" w:eastAsia="宋体" w:cs="Times New Roman"/>
                      <w:bCs/>
                      <w:sz w:val="21"/>
                      <w:szCs w:val="21"/>
                      <w:lang w:val="en-US" w:eastAsia="zh-CN"/>
                    </w:rPr>
                  </w:pPr>
                </w:p>
              </w:tc>
              <w:tc>
                <w:tcPr>
                  <w:tcW w:w="951" w:type="pct"/>
                  <w:tcBorders>
                    <w:tl2br w:val="nil"/>
                    <w:tr2bl w:val="nil"/>
                  </w:tcBorders>
                  <w:vAlign w:val="center"/>
                </w:tcPr>
                <w:p w14:paraId="78C59360">
                  <w:pPr>
                    <w:adjustRightInd w:val="0"/>
                    <w:snapToGrid w:val="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岸电</w:t>
                  </w:r>
                </w:p>
              </w:tc>
              <w:tc>
                <w:tcPr>
                  <w:tcW w:w="3359" w:type="pct"/>
                  <w:tcBorders>
                    <w:tl2br w:val="nil"/>
                    <w:tr2bl w:val="nil"/>
                  </w:tcBorders>
                  <w:vAlign w:val="center"/>
                </w:tcPr>
                <w:p w14:paraId="61836503">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sz w:val="21"/>
                      <w:szCs w:val="21"/>
                      <w:lang w:val="en-US" w:eastAsia="zh-CN"/>
                    </w:rPr>
                    <w:t>设置6处船舶岸电桩</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设备容量考虑为40kW/岸电桩，电压等级为380V</w:t>
                  </w:r>
                </w:p>
              </w:tc>
            </w:tr>
            <w:tr w14:paraId="4BA10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vMerge w:val="continue"/>
                  <w:tcBorders>
                    <w:tl2br w:val="nil"/>
                    <w:tr2bl w:val="nil"/>
                  </w:tcBorders>
                  <w:vAlign w:val="center"/>
                </w:tcPr>
                <w:p w14:paraId="3B582BB8">
                  <w:pPr>
                    <w:adjustRightInd w:val="0"/>
                    <w:snapToGrid w:val="0"/>
                    <w:jc w:val="center"/>
                    <w:rPr>
                      <w:rFonts w:hint="eastAsia" w:ascii="Times New Roman" w:hAnsi="Times New Roman" w:eastAsia="宋体" w:cs="Times New Roman"/>
                      <w:bCs/>
                      <w:sz w:val="21"/>
                      <w:szCs w:val="21"/>
                      <w:lang w:val="en-US" w:eastAsia="zh-CN"/>
                    </w:rPr>
                  </w:pPr>
                </w:p>
              </w:tc>
              <w:tc>
                <w:tcPr>
                  <w:tcW w:w="951" w:type="pct"/>
                  <w:tcBorders>
                    <w:tl2br w:val="nil"/>
                    <w:tr2bl w:val="nil"/>
                  </w:tcBorders>
                  <w:vAlign w:val="center"/>
                </w:tcPr>
                <w:p w14:paraId="5B0B41ED">
                  <w:pPr>
                    <w:adjustRightInd w:val="0"/>
                    <w:snapToGrid w:val="0"/>
                    <w:jc w:val="center"/>
                    <w:rPr>
                      <w:rFonts w:hint="default" w:cs="Times New Roman"/>
                      <w:bCs/>
                      <w:sz w:val="21"/>
                      <w:szCs w:val="21"/>
                      <w:lang w:val="en-US" w:eastAsia="zh-CN"/>
                    </w:rPr>
                  </w:pPr>
                  <w:r>
                    <w:rPr>
                      <w:rFonts w:hint="eastAsia" w:cs="Times New Roman"/>
                      <w:bCs/>
                      <w:sz w:val="21"/>
                      <w:szCs w:val="21"/>
                      <w:lang w:val="en-US" w:eastAsia="zh-CN"/>
                    </w:rPr>
                    <w:t>给水</w:t>
                  </w:r>
                </w:p>
              </w:tc>
              <w:tc>
                <w:tcPr>
                  <w:tcW w:w="3359" w:type="pct"/>
                  <w:tcBorders>
                    <w:tl2br w:val="nil"/>
                    <w:tr2bl w:val="nil"/>
                  </w:tcBorders>
                  <w:vAlign w:val="center"/>
                </w:tcPr>
                <w:p w14:paraId="7A055D6A">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供水系统</w:t>
                  </w:r>
                  <w:r>
                    <w:rPr>
                      <w:rFonts w:hint="eastAsia" w:ascii="Times New Roman" w:hAnsi="Times New Roman" w:eastAsia="宋体" w:cs="Times New Roman"/>
                      <w:bCs/>
                      <w:sz w:val="21"/>
                      <w:szCs w:val="21"/>
                      <w:lang w:val="en-US" w:eastAsia="zh-CN"/>
                    </w:rPr>
                    <w:t>由自来水管网供给</w:t>
                  </w:r>
                </w:p>
              </w:tc>
            </w:tr>
            <w:tr w14:paraId="713CD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vMerge w:val="continue"/>
                  <w:tcBorders>
                    <w:tl2br w:val="nil"/>
                    <w:tr2bl w:val="nil"/>
                  </w:tcBorders>
                  <w:vAlign w:val="center"/>
                </w:tcPr>
                <w:p w14:paraId="1CE62B8B">
                  <w:pPr>
                    <w:adjustRightInd w:val="0"/>
                    <w:snapToGrid w:val="0"/>
                    <w:jc w:val="center"/>
                    <w:rPr>
                      <w:rFonts w:hint="eastAsia" w:ascii="Times New Roman" w:hAnsi="Times New Roman" w:eastAsia="宋体" w:cs="Times New Roman"/>
                      <w:bCs/>
                      <w:sz w:val="21"/>
                      <w:szCs w:val="21"/>
                      <w:lang w:val="en-US" w:eastAsia="zh-CN"/>
                    </w:rPr>
                  </w:pPr>
                </w:p>
              </w:tc>
              <w:tc>
                <w:tcPr>
                  <w:tcW w:w="951" w:type="pct"/>
                  <w:tcBorders>
                    <w:tl2br w:val="nil"/>
                    <w:tr2bl w:val="nil"/>
                  </w:tcBorders>
                  <w:vAlign w:val="center"/>
                </w:tcPr>
                <w:p w14:paraId="4B47C6BF">
                  <w:pPr>
                    <w:adjustRightInd w:val="0"/>
                    <w:snapToGrid w:val="0"/>
                    <w:jc w:val="center"/>
                    <w:rPr>
                      <w:rFonts w:hint="default" w:cs="Times New Roman"/>
                      <w:bCs/>
                      <w:sz w:val="21"/>
                      <w:szCs w:val="21"/>
                      <w:lang w:val="en-US" w:eastAsia="zh-CN"/>
                    </w:rPr>
                  </w:pPr>
                  <w:r>
                    <w:rPr>
                      <w:rFonts w:hint="eastAsia" w:cs="Times New Roman"/>
                      <w:bCs/>
                      <w:sz w:val="21"/>
                      <w:szCs w:val="21"/>
                      <w:lang w:val="en-US" w:eastAsia="zh-CN"/>
                    </w:rPr>
                    <w:t>排水</w:t>
                  </w:r>
                </w:p>
              </w:tc>
              <w:tc>
                <w:tcPr>
                  <w:tcW w:w="3359" w:type="pct"/>
                  <w:tcBorders>
                    <w:tl2br w:val="nil"/>
                    <w:tr2bl w:val="nil"/>
                  </w:tcBorders>
                  <w:vAlign w:val="center"/>
                </w:tcPr>
                <w:p w14:paraId="70C2F337">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雨污分流</w:t>
                  </w:r>
                  <w:r>
                    <w:rPr>
                      <w:rFonts w:hint="eastAsia" w:cs="Times New Roman"/>
                      <w:bCs/>
                      <w:sz w:val="21"/>
                      <w:szCs w:val="21"/>
                      <w:lang w:val="en-US" w:eastAsia="zh-CN"/>
                    </w:rPr>
                    <w:t>，污水经收集后外运处理</w:t>
                  </w:r>
                </w:p>
              </w:tc>
            </w:tr>
            <w:tr w14:paraId="56D9B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vMerge w:val="restart"/>
                  <w:tcBorders>
                    <w:tl2br w:val="nil"/>
                    <w:tr2bl w:val="nil"/>
                  </w:tcBorders>
                  <w:vAlign w:val="center"/>
                </w:tcPr>
                <w:p w14:paraId="3525F834">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环保工程</w:t>
                  </w:r>
                </w:p>
              </w:tc>
              <w:tc>
                <w:tcPr>
                  <w:tcW w:w="951" w:type="pct"/>
                  <w:tcBorders>
                    <w:tl2br w:val="nil"/>
                    <w:tr2bl w:val="nil"/>
                  </w:tcBorders>
                  <w:vAlign w:val="center"/>
                </w:tcPr>
                <w:p w14:paraId="5EA0E514">
                  <w:pPr>
                    <w:adjustRightInd w:val="0"/>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废气</w:t>
                  </w:r>
                </w:p>
              </w:tc>
              <w:tc>
                <w:tcPr>
                  <w:tcW w:w="3359" w:type="pct"/>
                  <w:tcBorders>
                    <w:tl2br w:val="nil"/>
                    <w:tr2bl w:val="nil"/>
                  </w:tcBorders>
                  <w:vAlign w:val="center"/>
                </w:tcPr>
                <w:p w14:paraId="31B2899D">
                  <w:pPr>
                    <w:adjustRightInd w:val="0"/>
                    <w:snapToGrid w:val="0"/>
                    <w:jc w:val="left"/>
                    <w:rPr>
                      <w:rFonts w:hint="eastAsia" w:cs="Times New Roman"/>
                      <w:bCs/>
                      <w:sz w:val="21"/>
                      <w:szCs w:val="21"/>
                      <w:lang w:val="en-US" w:eastAsia="zh-CN"/>
                    </w:rPr>
                  </w:pPr>
                  <w:r>
                    <w:rPr>
                      <w:rFonts w:hint="eastAsia" w:cs="Times New Roman"/>
                      <w:b/>
                      <w:bCs w:val="0"/>
                      <w:sz w:val="21"/>
                      <w:szCs w:val="21"/>
                      <w:lang w:val="en-US" w:eastAsia="zh-CN"/>
                    </w:rPr>
                    <w:t>施工期：</w:t>
                  </w:r>
                  <w:r>
                    <w:rPr>
                      <w:rFonts w:hint="eastAsia" w:cs="Times New Roman"/>
                      <w:bCs/>
                      <w:sz w:val="21"/>
                      <w:szCs w:val="21"/>
                      <w:lang w:val="en-US" w:eastAsia="zh-CN"/>
                    </w:rPr>
                    <w:t>施工扬尘进行湿式作业，必要时洒水降尘；</w:t>
                  </w:r>
                </w:p>
                <w:p w14:paraId="7FB7C475">
                  <w:pPr>
                    <w:adjustRightInd w:val="0"/>
                    <w:snapToGrid w:val="0"/>
                    <w:jc w:val="left"/>
                    <w:rPr>
                      <w:rFonts w:hint="eastAsia" w:cs="Times New Roman"/>
                      <w:bCs/>
                      <w:sz w:val="21"/>
                      <w:szCs w:val="21"/>
                      <w:lang w:eastAsia="zh-CN"/>
                    </w:rPr>
                  </w:pPr>
                  <w:r>
                    <w:rPr>
                      <w:rFonts w:hint="eastAsia"/>
                      <w:color w:val="auto"/>
                      <w:kern w:val="0"/>
                      <w:szCs w:val="28"/>
                    </w:rPr>
                    <w:t>施工机械设备废气、运输车辆尾气和施工船舶废气</w:t>
                  </w:r>
                  <w:r>
                    <w:rPr>
                      <w:rFonts w:hint="default" w:ascii="Times New Roman" w:hAnsi="Times New Roman" w:eastAsia="宋体" w:cs="Times New Roman"/>
                      <w:bCs/>
                      <w:sz w:val="21"/>
                      <w:szCs w:val="21"/>
                    </w:rPr>
                    <w:t>选用符合环保要求的施工船舶</w:t>
                  </w:r>
                  <w:r>
                    <w:rPr>
                      <w:rFonts w:hint="eastAsia" w:cs="Times New Roman"/>
                      <w:bCs/>
                      <w:sz w:val="21"/>
                      <w:szCs w:val="21"/>
                      <w:lang w:eastAsia="zh-CN"/>
                    </w:rPr>
                    <w:t>、</w:t>
                  </w:r>
                  <w:r>
                    <w:rPr>
                      <w:rFonts w:hint="eastAsia"/>
                      <w:color w:val="auto"/>
                      <w:kern w:val="0"/>
                      <w:szCs w:val="28"/>
                    </w:rPr>
                    <w:t>机械设备、运输车辆</w:t>
                  </w:r>
                  <w:r>
                    <w:rPr>
                      <w:rFonts w:hint="default" w:ascii="Times New Roman" w:hAnsi="Times New Roman" w:eastAsia="宋体" w:cs="Times New Roman"/>
                      <w:bCs/>
                      <w:sz w:val="21"/>
                      <w:szCs w:val="21"/>
                    </w:rPr>
                    <w:t>和燃料，</w:t>
                  </w:r>
                  <w:r>
                    <w:rPr>
                      <w:rFonts w:hint="eastAsia" w:cs="Times New Roman"/>
                      <w:bCs/>
                      <w:sz w:val="21"/>
                      <w:szCs w:val="21"/>
                      <w:lang w:eastAsia="zh-CN"/>
                    </w:rPr>
                    <w:t>减少</w:t>
                  </w:r>
                  <w:r>
                    <w:rPr>
                      <w:rFonts w:hint="eastAsia" w:cs="Times New Roman"/>
                      <w:bCs/>
                      <w:sz w:val="21"/>
                      <w:szCs w:val="21"/>
                      <w:lang w:val="en-US" w:eastAsia="zh-CN"/>
                    </w:rPr>
                    <w:t>废气</w:t>
                  </w:r>
                  <w:r>
                    <w:rPr>
                      <w:rFonts w:hint="default" w:ascii="Times New Roman" w:hAnsi="Times New Roman" w:eastAsia="宋体" w:cs="Times New Roman"/>
                      <w:bCs/>
                      <w:sz w:val="21"/>
                      <w:szCs w:val="21"/>
                    </w:rPr>
                    <w:t>影响</w:t>
                  </w:r>
                  <w:r>
                    <w:rPr>
                      <w:rFonts w:hint="eastAsia" w:cs="Times New Roman"/>
                      <w:bCs/>
                      <w:sz w:val="21"/>
                      <w:szCs w:val="21"/>
                      <w:lang w:eastAsia="zh-CN"/>
                    </w:rPr>
                    <w:t>。</w:t>
                  </w:r>
                </w:p>
                <w:p w14:paraId="2353B39B">
                  <w:pPr>
                    <w:adjustRightInd w:val="0"/>
                    <w:snapToGrid w:val="0"/>
                    <w:jc w:val="left"/>
                    <w:rPr>
                      <w:rFonts w:hint="default" w:eastAsia="宋体" w:cs="Times New Roman"/>
                      <w:bCs/>
                      <w:sz w:val="21"/>
                      <w:szCs w:val="21"/>
                      <w:lang w:val="en-US" w:eastAsia="zh-CN"/>
                    </w:rPr>
                  </w:pPr>
                  <w:r>
                    <w:rPr>
                      <w:rFonts w:hint="eastAsia" w:cs="Times New Roman"/>
                      <w:b/>
                      <w:bCs w:val="0"/>
                      <w:sz w:val="21"/>
                      <w:szCs w:val="21"/>
                      <w:lang w:val="en-US" w:eastAsia="zh-CN"/>
                    </w:rPr>
                    <w:t>运营期：</w:t>
                  </w:r>
                  <w:r>
                    <w:rPr>
                      <w:rFonts w:hint="eastAsia" w:cs="Times New Roman"/>
                      <w:b w:val="0"/>
                      <w:bCs/>
                      <w:sz w:val="21"/>
                      <w:szCs w:val="21"/>
                      <w:lang w:val="en-US" w:eastAsia="zh-CN"/>
                    </w:rPr>
                    <w:t>进港船舶</w:t>
                  </w:r>
                  <w:r>
                    <w:rPr>
                      <w:rFonts w:hint="default" w:ascii="Times New Roman" w:hAnsi="Times New Roman" w:eastAsia="宋体" w:cs="Times New Roman"/>
                      <w:bCs/>
                      <w:sz w:val="21"/>
                      <w:szCs w:val="21"/>
                    </w:rPr>
                    <w:t>选用符合环保要求的燃料</w:t>
                  </w:r>
                  <w:r>
                    <w:rPr>
                      <w:rFonts w:hint="eastAsia" w:cs="Times New Roman"/>
                      <w:bCs/>
                      <w:sz w:val="21"/>
                      <w:szCs w:val="21"/>
                      <w:lang w:eastAsia="zh-CN"/>
                    </w:rPr>
                    <w:t>，</w:t>
                  </w:r>
                  <w:r>
                    <w:rPr>
                      <w:rFonts w:hint="eastAsia" w:cs="Times New Roman"/>
                      <w:bCs/>
                      <w:sz w:val="21"/>
                      <w:szCs w:val="21"/>
                      <w:lang w:val="en-US" w:eastAsia="zh-CN"/>
                    </w:rPr>
                    <w:t>优先使用岸电。</w:t>
                  </w:r>
                </w:p>
              </w:tc>
            </w:tr>
            <w:tr w14:paraId="1F72E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vMerge w:val="continue"/>
                  <w:tcBorders>
                    <w:tl2br w:val="nil"/>
                    <w:tr2bl w:val="nil"/>
                  </w:tcBorders>
                  <w:vAlign w:val="center"/>
                </w:tcPr>
                <w:p w14:paraId="2B6F7E5C">
                  <w:pPr>
                    <w:adjustRightInd w:val="0"/>
                    <w:snapToGrid w:val="0"/>
                    <w:jc w:val="center"/>
                    <w:rPr>
                      <w:rFonts w:hint="eastAsia" w:ascii="Times New Roman" w:hAnsi="Times New Roman" w:eastAsia="宋体" w:cs="Times New Roman"/>
                      <w:bCs/>
                      <w:sz w:val="21"/>
                      <w:szCs w:val="21"/>
                      <w:lang w:val="en-US" w:eastAsia="zh-CN"/>
                    </w:rPr>
                  </w:pPr>
                </w:p>
              </w:tc>
              <w:tc>
                <w:tcPr>
                  <w:tcW w:w="951" w:type="pct"/>
                  <w:tcBorders>
                    <w:tl2br w:val="nil"/>
                    <w:tr2bl w:val="nil"/>
                  </w:tcBorders>
                  <w:vAlign w:val="center"/>
                </w:tcPr>
                <w:p w14:paraId="328C1854">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废水</w:t>
                  </w:r>
                </w:p>
              </w:tc>
              <w:tc>
                <w:tcPr>
                  <w:tcW w:w="3359" w:type="pct"/>
                  <w:tcBorders>
                    <w:tl2br w:val="nil"/>
                    <w:tr2bl w:val="nil"/>
                  </w:tcBorders>
                  <w:vAlign w:val="center"/>
                </w:tcPr>
                <w:p w14:paraId="219FBE75">
                  <w:pPr>
                    <w:keepNext w:val="0"/>
                    <w:keepLines w:val="0"/>
                    <w:widowControl/>
                    <w:suppressLineNumbers w:val="0"/>
                    <w:jc w:val="left"/>
                    <w:rPr>
                      <w:rFonts w:hint="default" w:ascii="Times New Roman" w:hAnsi="Times New Roman" w:eastAsia="宋体" w:cs="Times New Roman"/>
                      <w:bCs/>
                      <w:sz w:val="21"/>
                      <w:szCs w:val="21"/>
                    </w:rPr>
                  </w:pPr>
                  <w:r>
                    <w:rPr>
                      <w:rFonts w:hint="default" w:ascii="Times New Roman" w:hAnsi="Times New Roman" w:eastAsia="宋体" w:cs="Times New Roman"/>
                      <w:b/>
                      <w:bCs w:val="0"/>
                      <w:sz w:val="21"/>
                      <w:szCs w:val="21"/>
                    </w:rPr>
                    <w:t>施工期</w:t>
                  </w:r>
                  <w:r>
                    <w:rPr>
                      <w:rFonts w:hint="eastAsia" w:cs="Times New Roman"/>
                      <w:b/>
                      <w:bCs w:val="0"/>
                      <w:sz w:val="21"/>
                      <w:szCs w:val="21"/>
                      <w:lang w:eastAsia="zh-CN"/>
                    </w:rPr>
                    <w:t>：</w:t>
                  </w:r>
                  <w:r>
                    <w:rPr>
                      <w:rFonts w:hint="eastAsia" w:cs="Times New Roman"/>
                      <w:b w:val="0"/>
                      <w:bCs/>
                      <w:sz w:val="21"/>
                      <w:szCs w:val="21"/>
                      <w:lang w:eastAsia="zh-CN"/>
                    </w:rPr>
                    <w:t>优化施工设备和工艺，</w:t>
                  </w:r>
                  <w:r>
                    <w:rPr>
                      <w:rFonts w:hint="eastAsia" w:cs="Times New Roman"/>
                      <w:bCs/>
                      <w:sz w:val="21"/>
                      <w:szCs w:val="21"/>
                      <w:lang w:val="en-US" w:eastAsia="zh-CN"/>
                    </w:rPr>
                    <w:t>采用选用对水质影响小的施工船舶和施工方式</w:t>
                  </w:r>
                  <w:r>
                    <w:rPr>
                      <w:rFonts w:hint="eastAsia" w:cs="Times New Roman"/>
                      <w:b w:val="0"/>
                      <w:bCs/>
                      <w:sz w:val="21"/>
                      <w:szCs w:val="21"/>
                      <w:lang w:val="en-US" w:eastAsia="zh-CN"/>
                    </w:rPr>
                    <w:t>；</w:t>
                  </w:r>
                  <w:r>
                    <w:rPr>
                      <w:rFonts w:hint="eastAsia" w:cs="Times New Roman"/>
                      <w:bCs/>
                      <w:sz w:val="21"/>
                      <w:szCs w:val="21"/>
                      <w:lang w:val="en-US" w:eastAsia="zh-CN"/>
                    </w:rPr>
                    <w:t>船舶生活污水</w:t>
                  </w:r>
                  <w:r>
                    <w:rPr>
                      <w:rFonts w:hint="eastAsia" w:ascii="仿宋_GB2312" w:hAnsi="宋体" w:cs="宋体"/>
                      <w:color w:val="auto"/>
                      <w:kern w:val="0"/>
                      <w:sz w:val="21"/>
                      <w:szCs w:val="21"/>
                    </w:rPr>
                    <w:t>由具备相应作业资质的污水接收船接收处理，运送到岸上集中处理</w:t>
                  </w:r>
                  <w:r>
                    <w:rPr>
                      <w:rFonts w:hint="eastAsia" w:ascii="仿宋_GB2312" w:hAnsi="宋体" w:cs="宋体"/>
                      <w:color w:val="auto"/>
                      <w:kern w:val="0"/>
                      <w:sz w:val="21"/>
                      <w:szCs w:val="21"/>
                      <w:lang w:eastAsia="zh-CN"/>
                    </w:rPr>
                    <w:t>；</w:t>
                  </w:r>
                  <w:r>
                    <w:rPr>
                      <w:rFonts w:hint="eastAsia" w:ascii="仿宋_GB2312" w:hAnsi="宋体" w:cs="宋体"/>
                      <w:color w:val="auto"/>
                      <w:kern w:val="0"/>
                      <w:sz w:val="21"/>
                      <w:szCs w:val="21"/>
                      <w:lang w:val="en-US" w:eastAsia="zh-CN"/>
                    </w:rPr>
                    <w:t>船舶含油污水</w:t>
                  </w:r>
                  <w:r>
                    <w:rPr>
                      <w:rFonts w:hint="eastAsia"/>
                      <w:color w:val="auto"/>
                      <w:kern w:val="0"/>
                      <w:sz w:val="21"/>
                      <w:szCs w:val="21"/>
                    </w:rPr>
                    <w:t>由当地交通运输部门认可的有资质的</w:t>
                  </w:r>
                  <w:r>
                    <w:rPr>
                      <w:rFonts w:hint="eastAsia"/>
                      <w:color w:val="auto"/>
                      <w:kern w:val="0"/>
                      <w:sz w:val="21"/>
                      <w:szCs w:val="21"/>
                      <w:lang w:val="en-US" w:eastAsia="zh-CN"/>
                    </w:rPr>
                    <w:t>单位</w:t>
                  </w:r>
                  <w:r>
                    <w:rPr>
                      <w:rFonts w:hint="eastAsia"/>
                      <w:color w:val="auto"/>
                      <w:kern w:val="0"/>
                      <w:sz w:val="21"/>
                      <w:szCs w:val="21"/>
                    </w:rPr>
                    <w:t>接收处理</w:t>
                  </w:r>
                  <w:r>
                    <w:rPr>
                      <w:rFonts w:hint="eastAsia"/>
                      <w:color w:val="auto"/>
                      <w:kern w:val="0"/>
                      <w:sz w:val="21"/>
                      <w:szCs w:val="21"/>
                      <w:lang w:eastAsia="zh-CN"/>
                    </w:rPr>
                    <w:t>；</w:t>
                  </w:r>
                  <w:r>
                    <w:rPr>
                      <w:rFonts w:hint="eastAsia" w:ascii="仿宋_GB2312" w:hAnsi="宋体" w:cs="宋体"/>
                      <w:color w:val="auto"/>
                      <w:kern w:val="0"/>
                      <w:sz w:val="21"/>
                      <w:szCs w:val="21"/>
                      <w:lang w:val="en-US" w:eastAsia="zh-CN"/>
                    </w:rPr>
                    <w:t>陆域施工人员生活依托当地居民设施，陆域生活污水接管市政污水管网</w:t>
                  </w:r>
                  <w:r>
                    <w:rPr>
                      <w:rFonts w:hint="default" w:ascii="Times New Roman" w:hAnsi="Times New Roman" w:eastAsia="宋体" w:cs="Times New Roman"/>
                      <w:bCs/>
                      <w:sz w:val="21"/>
                      <w:szCs w:val="21"/>
                    </w:rPr>
                    <w:t>。</w:t>
                  </w:r>
                </w:p>
                <w:p w14:paraId="1E188E5A">
                  <w:pPr>
                    <w:keepNext w:val="0"/>
                    <w:keepLines w:val="0"/>
                    <w:widowControl/>
                    <w:suppressLineNumbers w:val="0"/>
                    <w:jc w:val="left"/>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bCs w:val="0"/>
                      <w:sz w:val="21"/>
                      <w:szCs w:val="21"/>
                    </w:rPr>
                    <w:t>运营期</w:t>
                  </w:r>
                  <w:r>
                    <w:rPr>
                      <w:rFonts w:hint="eastAsia" w:cs="Times New Roman"/>
                      <w:b/>
                      <w:bCs w:val="0"/>
                      <w:sz w:val="21"/>
                      <w:szCs w:val="21"/>
                      <w:lang w:eastAsia="zh-CN"/>
                    </w:rPr>
                    <w:t>：</w:t>
                  </w:r>
                  <w:r>
                    <w:rPr>
                      <w:rFonts w:hint="eastAsia" w:cs="Times New Roman"/>
                      <w:bCs/>
                      <w:sz w:val="21"/>
                      <w:szCs w:val="21"/>
                      <w:lang w:val="en-US" w:eastAsia="zh-CN"/>
                    </w:rPr>
                    <w:t>船舶生活污水经</w:t>
                  </w:r>
                  <w:r>
                    <w:rPr>
                      <w:rFonts w:ascii="CIDFont" w:hAnsi="CIDFont" w:eastAsia="CIDFont" w:cs="CIDFont"/>
                      <w:color w:val="000000"/>
                      <w:kern w:val="0"/>
                      <w:sz w:val="21"/>
                      <w:szCs w:val="21"/>
                      <w:lang w:val="en-US" w:eastAsia="zh-CN" w:bidi="ar"/>
                    </w:rPr>
                    <w:t>锚地后沿</w:t>
                  </w:r>
                  <w:r>
                    <w:rPr>
                      <w:rFonts w:hint="eastAsia" w:ascii="CIDFont" w:hAnsi="CIDFont" w:eastAsia="CIDFont" w:cs="CIDFont"/>
                      <w:color w:val="000000"/>
                      <w:kern w:val="0"/>
                      <w:sz w:val="21"/>
                      <w:szCs w:val="21"/>
                      <w:lang w:val="en-US" w:eastAsia="zh-CN" w:bidi="ar"/>
                    </w:rPr>
                    <w:t>污水箱（</w:t>
                  </w:r>
                  <w:r>
                    <w:rPr>
                      <w:rFonts w:hint="eastAsia" w:cs="Times New Roman"/>
                      <w:sz w:val="21"/>
                      <w:szCs w:val="21"/>
                      <w:lang w:val="en-US" w:eastAsia="zh-CN"/>
                    </w:rPr>
                    <w:t>4</w:t>
                  </w:r>
                  <w:r>
                    <w:rPr>
                      <w:rFonts w:hint="default" w:ascii="Times New Roman" w:hAnsi="Times New Roman" w:eastAsia="宋体" w:cs="Times New Roman"/>
                      <w:sz w:val="21"/>
                      <w:szCs w:val="21"/>
                      <w:lang w:val="en-US" w:eastAsia="zh-CN"/>
                    </w:rPr>
                    <w:t>座污水收集箱</w:t>
                  </w:r>
                  <w:r>
                    <w:rPr>
                      <w:rFonts w:hint="eastAsia" w:ascii="Times New Roman" w:hAnsi="Times New Roman" w:cs="Times New Roman"/>
                      <w:sz w:val="21"/>
                      <w:szCs w:val="21"/>
                      <w:lang w:val="en-US" w:eastAsia="zh-CN"/>
                    </w:rPr>
                    <w:t>，</w:t>
                  </w:r>
                  <w:r>
                    <w:rPr>
                      <w:rFonts w:hint="eastAsia" w:cs="Times New Roman"/>
                      <w:sz w:val="21"/>
                      <w:szCs w:val="21"/>
                      <w:lang w:val="en-US" w:eastAsia="zh-CN"/>
                    </w:rPr>
                    <w:t>单座有效容积20m</w:t>
                  </w:r>
                  <w:r>
                    <w:rPr>
                      <w:rFonts w:hint="eastAsia"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w:t>
                  </w:r>
                  <w:r>
                    <w:rPr>
                      <w:rFonts w:hint="eastAsia" w:ascii="CIDFont" w:hAnsi="CIDFont" w:eastAsia="CIDFont" w:cs="CIDFont"/>
                      <w:color w:val="000000"/>
                      <w:kern w:val="0"/>
                      <w:sz w:val="21"/>
                      <w:szCs w:val="21"/>
                      <w:lang w:val="en-US" w:eastAsia="zh-CN" w:bidi="ar"/>
                    </w:rPr>
                    <w:t>收集后定期外运处理</w:t>
                  </w:r>
                  <w:r>
                    <w:rPr>
                      <w:rFonts w:hint="eastAsia" w:ascii="仿宋_GB2312" w:hAnsi="宋体" w:cs="宋体"/>
                      <w:color w:val="auto"/>
                      <w:kern w:val="0"/>
                      <w:sz w:val="21"/>
                      <w:szCs w:val="21"/>
                      <w:lang w:eastAsia="zh-CN"/>
                    </w:rPr>
                    <w:t>；</w:t>
                  </w:r>
                  <w:r>
                    <w:rPr>
                      <w:rFonts w:hint="eastAsia" w:ascii="仿宋_GB2312" w:hAnsi="宋体" w:cs="宋体"/>
                      <w:color w:val="auto"/>
                      <w:kern w:val="0"/>
                      <w:sz w:val="21"/>
                      <w:szCs w:val="21"/>
                      <w:lang w:val="en-US" w:eastAsia="zh-CN"/>
                    </w:rPr>
                    <w:t>船舶含油污水</w:t>
                  </w:r>
                  <w:r>
                    <w:rPr>
                      <w:rFonts w:hint="eastAsia"/>
                      <w:color w:val="auto"/>
                      <w:kern w:val="0"/>
                      <w:sz w:val="21"/>
                      <w:szCs w:val="21"/>
                    </w:rPr>
                    <w:t>由当地交通运输部门认可的有资质的</w:t>
                  </w:r>
                  <w:r>
                    <w:rPr>
                      <w:rFonts w:hint="eastAsia"/>
                      <w:color w:val="auto"/>
                      <w:kern w:val="0"/>
                      <w:sz w:val="21"/>
                      <w:szCs w:val="21"/>
                      <w:lang w:val="en-US" w:eastAsia="zh-CN"/>
                    </w:rPr>
                    <w:t>单位</w:t>
                  </w:r>
                  <w:r>
                    <w:rPr>
                      <w:rFonts w:hint="eastAsia"/>
                      <w:color w:val="auto"/>
                      <w:kern w:val="0"/>
                      <w:sz w:val="21"/>
                      <w:szCs w:val="21"/>
                    </w:rPr>
                    <w:t>接收处理</w:t>
                  </w:r>
                  <w:r>
                    <w:rPr>
                      <w:rFonts w:hint="eastAsia" w:cs="Times New Roman"/>
                      <w:bCs/>
                      <w:sz w:val="21"/>
                      <w:szCs w:val="21"/>
                      <w:lang w:eastAsia="zh-CN"/>
                    </w:rPr>
                    <w:t>；</w:t>
                  </w:r>
                  <w:r>
                    <w:rPr>
                      <w:rFonts w:hint="eastAsia" w:cs="Times New Roman"/>
                      <w:bCs/>
                      <w:sz w:val="21"/>
                      <w:szCs w:val="21"/>
                      <w:lang w:val="en-US" w:eastAsia="zh-CN"/>
                    </w:rPr>
                    <w:t>初期雨水经初期雨水池</w:t>
                  </w:r>
                  <w:r>
                    <w:rPr>
                      <w:rFonts w:hint="eastAsia" w:cs="Times New Roman"/>
                      <w:sz w:val="21"/>
                      <w:szCs w:val="21"/>
                      <w:highlight w:val="none"/>
                      <w:lang w:val="en-US" w:eastAsia="zh-CN"/>
                    </w:rPr>
                    <w:t>（1座初期雨水池容积90m</w:t>
                  </w:r>
                  <w:r>
                    <w:rPr>
                      <w:rFonts w:hint="eastAsia" w:cs="Times New Roman"/>
                      <w:sz w:val="21"/>
                      <w:szCs w:val="21"/>
                      <w:highlight w:val="none"/>
                      <w:vertAlign w:val="superscript"/>
                      <w:lang w:val="en-US" w:eastAsia="zh-CN"/>
                    </w:rPr>
                    <w:t>3</w:t>
                  </w:r>
                  <w:r>
                    <w:rPr>
                      <w:rFonts w:hint="eastAsia" w:cs="Times New Roman"/>
                      <w:sz w:val="21"/>
                      <w:szCs w:val="21"/>
                      <w:highlight w:val="none"/>
                      <w:lang w:val="en-US" w:eastAsia="zh-CN"/>
                    </w:rPr>
                    <w:t>）</w:t>
                  </w:r>
                  <w:r>
                    <w:rPr>
                      <w:rFonts w:hint="eastAsia" w:cs="Times New Roman"/>
                      <w:bCs/>
                      <w:sz w:val="21"/>
                      <w:szCs w:val="21"/>
                      <w:lang w:val="en-US" w:eastAsia="zh-CN"/>
                    </w:rPr>
                    <w:t>收集后外运处理。</w:t>
                  </w:r>
                </w:p>
              </w:tc>
            </w:tr>
            <w:tr w14:paraId="0BEBB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pct"/>
                  <w:vMerge w:val="continue"/>
                  <w:tcBorders>
                    <w:tl2br w:val="nil"/>
                    <w:tr2bl w:val="nil"/>
                  </w:tcBorders>
                  <w:vAlign w:val="center"/>
                </w:tcPr>
                <w:p w14:paraId="1179D976">
                  <w:pPr>
                    <w:adjustRightInd w:val="0"/>
                    <w:snapToGrid w:val="0"/>
                    <w:jc w:val="center"/>
                    <w:rPr>
                      <w:rFonts w:hint="eastAsia" w:ascii="Times New Roman" w:hAnsi="Times New Roman" w:eastAsia="宋体" w:cs="Times New Roman"/>
                      <w:bCs/>
                      <w:sz w:val="21"/>
                      <w:szCs w:val="21"/>
                      <w:lang w:val="en-US" w:eastAsia="zh-CN"/>
                    </w:rPr>
                  </w:pPr>
                </w:p>
              </w:tc>
              <w:tc>
                <w:tcPr>
                  <w:tcW w:w="951" w:type="pct"/>
                  <w:tcBorders>
                    <w:tl2br w:val="nil"/>
                    <w:tr2bl w:val="nil"/>
                  </w:tcBorders>
                  <w:vAlign w:val="center"/>
                </w:tcPr>
                <w:p w14:paraId="1A45DB34">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固废</w:t>
                  </w:r>
                </w:p>
              </w:tc>
              <w:tc>
                <w:tcPr>
                  <w:tcW w:w="3359" w:type="pct"/>
                  <w:tcBorders>
                    <w:tl2br w:val="nil"/>
                    <w:tr2bl w:val="nil"/>
                  </w:tcBorders>
                  <w:vAlign w:val="center"/>
                </w:tcPr>
                <w:p w14:paraId="2E32E791">
                  <w:pPr>
                    <w:adjustRightInd w:val="0"/>
                    <w:snapToGrid w:val="0"/>
                    <w:jc w:val="both"/>
                    <w:rPr>
                      <w:rFonts w:hint="default" w:ascii="CIDFont" w:hAnsi="CIDFont" w:eastAsia="CIDFont" w:cs="CIDFont"/>
                      <w:color w:val="000000"/>
                      <w:kern w:val="0"/>
                      <w:sz w:val="21"/>
                      <w:szCs w:val="21"/>
                      <w:lang w:val="en-US" w:eastAsia="zh-CN" w:bidi="ar"/>
                    </w:rPr>
                  </w:pPr>
                  <w:r>
                    <w:rPr>
                      <w:rFonts w:hint="eastAsia" w:ascii="CIDFont" w:hAnsi="CIDFont" w:eastAsia="CIDFont" w:cs="CIDFont"/>
                      <w:b/>
                      <w:bCs/>
                      <w:color w:val="000000"/>
                      <w:kern w:val="0"/>
                      <w:sz w:val="21"/>
                      <w:szCs w:val="21"/>
                      <w:lang w:val="en-US" w:eastAsia="zh-CN" w:bidi="ar"/>
                    </w:rPr>
                    <w:t>施工期：</w:t>
                  </w:r>
                  <w:r>
                    <w:rPr>
                      <w:rFonts w:hint="eastAsia" w:ascii="CIDFont" w:hAnsi="CIDFont" w:eastAsia="CIDFont" w:cs="CIDFont"/>
                      <w:b w:val="0"/>
                      <w:bCs w:val="0"/>
                      <w:color w:val="000000"/>
                      <w:kern w:val="0"/>
                      <w:sz w:val="21"/>
                      <w:szCs w:val="21"/>
                      <w:lang w:val="en-US" w:eastAsia="zh-CN" w:bidi="ar"/>
                    </w:rPr>
                    <w:t>船舶</w:t>
                  </w:r>
                  <w:r>
                    <w:rPr>
                      <w:rFonts w:hint="default" w:ascii="CIDFont" w:hAnsi="CIDFont" w:eastAsia="CIDFont" w:cs="CIDFont"/>
                      <w:b w:val="0"/>
                      <w:bCs w:val="0"/>
                      <w:color w:val="000000"/>
                      <w:kern w:val="0"/>
                      <w:sz w:val="21"/>
                      <w:szCs w:val="21"/>
                      <w:lang w:val="en-US" w:eastAsia="zh-CN" w:bidi="ar"/>
                    </w:rPr>
                    <w:t>生活</w:t>
                  </w:r>
                  <w:r>
                    <w:rPr>
                      <w:rFonts w:hint="default" w:ascii="CIDFont" w:hAnsi="CIDFont" w:eastAsia="CIDFont" w:cs="CIDFont"/>
                      <w:color w:val="000000"/>
                      <w:kern w:val="0"/>
                      <w:sz w:val="21"/>
                      <w:szCs w:val="21"/>
                      <w:lang w:val="en-US" w:eastAsia="zh-CN" w:bidi="ar"/>
                    </w:rPr>
                    <w:t>垃圾</w:t>
                  </w:r>
                  <w:r>
                    <w:rPr>
                      <w:rFonts w:hint="eastAsia" w:ascii="CIDFont" w:hAnsi="CIDFont" w:eastAsia="CIDFont" w:cs="CIDFont"/>
                      <w:color w:val="000000"/>
                      <w:kern w:val="0"/>
                      <w:sz w:val="21"/>
                      <w:szCs w:val="21"/>
                      <w:lang w:val="en-US" w:eastAsia="zh-CN" w:bidi="ar"/>
                    </w:rPr>
                    <w:t>和陆域生活垃圾</w:t>
                  </w:r>
                  <w:r>
                    <w:rPr>
                      <w:rFonts w:hint="default" w:ascii="CIDFont" w:hAnsi="CIDFont" w:eastAsia="CIDFont" w:cs="CIDFont"/>
                      <w:color w:val="000000"/>
                      <w:kern w:val="0"/>
                      <w:sz w:val="21"/>
                      <w:szCs w:val="21"/>
                      <w:lang w:val="en-US" w:eastAsia="zh-CN" w:bidi="ar"/>
                    </w:rPr>
                    <w:t>收集后</w:t>
                  </w:r>
                  <w:r>
                    <w:rPr>
                      <w:rFonts w:hint="eastAsia"/>
                      <w:color w:val="auto"/>
                      <w:kern w:val="0"/>
                      <w:szCs w:val="28"/>
                    </w:rPr>
                    <w:t>交由当地环卫部</w:t>
                  </w:r>
                  <w:r>
                    <w:rPr>
                      <w:rFonts w:hint="eastAsia" w:ascii="CIDFont" w:hAnsi="CIDFont" w:eastAsia="CIDFont" w:cs="CIDFont"/>
                      <w:color w:val="000000"/>
                      <w:kern w:val="0"/>
                      <w:sz w:val="21"/>
                      <w:szCs w:val="21"/>
                      <w:lang w:val="en-US" w:eastAsia="zh-CN" w:bidi="ar"/>
                    </w:rPr>
                    <w:t>门接收处理；</w:t>
                  </w:r>
                  <w:r>
                    <w:rPr>
                      <w:rFonts w:hint="default" w:ascii="CIDFont" w:hAnsi="CIDFont" w:eastAsia="CIDFont" w:cs="CIDFont"/>
                      <w:color w:val="000000"/>
                      <w:kern w:val="0"/>
                      <w:sz w:val="21"/>
                      <w:szCs w:val="21"/>
                      <w:lang w:val="en-US" w:eastAsia="zh-CN" w:bidi="ar"/>
                    </w:rPr>
                    <w:t>疏浚产生的</w:t>
                  </w:r>
                  <w:r>
                    <w:rPr>
                      <w:rFonts w:hint="eastAsia" w:ascii="CIDFont" w:hAnsi="CIDFont" w:eastAsia="CIDFont" w:cs="CIDFont"/>
                      <w:color w:val="000000"/>
                      <w:kern w:val="0"/>
                      <w:sz w:val="21"/>
                      <w:szCs w:val="21"/>
                      <w:lang w:val="en-US" w:eastAsia="zh-CN" w:bidi="ar"/>
                    </w:rPr>
                    <w:t>淤泥</w:t>
                  </w:r>
                  <w:r>
                    <w:rPr>
                      <w:rFonts w:hint="default" w:ascii="CIDFont" w:hAnsi="CIDFont" w:eastAsia="CIDFont" w:cs="CIDFont"/>
                      <w:color w:val="000000"/>
                      <w:kern w:val="0"/>
                      <w:sz w:val="21"/>
                      <w:szCs w:val="21"/>
                      <w:lang w:val="en-US" w:eastAsia="zh-CN" w:bidi="ar"/>
                    </w:rPr>
                    <w:t>配泥驳转运</w:t>
                  </w:r>
                  <w:r>
                    <w:rPr>
                      <w:rFonts w:hint="eastAsia" w:ascii="CIDFont" w:hAnsi="CIDFont" w:eastAsia="CIDFont" w:cs="CIDFont"/>
                      <w:color w:val="000000"/>
                      <w:kern w:val="0"/>
                      <w:sz w:val="21"/>
                      <w:szCs w:val="21"/>
                      <w:lang w:val="en-US" w:eastAsia="zh-CN" w:bidi="ar"/>
                    </w:rPr>
                    <w:t>至拟定污泥干化场</w:t>
                  </w:r>
                  <w:r>
                    <w:rPr>
                      <w:rFonts w:hint="default" w:ascii="CIDFont" w:hAnsi="CIDFont" w:eastAsia="CIDFont" w:cs="CIDFont"/>
                      <w:color w:val="000000"/>
                      <w:kern w:val="0"/>
                      <w:sz w:val="21"/>
                      <w:szCs w:val="21"/>
                      <w:lang w:val="en-US" w:eastAsia="zh-CN" w:bidi="ar"/>
                    </w:rPr>
                    <w:t>。</w:t>
                  </w:r>
                </w:p>
                <w:p w14:paraId="511F0B5B">
                  <w:pPr>
                    <w:adjustRightInd w:val="0"/>
                    <w:snapToGrid w:val="0"/>
                    <w:jc w:val="both"/>
                    <w:rPr>
                      <w:rFonts w:hint="default" w:ascii="CIDFont" w:hAnsi="CIDFont" w:eastAsia="CIDFont" w:cs="CIDFont"/>
                      <w:color w:val="000000"/>
                      <w:kern w:val="0"/>
                      <w:sz w:val="21"/>
                      <w:szCs w:val="21"/>
                      <w:lang w:val="en-US" w:eastAsia="zh-CN" w:bidi="ar"/>
                    </w:rPr>
                  </w:pPr>
                  <w:r>
                    <w:rPr>
                      <w:rFonts w:hint="eastAsia" w:ascii="CIDFont" w:hAnsi="CIDFont" w:eastAsia="CIDFont" w:cs="CIDFont"/>
                      <w:b/>
                      <w:bCs/>
                      <w:color w:val="000000"/>
                      <w:kern w:val="0"/>
                      <w:sz w:val="21"/>
                      <w:szCs w:val="21"/>
                      <w:lang w:val="en-US" w:eastAsia="zh-CN" w:bidi="ar"/>
                    </w:rPr>
                    <w:t>运营期：</w:t>
                  </w:r>
                  <w:r>
                    <w:rPr>
                      <w:rFonts w:hint="eastAsia" w:ascii="CIDFont" w:hAnsi="CIDFont" w:eastAsia="CIDFont" w:cs="CIDFont"/>
                      <w:b w:val="0"/>
                      <w:bCs w:val="0"/>
                      <w:color w:val="000000"/>
                      <w:kern w:val="0"/>
                      <w:sz w:val="21"/>
                      <w:szCs w:val="21"/>
                      <w:lang w:val="en-US" w:eastAsia="zh-CN" w:bidi="ar"/>
                    </w:rPr>
                    <w:t>船舶</w:t>
                  </w:r>
                  <w:r>
                    <w:rPr>
                      <w:rFonts w:hint="default" w:ascii="CIDFont" w:hAnsi="CIDFont" w:eastAsia="CIDFont" w:cs="CIDFont"/>
                      <w:b w:val="0"/>
                      <w:bCs w:val="0"/>
                      <w:color w:val="000000"/>
                      <w:kern w:val="0"/>
                      <w:sz w:val="21"/>
                      <w:szCs w:val="21"/>
                      <w:lang w:val="en-US" w:eastAsia="zh-CN" w:bidi="ar"/>
                    </w:rPr>
                    <w:t>生活</w:t>
                  </w:r>
                  <w:r>
                    <w:rPr>
                      <w:rFonts w:hint="default" w:ascii="CIDFont" w:hAnsi="CIDFont" w:eastAsia="CIDFont" w:cs="CIDFont"/>
                      <w:color w:val="000000"/>
                      <w:kern w:val="0"/>
                      <w:sz w:val="21"/>
                      <w:szCs w:val="21"/>
                      <w:lang w:val="en-US" w:eastAsia="zh-CN" w:bidi="ar"/>
                    </w:rPr>
                    <w:t>垃圾收集后</w:t>
                  </w:r>
                  <w:r>
                    <w:rPr>
                      <w:rFonts w:hint="eastAsia"/>
                      <w:color w:val="auto"/>
                      <w:kern w:val="0"/>
                      <w:szCs w:val="28"/>
                    </w:rPr>
                    <w:t>交由当地环卫部</w:t>
                  </w:r>
                  <w:r>
                    <w:rPr>
                      <w:rFonts w:hint="eastAsia" w:ascii="CIDFont" w:hAnsi="CIDFont" w:eastAsia="CIDFont" w:cs="CIDFont"/>
                      <w:color w:val="000000"/>
                      <w:kern w:val="0"/>
                      <w:sz w:val="21"/>
                      <w:szCs w:val="21"/>
                      <w:lang w:val="en-US" w:eastAsia="zh-CN" w:bidi="ar"/>
                    </w:rPr>
                    <w:t>门接收处理；</w:t>
                  </w:r>
                  <w:r>
                    <w:rPr>
                      <w:rFonts w:hint="default" w:ascii="CIDFont" w:hAnsi="CIDFont" w:eastAsia="CIDFont" w:cs="CIDFont"/>
                      <w:color w:val="000000"/>
                      <w:kern w:val="0"/>
                      <w:sz w:val="21"/>
                      <w:szCs w:val="21"/>
                      <w:lang w:val="en-US" w:eastAsia="zh-CN" w:bidi="ar"/>
                    </w:rPr>
                    <w:t>船舶保养产生的固体废物属于</w:t>
                  </w:r>
                  <w:r>
                    <w:rPr>
                      <w:rFonts w:hint="default" w:ascii="Times New Roman" w:hAnsi="Times New Roman" w:eastAsia="宋体" w:cs="Times New Roman"/>
                      <w:bCs/>
                      <w:sz w:val="21"/>
                      <w:szCs w:val="21"/>
                      <w:lang w:val="en-US" w:eastAsia="zh-CN"/>
                    </w:rPr>
                    <w:t>HW08类（代码900-214-08）</w:t>
                  </w:r>
                  <w:r>
                    <w:rPr>
                      <w:rFonts w:hint="default" w:ascii="CIDFont" w:hAnsi="CIDFont" w:eastAsia="CIDFont" w:cs="CIDFont"/>
                      <w:color w:val="000000"/>
                      <w:kern w:val="0"/>
                      <w:sz w:val="21"/>
                      <w:szCs w:val="21"/>
                      <w:lang w:val="en-US" w:eastAsia="zh-CN" w:bidi="ar"/>
                    </w:rPr>
                    <w:t>，交由海事部门指定有资质单位接收处理</w:t>
                  </w:r>
                  <w:r>
                    <w:rPr>
                      <w:rFonts w:hint="eastAsia" w:ascii="CIDFont" w:hAnsi="CIDFont" w:eastAsia="CIDFont" w:cs="CIDFont"/>
                      <w:color w:val="000000"/>
                      <w:kern w:val="0"/>
                      <w:sz w:val="21"/>
                      <w:szCs w:val="21"/>
                      <w:lang w:val="en-US" w:eastAsia="zh-CN" w:bidi="ar"/>
                    </w:rPr>
                    <w:t>。</w:t>
                  </w:r>
                </w:p>
              </w:tc>
            </w:tr>
            <w:tr w14:paraId="395A1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pct"/>
                  <w:vMerge w:val="continue"/>
                  <w:tcBorders>
                    <w:tl2br w:val="nil"/>
                    <w:tr2bl w:val="nil"/>
                  </w:tcBorders>
                  <w:vAlign w:val="center"/>
                </w:tcPr>
                <w:p w14:paraId="27B2C336">
                  <w:pPr>
                    <w:adjustRightInd w:val="0"/>
                    <w:snapToGrid w:val="0"/>
                    <w:jc w:val="center"/>
                    <w:rPr>
                      <w:rFonts w:hint="eastAsia" w:ascii="Times New Roman" w:hAnsi="Times New Roman" w:eastAsia="宋体" w:cs="Times New Roman"/>
                      <w:bCs/>
                      <w:sz w:val="21"/>
                      <w:szCs w:val="21"/>
                      <w:lang w:val="en-US" w:eastAsia="zh-CN"/>
                    </w:rPr>
                  </w:pPr>
                </w:p>
              </w:tc>
              <w:tc>
                <w:tcPr>
                  <w:tcW w:w="951" w:type="pct"/>
                  <w:tcBorders>
                    <w:tl2br w:val="nil"/>
                    <w:tr2bl w:val="nil"/>
                  </w:tcBorders>
                  <w:vAlign w:val="center"/>
                </w:tcPr>
                <w:p w14:paraId="12D96ACD">
                  <w:pPr>
                    <w:adjustRightInd w:val="0"/>
                    <w:snapToGrid w:val="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噪声</w:t>
                  </w:r>
                </w:p>
              </w:tc>
              <w:tc>
                <w:tcPr>
                  <w:tcW w:w="3359" w:type="pct"/>
                  <w:tcBorders>
                    <w:tl2br w:val="nil"/>
                    <w:tr2bl w:val="nil"/>
                  </w:tcBorders>
                  <w:vAlign w:val="center"/>
                </w:tcPr>
                <w:p w14:paraId="7661D691">
                  <w:pPr>
                    <w:adjustRightInd w:val="0"/>
                    <w:snapToGrid w:val="0"/>
                    <w:jc w:val="both"/>
                    <w:rPr>
                      <w:rFonts w:hint="eastAsia" w:cs="Times New Roman"/>
                      <w:kern w:val="0"/>
                      <w:sz w:val="21"/>
                      <w:szCs w:val="21"/>
                      <w:lang w:val="en-US" w:eastAsia="zh-CN"/>
                    </w:rPr>
                  </w:pPr>
                  <w:r>
                    <w:rPr>
                      <w:rFonts w:hint="eastAsia" w:ascii="CIDFont" w:hAnsi="CIDFont" w:eastAsia="CIDFont" w:cs="CIDFont"/>
                      <w:b/>
                      <w:bCs/>
                      <w:color w:val="000000"/>
                      <w:kern w:val="0"/>
                      <w:sz w:val="21"/>
                      <w:szCs w:val="21"/>
                      <w:lang w:val="en-US" w:eastAsia="zh-CN" w:bidi="ar"/>
                    </w:rPr>
                    <w:t>施工期：</w:t>
                  </w:r>
                  <w:r>
                    <w:rPr>
                      <w:rFonts w:hint="default" w:ascii="Times New Roman" w:hAnsi="Times New Roman" w:eastAsia="宋体" w:cs="Times New Roman"/>
                      <w:kern w:val="0"/>
                      <w:sz w:val="21"/>
                      <w:szCs w:val="21"/>
                      <w:lang w:val="en-US" w:eastAsia="zh-CN"/>
                    </w:rPr>
                    <w:t>合理安排施工作业的时间</w:t>
                  </w:r>
                  <w:r>
                    <w:rPr>
                      <w:rFonts w:hint="eastAsia" w:cs="Times New Roman"/>
                      <w:kern w:val="0"/>
                      <w:sz w:val="21"/>
                      <w:szCs w:val="21"/>
                      <w:lang w:val="en-US" w:eastAsia="zh-CN"/>
                    </w:rPr>
                    <w:t>，</w:t>
                  </w:r>
                  <w:r>
                    <w:rPr>
                      <w:rFonts w:hint="default" w:ascii="Times New Roman" w:hAnsi="Times New Roman" w:eastAsia="宋体" w:cs="Times New Roman"/>
                      <w:kern w:val="0"/>
                      <w:sz w:val="21"/>
                      <w:szCs w:val="21"/>
                      <w:lang w:val="en-US" w:eastAsia="zh-CN"/>
                    </w:rPr>
                    <w:t>选用低噪声、低振动的施工机械和运输车辆</w:t>
                  </w:r>
                  <w:r>
                    <w:rPr>
                      <w:rFonts w:hint="eastAsia" w:cs="Times New Roman"/>
                      <w:kern w:val="0"/>
                      <w:sz w:val="21"/>
                      <w:szCs w:val="21"/>
                      <w:lang w:val="en-US" w:eastAsia="zh-CN"/>
                    </w:rPr>
                    <w:t>。</w:t>
                  </w:r>
                </w:p>
                <w:p w14:paraId="567AEC8A">
                  <w:pPr>
                    <w:adjustRightInd w:val="0"/>
                    <w:snapToGrid w:val="0"/>
                    <w:jc w:val="both"/>
                    <w:rPr>
                      <w:rFonts w:hint="eastAsia" w:eastAsia="宋体" w:cs="Times New Roman"/>
                      <w:kern w:val="0"/>
                      <w:sz w:val="24"/>
                      <w:szCs w:val="24"/>
                      <w:lang w:val="en-US" w:eastAsia="zh-CN"/>
                    </w:rPr>
                  </w:pPr>
                  <w:r>
                    <w:rPr>
                      <w:rFonts w:hint="eastAsia" w:ascii="CIDFont" w:hAnsi="CIDFont" w:eastAsia="CIDFont" w:cs="CIDFont"/>
                      <w:b/>
                      <w:bCs/>
                      <w:color w:val="000000"/>
                      <w:kern w:val="0"/>
                      <w:sz w:val="21"/>
                      <w:szCs w:val="21"/>
                      <w:lang w:val="en-US" w:eastAsia="zh-CN" w:bidi="ar"/>
                    </w:rPr>
                    <w:t>运营期：</w:t>
                  </w:r>
                  <w:r>
                    <w:rPr>
                      <w:rFonts w:hint="default" w:ascii="Times New Roman" w:hAnsi="Times New Roman" w:eastAsia="宋体" w:cs="Times New Roman"/>
                      <w:b w:val="0"/>
                      <w:bCs/>
                      <w:kern w:val="0"/>
                      <w:sz w:val="21"/>
                      <w:szCs w:val="21"/>
                    </w:rPr>
                    <w:t>合理使用鸣笛设备，尽量控制船的鸣笛次数和时间</w:t>
                  </w:r>
                  <w:r>
                    <w:rPr>
                      <w:rFonts w:hint="eastAsia" w:cs="Times New Roman"/>
                      <w:b w:val="0"/>
                      <w:bCs/>
                      <w:kern w:val="0"/>
                      <w:sz w:val="21"/>
                      <w:szCs w:val="21"/>
                      <w:lang w:eastAsia="zh-CN"/>
                    </w:rPr>
                    <w:t>。</w:t>
                  </w:r>
                </w:p>
              </w:tc>
            </w:tr>
            <w:tr w14:paraId="3BC87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vMerge w:val="continue"/>
                  <w:tcBorders>
                    <w:tl2br w:val="nil"/>
                    <w:tr2bl w:val="nil"/>
                  </w:tcBorders>
                  <w:vAlign w:val="center"/>
                </w:tcPr>
                <w:p w14:paraId="56839E35">
                  <w:pPr>
                    <w:adjustRightInd w:val="0"/>
                    <w:snapToGrid w:val="0"/>
                    <w:jc w:val="center"/>
                    <w:rPr>
                      <w:rFonts w:hint="eastAsia" w:ascii="Times New Roman" w:hAnsi="Times New Roman" w:eastAsia="宋体" w:cs="Times New Roman"/>
                      <w:bCs/>
                      <w:sz w:val="21"/>
                      <w:szCs w:val="21"/>
                      <w:lang w:val="en-US" w:eastAsia="zh-CN"/>
                    </w:rPr>
                  </w:pPr>
                </w:p>
              </w:tc>
              <w:tc>
                <w:tcPr>
                  <w:tcW w:w="951" w:type="pct"/>
                  <w:tcBorders>
                    <w:tl2br w:val="nil"/>
                    <w:tr2bl w:val="nil"/>
                  </w:tcBorders>
                  <w:vAlign w:val="center"/>
                </w:tcPr>
                <w:p w14:paraId="5BB6F62E">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生态</w:t>
                  </w:r>
                </w:p>
              </w:tc>
              <w:tc>
                <w:tcPr>
                  <w:tcW w:w="3359" w:type="pct"/>
                  <w:tcBorders>
                    <w:tl2br w:val="nil"/>
                    <w:tr2bl w:val="nil"/>
                  </w:tcBorders>
                  <w:vAlign w:val="center"/>
                </w:tcPr>
                <w:p w14:paraId="34285211">
                  <w:pPr>
                    <w:adjustRightInd w:val="0"/>
                    <w:snapToGrid w:val="0"/>
                    <w:jc w:val="left"/>
                    <w:rPr>
                      <w:rFonts w:hint="eastAsia" w:ascii="仿宋_GB2312" w:hAnsi="宋体" w:cs="宋体"/>
                      <w:color w:val="auto"/>
                      <w:kern w:val="0"/>
                      <w:sz w:val="21"/>
                      <w:szCs w:val="21"/>
                      <w:lang w:eastAsia="zh-CN"/>
                    </w:rPr>
                  </w:pPr>
                  <w:r>
                    <w:rPr>
                      <w:rFonts w:hint="eastAsia" w:ascii="仿宋_GB2312" w:hAnsi="宋体" w:cs="宋体"/>
                      <w:color w:val="auto"/>
                      <w:kern w:val="0"/>
                      <w:sz w:val="21"/>
                      <w:szCs w:val="21"/>
                      <w:lang w:val="en-US" w:eastAsia="zh-CN"/>
                    </w:rPr>
                    <w:t>施工前编制对水生生物影响较小的施工方案，加强施工管理，控制水域施工</w:t>
                  </w:r>
                  <w:r>
                    <w:rPr>
                      <w:rFonts w:hint="default" w:ascii="仿宋_GB2312" w:hAnsi="宋体" w:cs="宋体"/>
                      <w:color w:val="auto"/>
                      <w:kern w:val="0"/>
                      <w:sz w:val="21"/>
                      <w:szCs w:val="21"/>
                      <w:lang w:val="en-US" w:eastAsia="zh-CN"/>
                    </w:rPr>
                    <w:t>作业范围</w:t>
                  </w:r>
                  <w:r>
                    <w:rPr>
                      <w:rFonts w:hint="eastAsia" w:ascii="仿宋_GB2312" w:hAnsi="宋体" w:cs="宋体"/>
                      <w:color w:val="auto"/>
                      <w:kern w:val="0"/>
                      <w:sz w:val="21"/>
                      <w:szCs w:val="21"/>
                      <w:lang w:val="en-US" w:eastAsia="zh-CN"/>
                    </w:rPr>
                    <w:t>；合理安排工期，尽量避免在雨季进行大量动土和开挖工程；对施工造成的影响尽可能地恢复或采取生态补偿，比如水域范围内清理施工</w:t>
                  </w:r>
                  <w:r>
                    <w:rPr>
                      <w:rFonts w:hint="default" w:ascii="仿宋_GB2312" w:hAnsi="宋体" w:cs="宋体"/>
                      <w:color w:val="auto"/>
                      <w:kern w:val="0"/>
                      <w:sz w:val="21"/>
                      <w:szCs w:val="21"/>
                      <w:lang w:val="en-US" w:eastAsia="zh-CN"/>
                    </w:rPr>
                    <w:t>期悬浮物造成的淤积</w:t>
                  </w:r>
                  <w:r>
                    <w:rPr>
                      <w:rFonts w:hint="default" w:ascii="仿宋_GB2312" w:hAnsi="宋体" w:cs="宋体"/>
                      <w:color w:val="auto"/>
                      <w:kern w:val="0"/>
                      <w:sz w:val="21"/>
                      <w:szCs w:val="21"/>
                    </w:rPr>
                    <w:t>等</w:t>
                  </w:r>
                  <w:r>
                    <w:rPr>
                      <w:rFonts w:hint="eastAsia" w:ascii="仿宋_GB2312" w:hAnsi="宋体" w:cs="宋体"/>
                      <w:color w:val="auto"/>
                      <w:kern w:val="0"/>
                      <w:sz w:val="21"/>
                      <w:szCs w:val="21"/>
                      <w:lang w:eastAsia="zh-CN"/>
                    </w:rPr>
                    <w:t>。</w:t>
                  </w:r>
                </w:p>
              </w:tc>
            </w:tr>
            <w:tr w14:paraId="01708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vMerge w:val="continue"/>
                  <w:tcBorders>
                    <w:tl2br w:val="nil"/>
                    <w:tr2bl w:val="nil"/>
                  </w:tcBorders>
                  <w:vAlign w:val="center"/>
                </w:tcPr>
                <w:p w14:paraId="5A0A380B">
                  <w:pPr>
                    <w:adjustRightInd w:val="0"/>
                    <w:snapToGrid w:val="0"/>
                    <w:jc w:val="center"/>
                    <w:rPr>
                      <w:rFonts w:hint="eastAsia" w:ascii="Times New Roman" w:hAnsi="Times New Roman" w:eastAsia="宋体" w:cs="Times New Roman"/>
                      <w:bCs/>
                      <w:sz w:val="21"/>
                      <w:szCs w:val="21"/>
                      <w:lang w:val="en-US" w:eastAsia="zh-CN"/>
                    </w:rPr>
                  </w:pPr>
                </w:p>
              </w:tc>
              <w:tc>
                <w:tcPr>
                  <w:tcW w:w="951" w:type="pct"/>
                  <w:tcBorders>
                    <w:tl2br w:val="nil"/>
                    <w:tr2bl w:val="nil"/>
                  </w:tcBorders>
                  <w:vAlign w:val="center"/>
                </w:tcPr>
                <w:p w14:paraId="54D001DA">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环境风险</w:t>
                  </w:r>
                </w:p>
              </w:tc>
              <w:tc>
                <w:tcPr>
                  <w:tcW w:w="3359" w:type="pct"/>
                  <w:tcBorders>
                    <w:tl2br w:val="nil"/>
                    <w:tr2bl w:val="nil"/>
                  </w:tcBorders>
                  <w:vAlign w:val="center"/>
                </w:tcPr>
                <w:p w14:paraId="188F9C3C">
                  <w:pPr>
                    <w:adjustRightInd w:val="0"/>
                    <w:snapToGrid w:val="0"/>
                    <w:jc w:val="center"/>
                    <w:rPr>
                      <w:rFonts w:hint="default" w:ascii="仿宋_GB2312" w:hAnsi="宋体" w:eastAsia="宋体" w:cs="宋体"/>
                      <w:color w:val="auto"/>
                      <w:kern w:val="0"/>
                      <w:sz w:val="21"/>
                      <w:szCs w:val="21"/>
                      <w:lang w:val="en-US" w:eastAsia="zh-CN"/>
                    </w:rPr>
                  </w:pPr>
                  <w:r>
                    <w:rPr>
                      <w:rFonts w:hint="default" w:ascii="仿宋_GB2312" w:hAnsi="宋体" w:cs="宋体"/>
                      <w:color w:val="auto"/>
                      <w:kern w:val="0"/>
                      <w:sz w:val="21"/>
                      <w:szCs w:val="21"/>
                    </w:rPr>
                    <w:t>配备溢油应急物资</w:t>
                  </w:r>
                </w:p>
              </w:tc>
            </w:tr>
            <w:tr w14:paraId="3C29F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tcBorders>
                    <w:tl2br w:val="nil"/>
                    <w:tr2bl w:val="nil"/>
                  </w:tcBorders>
                  <w:vAlign w:val="center"/>
                </w:tcPr>
                <w:p w14:paraId="16F6C221">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临时工程</w:t>
                  </w:r>
                </w:p>
              </w:tc>
              <w:tc>
                <w:tcPr>
                  <w:tcW w:w="4310" w:type="pct"/>
                  <w:gridSpan w:val="2"/>
                  <w:tcBorders>
                    <w:tl2br w:val="nil"/>
                    <w:tr2bl w:val="nil"/>
                  </w:tcBorders>
                  <w:vAlign w:val="center"/>
                </w:tcPr>
                <w:p w14:paraId="6A32173D">
                  <w:pPr>
                    <w:adjustRightInd w:val="0"/>
                    <w:snapToGrid w:val="0"/>
                    <w:jc w:val="center"/>
                    <w:rPr>
                      <w:rFonts w:hint="eastAsia" w:ascii="Times New Roman" w:hAnsi="Times New Roman" w:eastAsia="宋体" w:cs="Times New Roman"/>
                      <w:bCs/>
                      <w:sz w:val="21"/>
                      <w:szCs w:val="21"/>
                      <w:lang w:eastAsia="zh-CN"/>
                    </w:rPr>
                  </w:pPr>
                  <w:r>
                    <w:rPr>
                      <w:rFonts w:hint="default" w:ascii="Times New Roman" w:hAnsi="Times New Roman" w:eastAsia="宋体" w:cs="Times New Roman"/>
                      <w:bCs/>
                      <w:sz w:val="21"/>
                      <w:szCs w:val="21"/>
                    </w:rPr>
                    <w:t>不设置施工营地，施工人员生活就近依托当地居民设施</w:t>
                  </w:r>
                  <w:r>
                    <w:rPr>
                      <w:rFonts w:hint="eastAsia" w:cs="Times New Roman"/>
                      <w:bCs/>
                      <w:sz w:val="21"/>
                      <w:szCs w:val="21"/>
                      <w:lang w:eastAsia="zh-CN"/>
                    </w:rPr>
                    <w:t>；</w:t>
                  </w:r>
                </w:p>
                <w:p w14:paraId="452DF17F">
                  <w:pPr>
                    <w:adjustRightInd w:val="0"/>
                    <w:snapToGrid w:val="0"/>
                    <w:jc w:val="center"/>
                    <w:rPr>
                      <w:rFonts w:hint="default" w:ascii="Times New Roman" w:hAnsi="Times New Roman" w:eastAsia="宋体" w:cs="Times New Roman"/>
                      <w:bCs/>
                      <w:sz w:val="21"/>
                      <w:szCs w:val="21"/>
                    </w:rPr>
                  </w:pPr>
                  <w:r>
                    <w:rPr>
                      <w:rFonts w:hint="eastAsia" w:ascii="CIDFont" w:hAnsi="CIDFont" w:eastAsia="CIDFont" w:cs="CIDFont"/>
                      <w:color w:val="000000"/>
                      <w:kern w:val="0"/>
                      <w:sz w:val="21"/>
                      <w:szCs w:val="21"/>
                      <w:lang w:val="en-US" w:eastAsia="zh-CN" w:bidi="ar"/>
                    </w:rPr>
                    <w:t>疏浚产生的淤泥配泥驳转运至拟定污泥干化场</w:t>
                  </w:r>
                  <w:r>
                    <w:rPr>
                      <w:rFonts w:hint="default" w:ascii="CIDFont" w:hAnsi="CIDFont" w:eastAsia="CIDFont" w:cs="CIDFont"/>
                      <w:color w:val="000000"/>
                      <w:kern w:val="0"/>
                      <w:sz w:val="21"/>
                      <w:szCs w:val="21"/>
                      <w:lang w:val="en-US" w:eastAsia="zh-CN" w:bidi="ar"/>
                    </w:rPr>
                    <w:t>。</w:t>
                  </w:r>
                </w:p>
              </w:tc>
            </w:tr>
          </w:tbl>
          <w:p w14:paraId="1575A207">
            <w:pPr>
              <w:adjustRightInd w:val="0"/>
              <w:snapToGrid w:val="0"/>
              <w:spacing w:line="460" w:lineRule="exact"/>
              <w:ind w:firstLine="482" w:firstLineChars="200"/>
              <w:jc w:val="left"/>
              <w:rPr>
                <w:rFonts w:hint="default"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3</w:t>
            </w:r>
            <w:r>
              <w:rPr>
                <w:rFonts w:hint="default" w:ascii="Times New Roman" w:hAnsi="Times New Roman" w:eastAsia="宋体" w:cs="Times New Roman"/>
                <w:b/>
                <w:kern w:val="2"/>
                <w:sz w:val="24"/>
                <w:szCs w:val="24"/>
                <w:lang w:val="en-US" w:eastAsia="zh-CN" w:bidi="ar-SA"/>
              </w:rPr>
              <w:t>、</w:t>
            </w:r>
            <w:r>
              <w:rPr>
                <w:rFonts w:hint="eastAsia" w:ascii="Times New Roman" w:hAnsi="Times New Roman" w:eastAsia="宋体" w:cs="Times New Roman"/>
                <w:b/>
                <w:kern w:val="2"/>
                <w:sz w:val="24"/>
                <w:szCs w:val="24"/>
                <w:lang w:val="en-US" w:eastAsia="zh-CN" w:bidi="ar-SA"/>
              </w:rPr>
              <w:t>设计船型</w:t>
            </w:r>
          </w:p>
          <w:p w14:paraId="0ED6EF8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本工程设计船型主尺度如下表。</w:t>
            </w:r>
          </w:p>
          <w:p w14:paraId="573C169B">
            <w:pPr>
              <w:adjustRightInd w:val="0"/>
              <w:snapToGrid w:val="0"/>
              <w:spacing w:line="46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表2-2  货物转运量一览表</w:t>
            </w:r>
          </w:p>
          <w:tbl>
            <w:tblPr>
              <w:tblStyle w:val="9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055"/>
              <w:gridCol w:w="1620"/>
              <w:gridCol w:w="1500"/>
              <w:gridCol w:w="1590"/>
              <w:gridCol w:w="1297"/>
            </w:tblGrid>
            <w:tr w14:paraId="3775B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294CCA76">
                  <w:pPr>
                    <w:adjustRightInd w:val="0"/>
                    <w:snapToGrid w:val="0"/>
                    <w:jc w:val="center"/>
                    <w:rPr>
                      <w:rFonts w:hint="eastAsia" w:ascii="Times New Roman" w:hAnsi="Times New Roman" w:eastAsia="宋体" w:cs="Times New Roman"/>
                      <w:b/>
                      <w:bCs/>
                      <w:sz w:val="21"/>
                      <w:szCs w:val="21"/>
                      <w:lang w:val="en-US" w:eastAsia="zh-CN"/>
                    </w:rPr>
                  </w:pPr>
                  <w:r>
                    <w:rPr>
                      <w:rFonts w:hint="eastAsia" w:cs="Times New Roman"/>
                      <w:b/>
                      <w:bCs/>
                      <w:sz w:val="21"/>
                      <w:szCs w:val="21"/>
                      <w:lang w:val="en-US" w:eastAsia="zh-CN"/>
                    </w:rPr>
                    <w:t>序号</w:t>
                  </w:r>
                </w:p>
              </w:tc>
              <w:tc>
                <w:tcPr>
                  <w:tcW w:w="1163" w:type="pct"/>
                  <w:vAlign w:val="center"/>
                </w:tcPr>
                <w:p w14:paraId="759BCC54">
                  <w:pPr>
                    <w:adjustRightInd w:val="0"/>
                    <w:snapToGrid w:val="0"/>
                    <w:jc w:val="center"/>
                    <w:rPr>
                      <w:rFonts w:hint="eastAsia"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船型</w:t>
                  </w:r>
                </w:p>
              </w:tc>
              <w:tc>
                <w:tcPr>
                  <w:tcW w:w="917" w:type="pct"/>
                  <w:vAlign w:val="center"/>
                </w:tcPr>
                <w:p w14:paraId="004722FA">
                  <w:pPr>
                    <w:adjustRightInd w:val="0"/>
                    <w:snapToGrid w:val="0"/>
                    <w:jc w:val="center"/>
                    <w:rPr>
                      <w:rFonts w:hint="eastAsia"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总长</w:t>
                  </w:r>
                  <w:r>
                    <w:rPr>
                      <w:rFonts w:hint="eastAsia" w:ascii="Times New Roman" w:hAnsi="Times New Roman" w:eastAsia="宋体" w:cs="Times New Roman"/>
                      <w:b/>
                      <w:bCs/>
                      <w:sz w:val="21"/>
                      <w:szCs w:val="21"/>
                      <w:lang w:val="en-US" w:eastAsia="zh-CN"/>
                    </w:rPr>
                    <w:t>（m）</w:t>
                  </w:r>
                </w:p>
              </w:tc>
              <w:tc>
                <w:tcPr>
                  <w:tcW w:w="849" w:type="pct"/>
                  <w:vAlign w:val="center"/>
                </w:tcPr>
                <w:p w14:paraId="4AFBD90A">
                  <w:pPr>
                    <w:adjustRightInd w:val="0"/>
                    <w:snapToGrid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型宽（m） </w:t>
                  </w:r>
                </w:p>
              </w:tc>
              <w:tc>
                <w:tcPr>
                  <w:tcW w:w="900" w:type="pct"/>
                  <w:vAlign w:val="center"/>
                </w:tcPr>
                <w:p w14:paraId="26423E75">
                  <w:pPr>
                    <w:adjustRightInd w:val="0"/>
                    <w:snapToGrid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吃水（m）</w:t>
                  </w:r>
                </w:p>
              </w:tc>
              <w:tc>
                <w:tcPr>
                  <w:tcW w:w="734" w:type="pct"/>
                  <w:vAlign w:val="center"/>
                </w:tcPr>
                <w:p w14:paraId="6ED82CAC">
                  <w:pPr>
                    <w:adjustRightInd w:val="0"/>
                    <w:snapToGrid w:val="0"/>
                    <w:jc w:val="center"/>
                    <w:rPr>
                      <w:rFonts w:hint="eastAsia" w:ascii="Times New Roman" w:hAnsi="Times New Roman" w:eastAsia="宋体" w:cs="Times New Roman"/>
                      <w:b/>
                      <w:bCs/>
                      <w:sz w:val="21"/>
                      <w:szCs w:val="21"/>
                      <w:lang w:val="en-US" w:eastAsia="zh-CN"/>
                    </w:rPr>
                  </w:pPr>
                  <w:r>
                    <w:rPr>
                      <w:rFonts w:hint="eastAsia" w:cs="Times New Roman"/>
                      <w:b/>
                      <w:bCs/>
                      <w:sz w:val="21"/>
                      <w:szCs w:val="21"/>
                      <w:lang w:val="en-US" w:eastAsia="zh-CN"/>
                    </w:rPr>
                    <w:t>备注</w:t>
                  </w:r>
                </w:p>
              </w:tc>
            </w:tr>
            <w:tr w14:paraId="7D182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7D6E21D9">
                  <w:pPr>
                    <w:adjustRightInd w:val="0"/>
                    <w:snapToGrid w:val="0"/>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1</w:t>
                  </w:r>
                </w:p>
              </w:tc>
              <w:tc>
                <w:tcPr>
                  <w:tcW w:w="1163" w:type="pct"/>
                  <w:vAlign w:val="center"/>
                </w:tcPr>
                <w:p w14:paraId="34694FCC">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 xml:space="preserve">1 拖6×1000DWT </w:t>
                  </w:r>
                </w:p>
              </w:tc>
              <w:tc>
                <w:tcPr>
                  <w:tcW w:w="917" w:type="pct"/>
                  <w:vAlign w:val="center"/>
                </w:tcPr>
                <w:p w14:paraId="74C92F2A">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315.4～357.4</w:t>
                  </w:r>
                </w:p>
              </w:tc>
              <w:tc>
                <w:tcPr>
                  <w:tcW w:w="849" w:type="pct"/>
                  <w:vAlign w:val="center"/>
                </w:tcPr>
                <w:p w14:paraId="7F50DAEF">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11.0</w:t>
                  </w:r>
                </w:p>
              </w:tc>
              <w:tc>
                <w:tcPr>
                  <w:tcW w:w="900" w:type="pct"/>
                  <w:vAlign w:val="center"/>
                </w:tcPr>
                <w:p w14:paraId="44148536">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2.1～2.5</w:t>
                  </w:r>
                </w:p>
              </w:tc>
              <w:tc>
                <w:tcPr>
                  <w:tcW w:w="734" w:type="pct"/>
                  <w:vAlign w:val="center"/>
                </w:tcPr>
                <w:p w14:paraId="6EBD492F">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设计船型</w:t>
                  </w:r>
                </w:p>
              </w:tc>
            </w:tr>
            <w:tr w14:paraId="61FA9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77C51905">
                  <w:pPr>
                    <w:adjustRightInd w:val="0"/>
                    <w:snapToGrid w:val="0"/>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2</w:t>
                  </w:r>
                </w:p>
              </w:tc>
              <w:tc>
                <w:tcPr>
                  <w:tcW w:w="1163" w:type="pct"/>
                  <w:vAlign w:val="center"/>
                </w:tcPr>
                <w:p w14:paraId="2046442B">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 拖3×1000DWT</w:t>
                  </w:r>
                </w:p>
              </w:tc>
              <w:tc>
                <w:tcPr>
                  <w:tcW w:w="917" w:type="pct"/>
                  <w:vAlign w:val="center"/>
                </w:tcPr>
                <w:p w14:paraId="7AFE5D86">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165～186</w:t>
                  </w:r>
                </w:p>
              </w:tc>
              <w:tc>
                <w:tcPr>
                  <w:tcW w:w="849" w:type="pct"/>
                  <w:vAlign w:val="center"/>
                </w:tcPr>
                <w:p w14:paraId="24FC8A4E">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11.0</w:t>
                  </w:r>
                </w:p>
              </w:tc>
              <w:tc>
                <w:tcPr>
                  <w:tcW w:w="900" w:type="pct"/>
                  <w:vAlign w:val="center"/>
                </w:tcPr>
                <w:p w14:paraId="6BAC2674">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2.1～2.5</w:t>
                  </w:r>
                </w:p>
              </w:tc>
              <w:tc>
                <w:tcPr>
                  <w:tcW w:w="734" w:type="pct"/>
                  <w:vAlign w:val="center"/>
                </w:tcPr>
                <w:p w14:paraId="55EDF484">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兼顾船型</w:t>
                  </w:r>
                </w:p>
              </w:tc>
            </w:tr>
            <w:tr w14:paraId="12654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078A7004">
                  <w:pPr>
                    <w:adjustRightInd w:val="0"/>
                    <w:snapToGrid w:val="0"/>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3</w:t>
                  </w:r>
                </w:p>
              </w:tc>
              <w:tc>
                <w:tcPr>
                  <w:tcW w:w="1163" w:type="pct"/>
                  <w:vAlign w:val="center"/>
                </w:tcPr>
                <w:p w14:paraId="65AE0695">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 拖8×500DWT</w:t>
                  </w:r>
                </w:p>
              </w:tc>
              <w:tc>
                <w:tcPr>
                  <w:tcW w:w="917" w:type="pct"/>
                  <w:vAlign w:val="center"/>
                </w:tcPr>
                <w:p w14:paraId="47871528">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321.75～345.75</w:t>
                  </w:r>
                </w:p>
              </w:tc>
              <w:tc>
                <w:tcPr>
                  <w:tcW w:w="849" w:type="pct"/>
                  <w:vAlign w:val="center"/>
                </w:tcPr>
                <w:p w14:paraId="5616DE31">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8.0</w:t>
                  </w:r>
                </w:p>
              </w:tc>
              <w:tc>
                <w:tcPr>
                  <w:tcW w:w="900" w:type="pct"/>
                  <w:vAlign w:val="center"/>
                </w:tcPr>
                <w:p w14:paraId="723AEE03">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2.1～2.3</w:t>
                  </w:r>
                </w:p>
              </w:tc>
              <w:tc>
                <w:tcPr>
                  <w:tcW w:w="734" w:type="pct"/>
                  <w:vAlign w:val="center"/>
                </w:tcPr>
                <w:p w14:paraId="0EA317BA">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兼顾船型</w:t>
                  </w:r>
                </w:p>
              </w:tc>
            </w:tr>
            <w:tr w14:paraId="5D01A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148D2F46">
                  <w:pPr>
                    <w:adjustRightInd w:val="0"/>
                    <w:snapToGrid w:val="0"/>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4</w:t>
                  </w:r>
                </w:p>
              </w:tc>
              <w:tc>
                <w:tcPr>
                  <w:tcW w:w="1163" w:type="pct"/>
                  <w:vAlign w:val="center"/>
                </w:tcPr>
                <w:p w14:paraId="1E37E8E2">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2000DWT</w:t>
                  </w:r>
                </w:p>
              </w:tc>
              <w:tc>
                <w:tcPr>
                  <w:tcW w:w="917" w:type="pct"/>
                  <w:vAlign w:val="center"/>
                </w:tcPr>
                <w:p w14:paraId="14A0A52D">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67.6</w:t>
                  </w:r>
                </w:p>
              </w:tc>
              <w:tc>
                <w:tcPr>
                  <w:tcW w:w="849" w:type="pct"/>
                  <w:vAlign w:val="center"/>
                </w:tcPr>
                <w:p w14:paraId="6BC5AFBC">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13.8</w:t>
                  </w:r>
                </w:p>
              </w:tc>
              <w:tc>
                <w:tcPr>
                  <w:tcW w:w="900" w:type="pct"/>
                  <w:vAlign w:val="center"/>
                </w:tcPr>
                <w:p w14:paraId="032C944C">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3.0～3.3</w:t>
                  </w:r>
                </w:p>
              </w:tc>
              <w:tc>
                <w:tcPr>
                  <w:tcW w:w="734" w:type="pct"/>
                  <w:vAlign w:val="center"/>
                </w:tcPr>
                <w:p w14:paraId="7FF49978">
                  <w:pPr>
                    <w:adjustRightInd w:val="0"/>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 xml:space="preserve">水工结构兼 </w:t>
                  </w:r>
                </w:p>
                <w:p w14:paraId="00990DD2">
                  <w:pPr>
                    <w:adjustRightInd w:val="0"/>
                    <w:snapToGrid w:val="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顾船型</w:t>
                  </w:r>
                </w:p>
              </w:tc>
            </w:tr>
          </w:tbl>
          <w:p w14:paraId="0D3330DB">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lang w:val="en-US" w:eastAsia="zh-CN"/>
              </w:rPr>
              <w:t>泊位作业标准、作业天数</w:t>
            </w:r>
          </w:p>
          <w:p w14:paraId="2B134E0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本工程为淮安船闸上游船舶待闸锚地，无装卸作业。除管理部门有特殊要求外，船舶可全</w:t>
            </w:r>
            <w:r>
              <w:rPr>
                <w:rFonts w:hint="default" w:ascii="Times New Roman" w:hAnsi="Times New Roman" w:eastAsia="宋体" w:cs="Times New Roman"/>
                <w:sz w:val="24"/>
                <w:szCs w:val="24"/>
                <w:lang w:val="en-US" w:eastAsia="zh-CN"/>
              </w:rPr>
              <w:t xml:space="preserve">天候待泊。 </w:t>
            </w:r>
          </w:p>
          <w:p w14:paraId="3F17A8D7">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5、锚地功能</w:t>
            </w:r>
          </w:p>
          <w:p w14:paraId="766F891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
                <w:bCs/>
                <w:sz w:val="24"/>
                <w:szCs w:val="24"/>
                <w:lang w:val="en-US" w:eastAsia="zh-CN"/>
              </w:rPr>
            </w:pPr>
            <w:r>
              <w:rPr>
                <w:rFonts w:hint="eastAsia" w:cs="Times New Roman"/>
                <w:color w:val="auto"/>
                <w:kern w:val="0"/>
                <w:sz w:val="24"/>
                <w:szCs w:val="24"/>
                <w:lang w:val="en-US" w:eastAsia="zh-CN"/>
              </w:rPr>
              <w:t>本项目锚地功能主要为船舶提供</w:t>
            </w:r>
            <w:r>
              <w:rPr>
                <w:rFonts w:hint="default" w:cs="Times New Roman"/>
                <w:color w:val="auto"/>
                <w:kern w:val="0"/>
                <w:sz w:val="24"/>
                <w:szCs w:val="24"/>
                <w:lang w:val="en-US" w:eastAsia="zh-CN"/>
              </w:rPr>
              <w:t>待泊、应急、检验检疫、避风、物资补给、垃圾送交等</w:t>
            </w:r>
            <w:r>
              <w:rPr>
                <w:rFonts w:hint="eastAsia" w:cs="Times New Roman"/>
                <w:color w:val="auto"/>
                <w:kern w:val="0"/>
                <w:sz w:val="24"/>
                <w:szCs w:val="24"/>
                <w:lang w:val="en-US" w:eastAsia="zh-CN"/>
              </w:rPr>
              <w:t>服务。</w:t>
            </w:r>
          </w:p>
          <w:p w14:paraId="4E6AF9B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Times New Roman" w:hAnsi="Times New Roman" w:eastAsia="宋体" w:cs="Times New Roman"/>
                <w:sz w:val="24"/>
                <w:szCs w:val="24"/>
                <w:lang w:val="en-US" w:eastAsia="zh-CN"/>
              </w:rPr>
            </w:pPr>
            <w:r>
              <w:rPr>
                <w:rFonts w:hint="eastAsia" w:cs="Times New Roman"/>
                <w:b/>
                <w:bCs/>
                <w:sz w:val="24"/>
                <w:szCs w:val="24"/>
                <w:lang w:val="en-US" w:eastAsia="zh-CN"/>
              </w:rPr>
              <w:t>6</w:t>
            </w:r>
            <w:r>
              <w:rPr>
                <w:rFonts w:hint="default" w:ascii="Times New Roman" w:hAnsi="Times New Roman" w:eastAsia="宋体" w:cs="Times New Roman"/>
                <w:b/>
                <w:bCs/>
                <w:sz w:val="24"/>
                <w:szCs w:val="24"/>
                <w:lang w:val="en-US" w:eastAsia="zh-CN"/>
              </w:rPr>
              <w:t>、</w:t>
            </w:r>
            <w:r>
              <w:rPr>
                <w:rFonts w:hint="eastAsia" w:ascii="Times New Roman" w:hAnsi="Times New Roman" w:eastAsia="宋体" w:cs="Times New Roman"/>
                <w:b/>
                <w:bCs/>
                <w:sz w:val="24"/>
                <w:szCs w:val="24"/>
                <w:lang w:val="en-US" w:eastAsia="zh-CN"/>
              </w:rPr>
              <w:t>水工建筑物</w:t>
            </w:r>
          </w:p>
          <w:p w14:paraId="5C9425D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上游段新建锚地长364m，新建翼墙长36m，下游段新建锚地长374m，新建翼墙长36m。水</w:t>
            </w:r>
            <w:r>
              <w:rPr>
                <w:rFonts w:hint="default" w:ascii="Times New Roman" w:hAnsi="Times New Roman" w:eastAsia="宋体" w:cs="Times New Roman"/>
                <w:sz w:val="24"/>
                <w:szCs w:val="24"/>
                <w:lang w:val="en-US" w:eastAsia="zh-CN"/>
              </w:rPr>
              <w:t>工结构采用先张预应力H型板桩桩基承台式，结构采用下部双排桩加上部承台结构，结构顶高程10.93m，板桩前沿设计河底高程4.33m。承台宽度6.15m，厚 0.8m，承台顶高程10.13m，底高程9.33m，承台底部设10cm</w:t>
            </w:r>
            <w:r>
              <w:rPr>
                <w:rFonts w:hint="eastAsia" w:cs="Times New Roman"/>
                <w:sz w:val="24"/>
                <w:szCs w:val="24"/>
                <w:lang w:val="en-US" w:eastAsia="zh-CN"/>
              </w:rPr>
              <w:t>厚</w:t>
            </w:r>
            <w:r>
              <w:rPr>
                <w:rFonts w:hint="default" w:ascii="Times New Roman" w:hAnsi="Times New Roman" w:eastAsia="宋体" w:cs="Times New Roman"/>
                <w:sz w:val="24"/>
                <w:szCs w:val="24"/>
                <w:lang w:val="en-US" w:eastAsia="zh-CN"/>
              </w:rPr>
              <w:t>混凝土垫层。承台下部为双排桩，前后桩间距4.78m，前排先张预应力H型板桩，厚0.4m，宽度0.6m，前排板桩长15m，桩底高程-5.57m；后排钻孔灌注桩，桩径0.8m，桩长16m，桩底高程-6.57m，间距3.0m。新建锚地停泊段每间隔6m设置2m宽靠船构件和1组钢护木，靠船构件底高程8.03m，锚地顶部间隔24m设置1个250KN系船柱。为方便人员上下船，每隔48m设1座铁爬梯。</w:t>
            </w:r>
          </w:p>
          <w:p w14:paraId="64DBA3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各水工结构段之间设20mm的结构缝，缝间采用聚乙烯板填充，墙后缝宽处自上而下粘贴</w:t>
            </w:r>
            <w:r>
              <w:rPr>
                <w:rFonts w:hint="default" w:ascii="Times New Roman" w:hAnsi="Times New Roman" w:eastAsia="宋体" w:cs="Times New Roman"/>
                <w:sz w:val="24"/>
                <w:szCs w:val="24"/>
                <w:lang w:val="en-US" w:eastAsia="zh-CN"/>
              </w:rPr>
              <w:t>宽度为1.5m的400g/</w:t>
            </w:r>
            <w:r>
              <w:rPr>
                <w:rFonts w:hint="eastAsia" w:cs="Times New Roman"/>
                <w:sz w:val="24"/>
                <w:szCs w:val="24"/>
                <w:lang w:val="en-US" w:eastAsia="zh-CN"/>
              </w:rPr>
              <w:t>m</w:t>
            </w:r>
            <w:r>
              <w:rPr>
                <w:rFonts w:hint="eastAsia"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 xml:space="preserve">无纺土工布。为减小墙后水压力，在承台背部设横向排水管，管后设碎石排水通道。 </w:t>
            </w:r>
          </w:p>
          <w:p w14:paraId="0AAD253C">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7</w:t>
            </w:r>
            <w:r>
              <w:rPr>
                <w:rFonts w:hint="eastAsia" w:ascii="Times New Roman" w:hAnsi="Times New Roman" w:eastAsia="宋体" w:cs="Times New Roman"/>
                <w:b/>
                <w:bCs/>
                <w:sz w:val="24"/>
                <w:szCs w:val="24"/>
                <w:lang w:val="en-US" w:eastAsia="zh-CN"/>
              </w:rPr>
              <w:t>、公辅工程</w:t>
            </w:r>
          </w:p>
          <w:p w14:paraId="30B698E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道路工程</w:t>
            </w:r>
          </w:p>
          <w:p w14:paraId="10027D3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本工程位于已建淮安锚地上下游，后方道路设计方案与已建淮安锚地一致，将已建道路向上下游延伸。 </w:t>
            </w:r>
          </w:p>
          <w:p w14:paraId="2583731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道路宽度2.5m，路面结构从上至下依次为：3cm厚φ6细红色强固混凝土、4cm厚粗混凝土、10cm厚C20混凝土基层、10cm厚级配碎石垫层。结构层下面采用素土夯实，密实度大于0.9。 </w:t>
            </w:r>
          </w:p>
          <w:p w14:paraId="20A0048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岸电</w:t>
            </w:r>
            <w:r>
              <w:rPr>
                <w:rFonts w:hint="eastAsia" w:ascii="Times New Roman" w:hAnsi="Times New Roman" w:eastAsia="宋体" w:cs="Times New Roman"/>
                <w:sz w:val="24"/>
                <w:szCs w:val="24"/>
                <w:lang w:val="en-US" w:eastAsia="zh-CN"/>
              </w:rPr>
              <w:t xml:space="preserve"> </w:t>
            </w:r>
          </w:p>
          <w:p w14:paraId="2FDC49E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本工程拟在上下游锚地锚泊位上设置6处船舶岸电桩。根据《码头船舶岸电设施工程技术标准》（GBT51305-2018）相关规定，设备容量考虑为40kW/岸电桩，电压等级为380V。  </w:t>
            </w:r>
          </w:p>
          <w:p w14:paraId="3D461FA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 xml:space="preserve">给排水 </w:t>
            </w:r>
          </w:p>
          <w:p w14:paraId="00B0976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1</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 xml:space="preserve">给水 </w:t>
            </w:r>
          </w:p>
          <w:p w14:paraId="020BDBC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本工程供水</w:t>
            </w:r>
            <w:r>
              <w:rPr>
                <w:rFonts w:hint="eastAsia" w:ascii="Times New Roman" w:hAnsi="Times New Roman" w:eastAsia="宋体" w:cs="Times New Roman"/>
                <w:bCs/>
                <w:sz w:val="24"/>
                <w:szCs w:val="24"/>
                <w:lang w:val="en-US" w:eastAsia="zh-CN"/>
              </w:rPr>
              <w:t>由自来水管网供给</w:t>
            </w:r>
            <w:r>
              <w:rPr>
                <w:rFonts w:hint="default" w:ascii="Times New Roman" w:hAnsi="Times New Roman" w:eastAsia="宋体" w:cs="Times New Roman"/>
                <w:sz w:val="24"/>
                <w:szCs w:val="24"/>
                <w:lang w:val="en-US" w:eastAsia="zh-CN"/>
              </w:rPr>
              <w:t xml:space="preserve">。船舶上水系统、消防系统均独立设置供水管网。船舶上水管道呈支状布置，管材采用DN100钢骨架聚乙烯塑料复合管，连接方式采用电熔连接。 </w:t>
            </w:r>
          </w:p>
          <w:p w14:paraId="67B7FCF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 xml:space="preserve">排水 </w:t>
            </w:r>
          </w:p>
          <w:p w14:paraId="659EA2A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本工程排水采用雨、污分流制。在陆域设置环保沟，收集该区域所产生的</w:t>
            </w:r>
            <w:r>
              <w:rPr>
                <w:rFonts w:hint="default" w:ascii="Times New Roman" w:hAnsi="Times New Roman" w:eastAsia="宋体" w:cs="Times New Roman"/>
                <w:sz w:val="24"/>
                <w:szCs w:val="24"/>
                <w:highlight w:val="none"/>
                <w:lang w:val="en-US" w:eastAsia="zh-CN"/>
              </w:rPr>
              <w:t>初期雨水至初雨收集池</w:t>
            </w:r>
            <w:r>
              <w:rPr>
                <w:rFonts w:hint="eastAsia" w:cs="Times New Roman"/>
                <w:sz w:val="24"/>
                <w:szCs w:val="24"/>
                <w:highlight w:val="none"/>
                <w:lang w:val="en-US" w:eastAsia="zh-CN"/>
              </w:rPr>
              <w:t>（初期雨水收集量按90m</w:t>
            </w:r>
            <w:r>
              <w:rPr>
                <w:rFonts w:hint="eastAsia" w:cs="Times New Roman"/>
                <w:sz w:val="24"/>
                <w:szCs w:val="24"/>
                <w:highlight w:val="none"/>
                <w:vertAlign w:val="superscript"/>
                <w:lang w:val="en-US" w:eastAsia="zh-CN"/>
              </w:rPr>
              <w:t>3</w:t>
            </w:r>
            <w:r>
              <w:rPr>
                <w:rFonts w:hint="eastAsia" w:cs="Times New Roman"/>
                <w:sz w:val="24"/>
                <w:szCs w:val="24"/>
                <w:highlight w:val="none"/>
                <w:lang w:val="en-US" w:eastAsia="zh-CN"/>
              </w:rPr>
              <w:t>考虑）</w:t>
            </w:r>
            <w:r>
              <w:rPr>
                <w:rFonts w:hint="default" w:ascii="Times New Roman" w:hAnsi="Times New Roman" w:eastAsia="宋体" w:cs="Times New Roman"/>
                <w:sz w:val="24"/>
                <w:szCs w:val="24"/>
                <w:lang w:val="en-US" w:eastAsia="zh-CN"/>
              </w:rPr>
              <w:t>，待雨后由槽罐车清运，多余部分洁净雨水就近外排。本工程在锚地上设置2座污水收集箱（</w:t>
            </w:r>
            <w:r>
              <w:rPr>
                <w:rFonts w:hint="eastAsia" w:cs="Times New Roman"/>
                <w:sz w:val="24"/>
                <w:szCs w:val="24"/>
                <w:lang w:val="en-US" w:eastAsia="zh-CN"/>
              </w:rPr>
              <w:t>单座有效容积20m</w:t>
            </w:r>
            <w:r>
              <w:rPr>
                <w:rFonts w:hint="eastAsia"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），用于收集船舶</w:t>
            </w:r>
            <w:r>
              <w:rPr>
                <w:rFonts w:hint="eastAsia" w:cs="Times New Roman"/>
                <w:sz w:val="24"/>
                <w:szCs w:val="24"/>
                <w:lang w:val="en-US" w:eastAsia="zh-CN"/>
              </w:rPr>
              <w:t>生活</w:t>
            </w:r>
            <w:r>
              <w:rPr>
                <w:rFonts w:hint="default" w:ascii="Times New Roman" w:hAnsi="Times New Roman" w:eastAsia="宋体" w:cs="Times New Roman"/>
                <w:sz w:val="24"/>
                <w:szCs w:val="24"/>
                <w:lang w:val="en-US" w:eastAsia="zh-CN"/>
              </w:rPr>
              <w:t>污水</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船舶</w:t>
            </w:r>
            <w:r>
              <w:rPr>
                <w:rFonts w:hint="eastAsia" w:cs="Times New Roman"/>
                <w:sz w:val="24"/>
                <w:szCs w:val="24"/>
                <w:lang w:val="en-US" w:eastAsia="zh-CN"/>
              </w:rPr>
              <w:t>生活</w:t>
            </w:r>
            <w:r>
              <w:rPr>
                <w:rFonts w:hint="default" w:ascii="Times New Roman" w:hAnsi="Times New Roman" w:eastAsia="宋体" w:cs="Times New Roman"/>
                <w:sz w:val="24"/>
                <w:szCs w:val="24"/>
                <w:lang w:val="en-US" w:eastAsia="zh-CN"/>
              </w:rPr>
              <w:t xml:space="preserve">污水经污水收集箱收集后，定期外运。 </w:t>
            </w:r>
          </w:p>
          <w:p w14:paraId="4D3811C3">
            <w:pPr>
              <w:spacing w:line="460" w:lineRule="exact"/>
              <w:ind w:firstLine="482" w:firstLineChars="200"/>
              <w:rPr>
                <w:rFonts w:hint="default" w:ascii="Times New Roman" w:hAnsi="Times New Roman" w:eastAsia="宋体" w:cs="Times New Roman"/>
                <w:b/>
                <w:sz w:val="24"/>
                <w:szCs w:val="24"/>
                <w:lang w:val="en-US" w:eastAsia="zh-CN" w:bidi="ar"/>
              </w:rPr>
            </w:pPr>
            <w:r>
              <w:rPr>
                <w:rFonts w:hint="eastAsia" w:cs="Times New Roman"/>
                <w:b/>
                <w:sz w:val="24"/>
                <w:szCs w:val="24"/>
                <w:lang w:val="en-US" w:eastAsia="zh-CN" w:bidi="ar"/>
              </w:rPr>
              <w:t>8、主要经济技术指标</w:t>
            </w:r>
          </w:p>
          <w:p w14:paraId="31B20377">
            <w:pPr>
              <w:spacing w:line="460" w:lineRule="exact"/>
              <w:ind w:firstLine="480" w:firstLineChars="200"/>
              <w:jc w:val="both"/>
              <w:rPr>
                <w:rFonts w:hint="default" w:ascii="Times New Roman" w:hAnsi="Times New Roman" w:eastAsia="宋体" w:cs="Times New Roman"/>
                <w:b/>
                <w:sz w:val="24"/>
                <w:szCs w:val="24"/>
                <w:lang w:val="en-US" w:eastAsia="zh-CN"/>
              </w:rPr>
            </w:pPr>
            <w:r>
              <w:rPr>
                <w:rFonts w:hint="eastAsia" w:cs="Times New Roman"/>
                <w:b w:val="0"/>
                <w:bCs/>
                <w:sz w:val="24"/>
                <w:szCs w:val="24"/>
                <w:lang w:val="en-US" w:eastAsia="zh-CN"/>
              </w:rPr>
              <w:t>本工程主要经济技术指标见下表：</w:t>
            </w:r>
          </w:p>
          <w:p w14:paraId="3697EA8B">
            <w:pPr>
              <w:spacing w:line="460" w:lineRule="exac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eastAsia" w:cs="Times New Roman"/>
                <w:b/>
                <w:sz w:val="24"/>
                <w:szCs w:val="24"/>
                <w:lang w:val="en-US" w:eastAsia="zh-CN"/>
              </w:rPr>
              <w:t>2-3</w:t>
            </w:r>
            <w:r>
              <w:rPr>
                <w:rFonts w:hint="default" w:ascii="Times New Roman" w:hAnsi="Times New Roman" w:eastAsia="宋体" w:cs="Times New Roman"/>
                <w:b/>
                <w:sz w:val="24"/>
                <w:szCs w:val="24"/>
              </w:rPr>
              <w:t xml:space="preserve">  主要经济技术指标表</w:t>
            </w:r>
          </w:p>
          <w:tbl>
            <w:tblPr>
              <w:tblStyle w:val="3741"/>
              <w:tblW w:w="5000" w:type="pct"/>
              <w:tblInd w:w="1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00"/>
              <w:gridCol w:w="970"/>
              <w:gridCol w:w="1356"/>
              <w:gridCol w:w="758"/>
              <w:gridCol w:w="2023"/>
              <w:gridCol w:w="3025"/>
            </w:tblGrid>
            <w:tr w14:paraId="15FFF5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tcBorders>
                    <w:tl2br w:val="nil"/>
                    <w:tr2bl w:val="nil"/>
                  </w:tcBorders>
                  <w:textDirection w:val="tbRlV"/>
                  <w:vAlign w:val="center"/>
                </w:tcPr>
                <w:p w14:paraId="0538317C">
                  <w:pPr>
                    <w:autoSpaceDE w:val="0"/>
                    <w:autoSpaceDN w:val="0"/>
                    <w:adjustRightInd w:val="0"/>
                    <w:snapToGrid w:val="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rPr>
                    <w:t xml:space="preserve">  </w:t>
                  </w:r>
                  <w:r>
                    <w:rPr>
                      <w:rFonts w:hint="eastAsia" w:ascii="Times New Roman" w:hAnsi="Times New Roman" w:eastAsia="宋体" w:cs="Times New Roman"/>
                      <w:b/>
                      <w:bCs/>
                      <w:color w:val="auto"/>
                      <w:kern w:val="0"/>
                      <w:sz w:val="21"/>
                      <w:szCs w:val="21"/>
                      <w:lang w:val="en-US" w:eastAsia="zh-CN"/>
                    </w:rPr>
                    <w:t xml:space="preserve">号  序 </w:t>
                  </w:r>
                  <w:r>
                    <w:rPr>
                      <w:rFonts w:hint="default" w:ascii="Times New Roman" w:hAnsi="Times New Roman" w:eastAsia="宋体" w:cs="Times New Roman"/>
                      <w:b/>
                      <w:bCs/>
                      <w:color w:val="auto"/>
                      <w:kern w:val="0"/>
                      <w:sz w:val="21"/>
                      <w:szCs w:val="21"/>
                    </w:rPr>
                    <w:t xml:space="preserve"> </w:t>
                  </w:r>
                </w:p>
              </w:tc>
              <w:tc>
                <w:tcPr>
                  <w:tcW w:w="2326" w:type="dxa"/>
                  <w:gridSpan w:val="2"/>
                  <w:tcBorders>
                    <w:tl2br w:val="nil"/>
                    <w:tr2bl w:val="nil"/>
                  </w:tcBorders>
                  <w:vAlign w:val="center"/>
                </w:tcPr>
                <w:p w14:paraId="76D015F9">
                  <w:pPr>
                    <w:autoSpaceDE w:val="0"/>
                    <w:autoSpaceDN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w:t>
                  </w:r>
                </w:p>
              </w:tc>
              <w:tc>
                <w:tcPr>
                  <w:tcW w:w="758" w:type="dxa"/>
                  <w:tcBorders>
                    <w:tl2br w:val="nil"/>
                    <w:tr2bl w:val="nil"/>
                  </w:tcBorders>
                  <w:vAlign w:val="center"/>
                </w:tcPr>
                <w:p w14:paraId="19A29B1B">
                  <w:pPr>
                    <w:autoSpaceDE w:val="0"/>
                    <w:autoSpaceDN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单位</w:t>
                  </w:r>
                </w:p>
              </w:tc>
              <w:tc>
                <w:tcPr>
                  <w:tcW w:w="2023" w:type="dxa"/>
                  <w:tcBorders>
                    <w:tl2br w:val="nil"/>
                    <w:tr2bl w:val="nil"/>
                  </w:tcBorders>
                  <w:vAlign w:val="center"/>
                </w:tcPr>
                <w:p w14:paraId="6F903544">
                  <w:pPr>
                    <w:autoSpaceDE w:val="0"/>
                    <w:autoSpaceDN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主要指标</w:t>
                  </w:r>
                </w:p>
              </w:tc>
              <w:tc>
                <w:tcPr>
                  <w:tcW w:w="3025" w:type="dxa"/>
                  <w:tcBorders>
                    <w:tl2br w:val="nil"/>
                    <w:tr2bl w:val="nil"/>
                  </w:tcBorders>
                  <w:vAlign w:val="center"/>
                </w:tcPr>
                <w:p w14:paraId="6061BE49">
                  <w:pPr>
                    <w:autoSpaceDE w:val="0"/>
                    <w:autoSpaceDN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备注</w:t>
                  </w:r>
                </w:p>
              </w:tc>
            </w:tr>
            <w:tr w14:paraId="494A9A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vMerge w:val="restart"/>
                  <w:tcBorders>
                    <w:tl2br w:val="nil"/>
                    <w:tr2bl w:val="nil"/>
                  </w:tcBorders>
                  <w:vAlign w:val="center"/>
                </w:tcPr>
                <w:p w14:paraId="7A5971C0">
                  <w:pPr>
                    <w:autoSpaceDE w:val="0"/>
                    <w:autoSpaceDN w:val="0"/>
                    <w:adjustRightInd w:val="0"/>
                    <w:snapToGrid w:val="0"/>
                    <w:jc w:val="center"/>
                    <w:rPr>
                      <w:rFonts w:hint="default" w:ascii="Times New Roman" w:hAnsi="Times New Roman" w:eastAsia="宋体" w:cs="Times New Roman"/>
                      <w:color w:val="auto"/>
                      <w:kern w:val="0"/>
                      <w:sz w:val="21"/>
                      <w:szCs w:val="21"/>
                    </w:rPr>
                  </w:pPr>
                </w:p>
                <w:p w14:paraId="09B49D82">
                  <w:pPr>
                    <w:autoSpaceDE w:val="0"/>
                    <w:autoSpaceDN w:val="0"/>
                    <w:adjustRightInd w:val="0"/>
                    <w:snapToGrid w:val="0"/>
                    <w:jc w:val="center"/>
                    <w:rPr>
                      <w:rFonts w:hint="default" w:ascii="Times New Roman" w:hAnsi="Times New Roman" w:eastAsia="宋体" w:cs="Times New Roman"/>
                      <w:color w:val="auto"/>
                      <w:kern w:val="0"/>
                      <w:sz w:val="21"/>
                      <w:szCs w:val="21"/>
                    </w:rPr>
                  </w:pPr>
                </w:p>
                <w:p w14:paraId="3BF2DBD5">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326" w:type="dxa"/>
                  <w:gridSpan w:val="2"/>
                  <w:vMerge w:val="restart"/>
                  <w:tcBorders>
                    <w:tl2br w:val="nil"/>
                    <w:tr2bl w:val="nil"/>
                  </w:tcBorders>
                  <w:vAlign w:val="center"/>
                </w:tcPr>
                <w:p w14:paraId="70705B21">
                  <w:pPr>
                    <w:autoSpaceDE w:val="0"/>
                    <w:autoSpaceDN w:val="0"/>
                    <w:adjustRightInd w:val="0"/>
                    <w:snapToGrid w:val="0"/>
                    <w:jc w:val="center"/>
                    <w:rPr>
                      <w:rFonts w:hint="default" w:ascii="Times New Roman" w:hAnsi="Times New Roman" w:eastAsia="宋体" w:cs="Times New Roman"/>
                      <w:color w:val="auto"/>
                      <w:kern w:val="0"/>
                      <w:sz w:val="21"/>
                      <w:szCs w:val="21"/>
                    </w:rPr>
                  </w:pPr>
                </w:p>
                <w:p w14:paraId="3B678F03">
                  <w:pPr>
                    <w:autoSpaceDE w:val="0"/>
                    <w:autoSpaceDN w:val="0"/>
                    <w:adjustRightInd w:val="0"/>
                    <w:snapToGrid w:val="0"/>
                    <w:jc w:val="center"/>
                    <w:rPr>
                      <w:rFonts w:hint="default" w:ascii="Times New Roman" w:hAnsi="Times New Roman" w:eastAsia="宋体" w:cs="Times New Roman"/>
                      <w:color w:val="auto"/>
                      <w:kern w:val="0"/>
                      <w:sz w:val="21"/>
                      <w:szCs w:val="21"/>
                    </w:rPr>
                  </w:pPr>
                </w:p>
                <w:p w14:paraId="16CBC72A">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val="0"/>
                      <w:color w:val="auto"/>
                      <w:kern w:val="0"/>
                      <w:sz w:val="21"/>
                      <w:szCs w:val="21"/>
                    </w:rPr>
                    <w:t>船型</w:t>
                  </w:r>
                </w:p>
              </w:tc>
              <w:tc>
                <w:tcPr>
                  <w:tcW w:w="758" w:type="dxa"/>
                  <w:vMerge w:val="restart"/>
                  <w:tcBorders>
                    <w:tl2br w:val="nil"/>
                    <w:tr2bl w:val="nil"/>
                  </w:tcBorders>
                  <w:vAlign w:val="center"/>
                </w:tcPr>
                <w:p w14:paraId="1EF10811">
                  <w:pPr>
                    <w:autoSpaceDE w:val="0"/>
                    <w:autoSpaceDN w:val="0"/>
                    <w:adjustRightInd w:val="0"/>
                    <w:snapToGrid w:val="0"/>
                    <w:jc w:val="center"/>
                    <w:rPr>
                      <w:rFonts w:hint="default" w:ascii="Times New Roman" w:hAnsi="Times New Roman" w:eastAsia="宋体" w:cs="Times New Roman"/>
                      <w:color w:val="auto"/>
                      <w:kern w:val="0"/>
                      <w:sz w:val="21"/>
                      <w:szCs w:val="21"/>
                    </w:rPr>
                  </w:pPr>
                </w:p>
                <w:p w14:paraId="20E14527">
                  <w:pPr>
                    <w:autoSpaceDE w:val="0"/>
                    <w:autoSpaceDN w:val="0"/>
                    <w:adjustRightInd w:val="0"/>
                    <w:snapToGrid w:val="0"/>
                    <w:jc w:val="center"/>
                    <w:rPr>
                      <w:rFonts w:hint="default" w:ascii="Times New Roman" w:hAnsi="Times New Roman" w:eastAsia="宋体" w:cs="Times New Roman"/>
                      <w:color w:val="auto"/>
                      <w:kern w:val="0"/>
                      <w:sz w:val="21"/>
                      <w:szCs w:val="21"/>
                    </w:rPr>
                  </w:pPr>
                </w:p>
                <w:p w14:paraId="1931F879">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吨级</w:t>
                  </w:r>
                </w:p>
              </w:tc>
              <w:tc>
                <w:tcPr>
                  <w:tcW w:w="2023" w:type="dxa"/>
                  <w:tcBorders>
                    <w:tl2br w:val="nil"/>
                    <w:tr2bl w:val="nil"/>
                  </w:tcBorders>
                  <w:vAlign w:val="center"/>
                </w:tcPr>
                <w:p w14:paraId="6BEB1C7E">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 拖 6×1000DWT</w:t>
                  </w:r>
                </w:p>
              </w:tc>
              <w:tc>
                <w:tcPr>
                  <w:tcW w:w="3025" w:type="dxa"/>
                  <w:tcBorders>
                    <w:tl2br w:val="nil"/>
                    <w:tr2bl w:val="nil"/>
                  </w:tcBorders>
                  <w:vAlign w:val="center"/>
                </w:tcPr>
                <w:p w14:paraId="15F6C3C2">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设计船型</w:t>
                  </w:r>
                </w:p>
              </w:tc>
            </w:tr>
            <w:tr w14:paraId="6C2233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vMerge w:val="continue"/>
                  <w:tcBorders>
                    <w:tl2br w:val="nil"/>
                    <w:tr2bl w:val="nil"/>
                  </w:tcBorders>
                  <w:vAlign w:val="center"/>
                </w:tcPr>
                <w:p w14:paraId="260B802C">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2326" w:type="dxa"/>
                  <w:gridSpan w:val="2"/>
                  <w:vMerge w:val="continue"/>
                  <w:tcBorders>
                    <w:tl2br w:val="nil"/>
                    <w:tr2bl w:val="nil"/>
                  </w:tcBorders>
                  <w:vAlign w:val="center"/>
                </w:tcPr>
                <w:p w14:paraId="5FC7461C">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758" w:type="dxa"/>
                  <w:vMerge w:val="continue"/>
                  <w:tcBorders>
                    <w:tl2br w:val="nil"/>
                    <w:tr2bl w:val="nil"/>
                  </w:tcBorders>
                  <w:vAlign w:val="center"/>
                </w:tcPr>
                <w:p w14:paraId="539D1E53">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2023" w:type="dxa"/>
                  <w:tcBorders>
                    <w:tl2br w:val="nil"/>
                    <w:tr2bl w:val="nil"/>
                  </w:tcBorders>
                  <w:vAlign w:val="center"/>
                </w:tcPr>
                <w:p w14:paraId="750CDD02">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 拖 3×1000DWT</w:t>
                  </w:r>
                </w:p>
              </w:tc>
              <w:tc>
                <w:tcPr>
                  <w:tcW w:w="3025" w:type="dxa"/>
                  <w:tcBorders>
                    <w:tl2br w:val="nil"/>
                    <w:tr2bl w:val="nil"/>
                  </w:tcBorders>
                  <w:vAlign w:val="center"/>
                </w:tcPr>
                <w:p w14:paraId="4EADBDE5">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兼顾船型</w:t>
                  </w:r>
                </w:p>
              </w:tc>
            </w:tr>
            <w:tr w14:paraId="5989A0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vMerge w:val="continue"/>
                  <w:tcBorders>
                    <w:tl2br w:val="nil"/>
                    <w:tr2bl w:val="nil"/>
                  </w:tcBorders>
                  <w:vAlign w:val="center"/>
                </w:tcPr>
                <w:p w14:paraId="4C76DAAC">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2326" w:type="dxa"/>
                  <w:gridSpan w:val="2"/>
                  <w:vMerge w:val="continue"/>
                  <w:tcBorders>
                    <w:tl2br w:val="nil"/>
                    <w:tr2bl w:val="nil"/>
                  </w:tcBorders>
                  <w:vAlign w:val="center"/>
                </w:tcPr>
                <w:p w14:paraId="2FC11DFC">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758" w:type="dxa"/>
                  <w:vMerge w:val="continue"/>
                  <w:tcBorders>
                    <w:tl2br w:val="nil"/>
                    <w:tr2bl w:val="nil"/>
                  </w:tcBorders>
                  <w:vAlign w:val="center"/>
                </w:tcPr>
                <w:p w14:paraId="1E7EB96D">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2023" w:type="dxa"/>
                  <w:tcBorders>
                    <w:tl2br w:val="nil"/>
                    <w:tr2bl w:val="nil"/>
                  </w:tcBorders>
                  <w:vAlign w:val="center"/>
                </w:tcPr>
                <w:p w14:paraId="1AB2DAD7">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 拖 8×500DWT</w:t>
                  </w:r>
                </w:p>
              </w:tc>
              <w:tc>
                <w:tcPr>
                  <w:tcW w:w="3025" w:type="dxa"/>
                  <w:tcBorders>
                    <w:tl2br w:val="nil"/>
                    <w:tr2bl w:val="nil"/>
                  </w:tcBorders>
                  <w:vAlign w:val="center"/>
                </w:tcPr>
                <w:p w14:paraId="3A72A189">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兼顾船型</w:t>
                  </w:r>
                </w:p>
              </w:tc>
            </w:tr>
            <w:tr w14:paraId="45B7BF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vMerge w:val="continue"/>
                  <w:tcBorders>
                    <w:tl2br w:val="nil"/>
                    <w:tr2bl w:val="nil"/>
                  </w:tcBorders>
                  <w:vAlign w:val="center"/>
                </w:tcPr>
                <w:p w14:paraId="62E63B03">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2326" w:type="dxa"/>
                  <w:gridSpan w:val="2"/>
                  <w:vMerge w:val="continue"/>
                  <w:tcBorders>
                    <w:tl2br w:val="nil"/>
                    <w:tr2bl w:val="nil"/>
                  </w:tcBorders>
                  <w:vAlign w:val="center"/>
                </w:tcPr>
                <w:p w14:paraId="15B74713">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758" w:type="dxa"/>
                  <w:vMerge w:val="continue"/>
                  <w:tcBorders>
                    <w:tl2br w:val="nil"/>
                    <w:tr2bl w:val="nil"/>
                  </w:tcBorders>
                  <w:vAlign w:val="center"/>
                </w:tcPr>
                <w:p w14:paraId="0EBFD338">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2023" w:type="dxa"/>
                  <w:tcBorders>
                    <w:tl2br w:val="nil"/>
                    <w:tr2bl w:val="nil"/>
                  </w:tcBorders>
                  <w:vAlign w:val="center"/>
                </w:tcPr>
                <w:p w14:paraId="19063FCF">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2000DWT 船舶</w:t>
                  </w:r>
                </w:p>
              </w:tc>
              <w:tc>
                <w:tcPr>
                  <w:tcW w:w="3025" w:type="dxa"/>
                  <w:tcBorders>
                    <w:tl2br w:val="nil"/>
                    <w:tr2bl w:val="nil"/>
                  </w:tcBorders>
                  <w:vAlign w:val="center"/>
                </w:tcPr>
                <w:p w14:paraId="7E169109">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兼顾船型</w:t>
                  </w:r>
                </w:p>
              </w:tc>
            </w:tr>
            <w:tr w14:paraId="4DF061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tcBorders>
                    <w:tl2br w:val="nil"/>
                    <w:tr2bl w:val="nil"/>
                  </w:tcBorders>
                  <w:vAlign w:val="center"/>
                </w:tcPr>
                <w:p w14:paraId="096ADBEA">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326" w:type="dxa"/>
                  <w:gridSpan w:val="2"/>
                  <w:tcBorders>
                    <w:tl2br w:val="nil"/>
                    <w:tr2bl w:val="nil"/>
                  </w:tcBorders>
                  <w:vAlign w:val="center"/>
                </w:tcPr>
                <w:p w14:paraId="115521C7">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锚位数量</w:t>
                  </w:r>
                </w:p>
              </w:tc>
              <w:tc>
                <w:tcPr>
                  <w:tcW w:w="758" w:type="dxa"/>
                  <w:tcBorders>
                    <w:tl2br w:val="nil"/>
                    <w:tr2bl w:val="nil"/>
                  </w:tcBorders>
                  <w:vAlign w:val="center"/>
                </w:tcPr>
                <w:p w14:paraId="44628FA9">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个</w:t>
                  </w:r>
                </w:p>
              </w:tc>
              <w:tc>
                <w:tcPr>
                  <w:tcW w:w="2023" w:type="dxa"/>
                  <w:tcBorders>
                    <w:tl2br w:val="nil"/>
                    <w:tr2bl w:val="nil"/>
                  </w:tcBorders>
                  <w:vAlign w:val="center"/>
                </w:tcPr>
                <w:p w14:paraId="7B4C55FE">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3025" w:type="dxa"/>
                  <w:tcBorders>
                    <w:tl2br w:val="nil"/>
                    <w:tr2bl w:val="nil"/>
                  </w:tcBorders>
                  <w:vAlign w:val="center"/>
                </w:tcPr>
                <w:p w14:paraId="6E6C8896">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 个 1 拖 6×1000DWT 锚位</w:t>
                  </w:r>
                </w:p>
              </w:tc>
            </w:tr>
            <w:tr w14:paraId="422DDB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tcBorders>
                    <w:tl2br w:val="nil"/>
                    <w:tr2bl w:val="nil"/>
                  </w:tcBorders>
                  <w:vAlign w:val="center"/>
                </w:tcPr>
                <w:p w14:paraId="6123AE19">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326" w:type="dxa"/>
                  <w:gridSpan w:val="2"/>
                  <w:tcBorders>
                    <w:tl2br w:val="nil"/>
                    <w:tr2bl w:val="nil"/>
                  </w:tcBorders>
                  <w:vAlign w:val="center"/>
                </w:tcPr>
                <w:p w14:paraId="62AFF11E">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淮安锚地扩建长度</w:t>
                  </w:r>
                </w:p>
              </w:tc>
              <w:tc>
                <w:tcPr>
                  <w:tcW w:w="758" w:type="dxa"/>
                  <w:tcBorders>
                    <w:tl2br w:val="nil"/>
                    <w:tr2bl w:val="nil"/>
                  </w:tcBorders>
                  <w:vAlign w:val="center"/>
                </w:tcPr>
                <w:p w14:paraId="5F1A7144">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w:t>
                  </w:r>
                </w:p>
              </w:tc>
              <w:tc>
                <w:tcPr>
                  <w:tcW w:w="2023" w:type="dxa"/>
                  <w:tcBorders>
                    <w:tl2br w:val="nil"/>
                    <w:tr2bl w:val="nil"/>
                  </w:tcBorders>
                  <w:vAlign w:val="center"/>
                </w:tcPr>
                <w:p w14:paraId="418DCBA8">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810</w:t>
                  </w:r>
                </w:p>
              </w:tc>
              <w:tc>
                <w:tcPr>
                  <w:tcW w:w="3025" w:type="dxa"/>
                  <w:tcBorders>
                    <w:tl2br w:val="nil"/>
                    <w:tr2bl w:val="nil"/>
                  </w:tcBorders>
                  <w:vAlign w:val="center"/>
                </w:tcPr>
                <w:p w14:paraId="4A0B5C6C">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已建标准化锚地上游扩建</w:t>
                  </w:r>
                </w:p>
                <w:p w14:paraId="508F9859">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400m， 下游扩建 410m</w:t>
                  </w:r>
                </w:p>
              </w:tc>
            </w:tr>
            <w:tr w14:paraId="0E8450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tcBorders>
                    <w:tl2br w:val="nil"/>
                    <w:tr2bl w:val="nil"/>
                  </w:tcBorders>
                  <w:vAlign w:val="center"/>
                </w:tcPr>
                <w:p w14:paraId="27DB68BB">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2326" w:type="dxa"/>
                  <w:gridSpan w:val="2"/>
                  <w:tcBorders>
                    <w:tl2br w:val="nil"/>
                    <w:tr2bl w:val="nil"/>
                  </w:tcBorders>
                  <w:vAlign w:val="center"/>
                </w:tcPr>
                <w:p w14:paraId="201FDFB4">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南港疏浚尺寸</w:t>
                  </w:r>
                </w:p>
              </w:tc>
              <w:tc>
                <w:tcPr>
                  <w:tcW w:w="758" w:type="dxa"/>
                  <w:tcBorders>
                    <w:tl2br w:val="nil"/>
                    <w:tr2bl w:val="nil"/>
                  </w:tcBorders>
                  <w:vAlign w:val="center"/>
                </w:tcPr>
                <w:p w14:paraId="51B1A896">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w:t>
                  </w:r>
                </w:p>
              </w:tc>
              <w:tc>
                <w:tcPr>
                  <w:tcW w:w="2023" w:type="dxa"/>
                  <w:tcBorders>
                    <w:tl2br w:val="nil"/>
                    <w:tr2bl w:val="nil"/>
                  </w:tcBorders>
                  <w:vAlign w:val="center"/>
                </w:tcPr>
                <w:p w14:paraId="18109C39">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994×36～71</w:t>
                  </w:r>
                </w:p>
              </w:tc>
              <w:tc>
                <w:tcPr>
                  <w:tcW w:w="3025" w:type="dxa"/>
                  <w:tcBorders>
                    <w:tl2br w:val="nil"/>
                    <w:tr2bl w:val="nil"/>
                  </w:tcBorders>
                  <w:vAlign w:val="center"/>
                </w:tcPr>
                <w:p w14:paraId="001F2F71">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疏浚后水深不小于 4.0m</w:t>
                  </w:r>
                </w:p>
              </w:tc>
            </w:tr>
            <w:tr w14:paraId="5C8BBF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vMerge w:val="restart"/>
                  <w:tcBorders>
                    <w:tl2br w:val="nil"/>
                    <w:tr2bl w:val="nil"/>
                  </w:tcBorders>
                  <w:vAlign w:val="center"/>
                </w:tcPr>
                <w:p w14:paraId="0A46B6D6">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970" w:type="dxa"/>
                  <w:vMerge w:val="restart"/>
                  <w:tcBorders>
                    <w:tl2br w:val="nil"/>
                    <w:tr2bl w:val="nil"/>
                  </w:tcBorders>
                  <w:vAlign w:val="center"/>
                </w:tcPr>
                <w:p w14:paraId="1C1E16CB">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疏浚</w:t>
                  </w:r>
                </w:p>
                <w:p w14:paraId="6A509294">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工程量</w:t>
                  </w:r>
                </w:p>
              </w:tc>
              <w:tc>
                <w:tcPr>
                  <w:tcW w:w="1356" w:type="dxa"/>
                  <w:tcBorders>
                    <w:tl2br w:val="nil"/>
                    <w:tr2bl w:val="nil"/>
                  </w:tcBorders>
                  <w:vAlign w:val="center"/>
                </w:tcPr>
                <w:p w14:paraId="359929DF">
                  <w:pPr>
                    <w:autoSpaceDE w:val="0"/>
                    <w:autoSpaceDN w:val="0"/>
                    <w:adjustRightInd w:val="0"/>
                    <w:snapToGrid w:val="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锚地</w:t>
                  </w:r>
                  <w:r>
                    <w:rPr>
                      <w:rFonts w:hint="eastAsia" w:cs="Times New Roman"/>
                      <w:color w:val="auto"/>
                      <w:kern w:val="0"/>
                      <w:sz w:val="21"/>
                      <w:szCs w:val="21"/>
                      <w:lang w:val="en-US" w:eastAsia="zh-CN"/>
                    </w:rPr>
                    <w:t>扩建</w:t>
                  </w:r>
                </w:p>
              </w:tc>
              <w:tc>
                <w:tcPr>
                  <w:tcW w:w="758" w:type="dxa"/>
                  <w:vMerge w:val="restart"/>
                  <w:tcBorders>
                    <w:tl2br w:val="nil"/>
                    <w:tr2bl w:val="nil"/>
                  </w:tcBorders>
                  <w:vAlign w:val="center"/>
                </w:tcPr>
                <w:p w14:paraId="54758C41">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万m³</w:t>
                  </w:r>
                </w:p>
              </w:tc>
              <w:tc>
                <w:tcPr>
                  <w:tcW w:w="2023" w:type="dxa"/>
                  <w:tcBorders>
                    <w:tl2br w:val="nil"/>
                    <w:tr2bl w:val="nil"/>
                  </w:tcBorders>
                  <w:vAlign w:val="center"/>
                </w:tcPr>
                <w:p w14:paraId="53B0491F">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w:t>
                  </w:r>
                </w:p>
              </w:tc>
              <w:tc>
                <w:tcPr>
                  <w:tcW w:w="3025" w:type="dxa"/>
                  <w:tcBorders>
                    <w:tl2br w:val="nil"/>
                    <w:tr2bl w:val="nil"/>
                  </w:tcBorders>
                  <w:vAlign w:val="center"/>
                </w:tcPr>
                <w:p w14:paraId="4F6148E0">
                  <w:pPr>
                    <w:autoSpaceDE w:val="0"/>
                    <w:autoSpaceDN w:val="0"/>
                    <w:adjustRightInd w:val="0"/>
                    <w:snapToGrid w:val="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r w14:paraId="50077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vMerge w:val="continue"/>
                  <w:tcBorders>
                    <w:tl2br w:val="nil"/>
                    <w:tr2bl w:val="nil"/>
                  </w:tcBorders>
                  <w:vAlign w:val="center"/>
                </w:tcPr>
                <w:p w14:paraId="7829C7D9">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970" w:type="dxa"/>
                  <w:vMerge w:val="continue"/>
                  <w:tcBorders>
                    <w:tl2br w:val="nil"/>
                    <w:tr2bl w:val="nil"/>
                  </w:tcBorders>
                  <w:vAlign w:val="center"/>
                </w:tcPr>
                <w:p w14:paraId="41B550A9">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1356" w:type="dxa"/>
                  <w:tcBorders>
                    <w:tl2br w:val="nil"/>
                    <w:tr2bl w:val="nil"/>
                  </w:tcBorders>
                  <w:vAlign w:val="center"/>
                </w:tcPr>
                <w:p w14:paraId="4C83A33E">
                  <w:pPr>
                    <w:autoSpaceDE w:val="0"/>
                    <w:autoSpaceDN w:val="0"/>
                    <w:adjustRightInd w:val="0"/>
                    <w:snapToGrid w:val="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南港</w:t>
                  </w:r>
                  <w:r>
                    <w:rPr>
                      <w:rFonts w:hint="eastAsia" w:cs="Times New Roman"/>
                      <w:color w:val="auto"/>
                      <w:kern w:val="0"/>
                      <w:sz w:val="21"/>
                      <w:szCs w:val="21"/>
                      <w:lang w:val="en-US" w:eastAsia="zh-CN"/>
                    </w:rPr>
                    <w:t>疏浚</w:t>
                  </w:r>
                </w:p>
              </w:tc>
              <w:tc>
                <w:tcPr>
                  <w:tcW w:w="758" w:type="dxa"/>
                  <w:vMerge w:val="continue"/>
                  <w:tcBorders>
                    <w:tl2br w:val="nil"/>
                    <w:tr2bl w:val="nil"/>
                  </w:tcBorders>
                  <w:vAlign w:val="center"/>
                </w:tcPr>
                <w:p w14:paraId="4CA2C1FD">
                  <w:pPr>
                    <w:autoSpaceDE w:val="0"/>
                    <w:autoSpaceDN w:val="0"/>
                    <w:adjustRightInd w:val="0"/>
                    <w:snapToGrid w:val="0"/>
                    <w:jc w:val="center"/>
                    <w:rPr>
                      <w:rFonts w:hint="default" w:ascii="Times New Roman" w:hAnsi="Times New Roman" w:eastAsia="宋体" w:cs="Times New Roman"/>
                      <w:color w:val="auto"/>
                      <w:kern w:val="0"/>
                      <w:sz w:val="21"/>
                      <w:szCs w:val="21"/>
                    </w:rPr>
                  </w:pPr>
                </w:p>
              </w:tc>
              <w:tc>
                <w:tcPr>
                  <w:tcW w:w="2023" w:type="dxa"/>
                  <w:tcBorders>
                    <w:tl2br w:val="nil"/>
                    <w:tr2bl w:val="nil"/>
                  </w:tcBorders>
                  <w:vAlign w:val="center"/>
                </w:tcPr>
                <w:p w14:paraId="2D9D998C">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w:t>
                  </w:r>
                </w:p>
              </w:tc>
              <w:tc>
                <w:tcPr>
                  <w:tcW w:w="3025" w:type="dxa"/>
                  <w:tcBorders>
                    <w:tl2br w:val="nil"/>
                    <w:tr2bl w:val="nil"/>
                  </w:tcBorders>
                  <w:vAlign w:val="center"/>
                </w:tcPr>
                <w:p w14:paraId="3AF8F290">
                  <w:pPr>
                    <w:autoSpaceDE w:val="0"/>
                    <w:autoSpaceDN w:val="0"/>
                    <w:adjustRightInd w:val="0"/>
                    <w:snapToGrid w:val="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r w14:paraId="2A7A26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0" w:type="dxa"/>
                  <w:tcBorders>
                    <w:tl2br w:val="nil"/>
                    <w:tr2bl w:val="nil"/>
                  </w:tcBorders>
                  <w:vAlign w:val="center"/>
                </w:tcPr>
                <w:p w14:paraId="55D2E3DC">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2326" w:type="dxa"/>
                  <w:gridSpan w:val="2"/>
                  <w:tcBorders>
                    <w:tl2br w:val="nil"/>
                    <w:tr2bl w:val="nil"/>
                  </w:tcBorders>
                  <w:vAlign w:val="center"/>
                </w:tcPr>
                <w:p w14:paraId="4601DAE8">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总投资</w:t>
                  </w:r>
                </w:p>
              </w:tc>
              <w:tc>
                <w:tcPr>
                  <w:tcW w:w="758" w:type="dxa"/>
                  <w:tcBorders>
                    <w:tl2br w:val="nil"/>
                    <w:tr2bl w:val="nil"/>
                  </w:tcBorders>
                  <w:vAlign w:val="center"/>
                </w:tcPr>
                <w:p w14:paraId="6FC58CDC">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万元</w:t>
                  </w:r>
                </w:p>
              </w:tc>
              <w:tc>
                <w:tcPr>
                  <w:tcW w:w="2023" w:type="dxa"/>
                  <w:tcBorders>
                    <w:tl2br w:val="nil"/>
                    <w:tr2bl w:val="nil"/>
                  </w:tcBorders>
                  <w:vAlign w:val="center"/>
                </w:tcPr>
                <w:p w14:paraId="19002F04">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6000</w:t>
                  </w:r>
                </w:p>
              </w:tc>
              <w:tc>
                <w:tcPr>
                  <w:tcW w:w="3025" w:type="dxa"/>
                  <w:tcBorders>
                    <w:tl2br w:val="nil"/>
                    <w:tr2bl w:val="nil"/>
                  </w:tcBorders>
                  <w:vAlign w:val="center"/>
                </w:tcPr>
                <w:p w14:paraId="7EE97BB3">
                  <w:pPr>
                    <w:autoSpaceDE w:val="0"/>
                    <w:autoSpaceDN w:val="0"/>
                    <w:adjustRightInd w:val="0"/>
                    <w:snapToGrid w:val="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资金来源：本工程项目资金为企业自筹，其中20%为资本金，80%为债务资金，融资主体为建设单位淮安大成港业投资股份有限公司，通过商业银行贷款筹集，为长期借款。</w:t>
                  </w:r>
                </w:p>
              </w:tc>
            </w:tr>
          </w:tbl>
          <w:p w14:paraId="1B9BB715">
            <w:pPr>
              <w:spacing w:line="460" w:lineRule="exact"/>
              <w:rPr>
                <w:rFonts w:hint="default" w:ascii="Times New Roman" w:hAnsi="Times New Roman" w:eastAsia="宋体" w:cs="Times New Roman"/>
                <w:bCs/>
                <w:sz w:val="24"/>
                <w:szCs w:val="24"/>
                <w:lang w:val="en-US" w:eastAsia="zh-CN"/>
              </w:rPr>
            </w:pPr>
          </w:p>
        </w:tc>
      </w:tr>
      <w:tr w14:paraId="1D275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777" w:type="dxa"/>
            <w:vAlign w:val="center"/>
          </w:tcPr>
          <w:p w14:paraId="17F18F09">
            <w:pPr>
              <w:pStyle w:val="82"/>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总平面及现场布置</w:t>
            </w:r>
          </w:p>
        </w:tc>
        <w:tc>
          <w:tcPr>
            <w:tcW w:w="7745" w:type="dxa"/>
            <w:vAlign w:val="center"/>
          </w:tcPr>
          <w:p w14:paraId="3C13C7C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总平面布置：</w:t>
            </w:r>
          </w:p>
          <w:p w14:paraId="1F698E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1、水域布置 </w:t>
            </w:r>
          </w:p>
          <w:p w14:paraId="6B31812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（1）扩建锚地工程 </w:t>
            </w:r>
          </w:p>
          <w:p w14:paraId="40F62C1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补偿扩建锚地工程位于京杭运河左侧已建淮安锚地上下游两端。已建淮安锚地上游端点距离黄码大桥约650m，黄码大桥下游桥区水域长度为180m，则剩余约470m可布置锚泊区。现有航道护岸在距离黄码大桥约230m处有较大转角，岸线不顺直，根据现场地形，上游段适合建设锚地长度420m。本次补偿扩建锚地上游段总长400m，其中新建锚地长364m，利用已建锚地翼墙长36m（翼墙已建有系靠船设施，本次仅对其前沿进行疏浚），布置1个1拖6×1000DWT拖带船队泊位，锚地上游端点距离黄码大桥约为200.3m，在桥区水域外。锚地顶高程10.93m，锚地前沿设计河底高程 4.33m。锚地前沿线沿原航道护岸平行布置，停泊水域宽度22m，锚地前沿线距离航道中心线最小距离89m。为防止疏浚对原航道护岸安全造成影响，在锚地上游端新建 36m翼墙。</w:t>
            </w:r>
          </w:p>
          <w:p w14:paraId="3558A3F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建淮安锚地下游端点距离下游京杭运河与里下河汇流口约700m。汇流口上游有2条穿河管线，分别为盐化工管道和淮安市第三污水厂污水管道，管线距离已建锚地下游端约520m。根据运河通航标准5.4.2条：运河的水下过河建筑物宜布置在港区边界和通航建筑物上、下游引</w:t>
            </w:r>
            <w:r>
              <w:rPr>
                <w:rFonts w:hint="eastAsia" w:ascii="Times New Roman" w:hAnsi="Times New Roman" w:eastAsia="宋体" w:cs="Times New Roman"/>
                <w:sz w:val="24"/>
                <w:szCs w:val="24"/>
                <w:lang w:val="en-US" w:eastAsia="zh-CN"/>
              </w:rPr>
              <w:t>航道口门区100m以外河床稳定的地方。本次补偿扩建锚地下游段总长410m，其中新建锚地长</w:t>
            </w:r>
            <w:r>
              <w:rPr>
                <w:rFonts w:hint="default" w:ascii="Times New Roman" w:hAnsi="Times New Roman" w:eastAsia="宋体" w:cs="Times New Roman"/>
                <w:sz w:val="24"/>
                <w:szCs w:val="24"/>
                <w:lang w:val="en-US" w:eastAsia="zh-CN"/>
              </w:rPr>
              <w:t xml:space="preserve">374m，利用已建锚地翼墙长36m（翼墙已建有系靠船设施，本次仅对其前沿进行疏浚）补偿扩建锚地下游端点距离下游管线距离102.4m，满足规范要求。由于该河段为微弯河道，锚地走向沿河岸走向呈5段折线布置，结合拖带船队船长情况，各段长度分别为96m、108m、60m、60m及50m，折线段长度为374m，布置1个1拖6×1000DWT拖带船队。锚地顶高程10.93m，锚地前沿设计河底高程4.33m。锚地前沿线沿原航道护岸平行布置，停泊水域宽度22m，锚地前沿线距离航道中心线最小距离89.7m。为防止疏浚对原航道护岸安全造成影响，在锚地下游端新建36m翼墙。 </w:t>
            </w:r>
          </w:p>
          <w:p w14:paraId="59CBA5E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（2）南港疏浚 </w:t>
            </w:r>
          </w:p>
          <w:p w14:paraId="471E9BA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南港疏浚位于京杭运河两淮段清浦大桥与运河大桥间北岸。根据工程河段河道条件，清浦大桥与运河大桥相距约1.87km，北岸上游段约480m河岸距离航道边线不足30m，水域狭窄，且后方陆域均已被其它企业利用，岸线没有退后空间，下游段大运河桥上游360m河段为桥区水域，仅中部原南港码头及其下游侧共约1km河段可利用来布置锚泊区。结合工程河段水域条件，上游疏浚起点距上游青浦大桥502.4m，下游疏浚终点距下游大运河桥360m，为不影响疏 浚对现有护岸结构的安全影响，疏浚顶边线距离现有护岸结构前沿安全距离不小于6m。南港岸线疏浚工程仅对航道中心线至左侧原护岸之间进行疏浚，疏浚长度约为994m，疏浚宽度约为36m-71m，疏浚设计水深为4.0m。为不影响疏浚对现有护岸结构的安全影响，疏浚顶边线距离现有护岸结构前沿安全距离不小于6m。 </w:t>
            </w:r>
          </w:p>
          <w:p w14:paraId="472F486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2、陆域布置 </w:t>
            </w:r>
          </w:p>
          <w:p w14:paraId="3D0817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锚地专属淮安船闸过闸船舶待泊使用，陆域布置2m宽人行步道，配套建设供电照明、通信、给排水、消防、环保、安全等设施。</w:t>
            </w:r>
          </w:p>
          <w:p w14:paraId="766938E6">
            <w:pPr>
              <w:adjustRightInd w:val="0"/>
              <w:snapToGrid w:val="0"/>
              <w:spacing w:line="460" w:lineRule="exact"/>
              <w:ind w:firstLine="482" w:firstLineChars="200"/>
              <w:rPr>
                <w:rFonts w:hint="default" w:cs="Times New Roman"/>
                <w:color w:val="FF0000"/>
                <w:sz w:val="24"/>
                <w:szCs w:val="24"/>
                <w:lang w:val="en-US" w:eastAsia="zh-CN"/>
              </w:rPr>
            </w:pPr>
            <w:r>
              <w:rPr>
                <w:rFonts w:hint="eastAsia" w:cs="Times New Roman"/>
                <w:b/>
                <w:bCs/>
                <w:color w:val="auto"/>
                <w:sz w:val="24"/>
                <w:szCs w:val="24"/>
                <w:lang w:val="en-US" w:eastAsia="zh-CN"/>
              </w:rPr>
              <w:t>施工现场布置：</w:t>
            </w:r>
          </w:p>
          <w:p w14:paraId="0E1CA77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本工程不设置施工营地，施工人员生活就近依托当地居民设施。</w:t>
            </w:r>
          </w:p>
          <w:p w14:paraId="16A162C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s="Times New Roman"/>
                <w:color w:val="FF0000"/>
                <w:sz w:val="24"/>
                <w:szCs w:val="24"/>
                <w:lang w:val="en-US" w:eastAsia="zh-CN"/>
              </w:rPr>
            </w:pPr>
            <w:r>
              <w:rPr>
                <w:rFonts w:hint="eastAsia" w:ascii="Times New Roman" w:hAnsi="Times New Roman" w:eastAsia="宋体" w:cs="Times New Roman"/>
                <w:sz w:val="24"/>
                <w:szCs w:val="24"/>
                <w:lang w:val="en-US" w:eastAsia="zh-CN"/>
              </w:rPr>
              <w:t>本工程采用</w:t>
            </w:r>
            <w:r>
              <w:rPr>
                <w:rFonts w:hint="eastAsia" w:cs="Times New Roman"/>
                <w:sz w:val="24"/>
                <w:szCs w:val="24"/>
                <w:lang w:val="en-US" w:eastAsia="zh-CN"/>
              </w:rPr>
              <w:t>抓斗</w:t>
            </w:r>
            <w:r>
              <w:rPr>
                <w:rFonts w:hint="default" w:ascii="Times New Roman" w:hAnsi="Times New Roman" w:eastAsia="宋体" w:cs="Times New Roman"/>
                <w:sz w:val="24"/>
                <w:szCs w:val="24"/>
                <w:lang w:val="en-US" w:eastAsia="zh-CN"/>
              </w:rPr>
              <w:t>挖泥船进行疏浚，</w:t>
            </w:r>
            <w:r>
              <w:rPr>
                <w:rFonts w:hint="eastAsia" w:ascii="CIDFont" w:hAnsi="CIDFont" w:eastAsia="CIDFont" w:cs="CIDFont"/>
                <w:color w:val="000000"/>
                <w:kern w:val="0"/>
                <w:sz w:val="24"/>
                <w:szCs w:val="24"/>
                <w:lang w:val="en-US" w:eastAsia="zh-CN" w:bidi="ar"/>
              </w:rPr>
              <w:t>疏浚产生的淤泥配泥驳转运至拟定污泥干化场</w:t>
            </w:r>
            <w:r>
              <w:rPr>
                <w:rFonts w:hint="default" w:ascii="CIDFont" w:hAnsi="CIDFont" w:eastAsia="CIDFont" w:cs="CIDFont"/>
                <w:color w:val="000000"/>
                <w:kern w:val="0"/>
                <w:sz w:val="24"/>
                <w:szCs w:val="24"/>
                <w:lang w:val="en-US" w:eastAsia="zh-CN" w:bidi="ar"/>
              </w:rPr>
              <w:t>。</w:t>
            </w:r>
          </w:p>
          <w:p w14:paraId="502D27B0">
            <w:pPr>
              <w:adjustRightInd w:val="0"/>
              <w:snapToGrid w:val="0"/>
              <w:spacing w:line="460" w:lineRule="exact"/>
              <w:ind w:firstLine="480" w:firstLineChars="200"/>
              <w:rPr>
                <w:rFonts w:hint="default" w:ascii="Times New Roman" w:hAnsi="Times New Roman" w:eastAsia="宋体" w:cs="Times New Roman"/>
                <w:sz w:val="24"/>
                <w:szCs w:val="24"/>
                <w:lang w:val="en-US" w:eastAsia="zh-CN"/>
              </w:rPr>
            </w:pPr>
            <w:r>
              <w:rPr>
                <w:rFonts w:hint="eastAsia" w:cs="Times New Roman"/>
                <w:color w:val="auto"/>
                <w:sz w:val="24"/>
                <w:szCs w:val="24"/>
                <w:lang w:val="en-US" w:eastAsia="zh-CN"/>
              </w:rPr>
              <w:t>平面布置图见附图2。</w:t>
            </w:r>
          </w:p>
        </w:tc>
      </w:tr>
      <w:tr w14:paraId="65782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77" w:type="dxa"/>
            <w:vAlign w:val="center"/>
          </w:tcPr>
          <w:p w14:paraId="4D168E83">
            <w:pPr>
              <w:pStyle w:val="82"/>
              <w:adjustRightInd w:val="0"/>
              <w:snapToGrid w:val="0"/>
              <w:spacing w:before="0" w:beforeAutospacing="0" w:after="0" w:afterAutospacing="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施工方案</w:t>
            </w:r>
          </w:p>
        </w:tc>
        <w:tc>
          <w:tcPr>
            <w:tcW w:w="7745" w:type="dxa"/>
            <w:vAlign w:val="center"/>
          </w:tcPr>
          <w:p w14:paraId="440F0EC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本工程建设包括黄码作业区对岸已建成的标准化锚地扩建工程及南港岸线疏浚工程。工程主要施工内容包括水域开挖、水工建筑物、后方道路及水电等配套工程的施工。 </w:t>
            </w:r>
          </w:p>
          <w:p w14:paraId="38FCFBFE">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1、</w:t>
            </w:r>
            <w:r>
              <w:rPr>
                <w:rFonts w:hint="default" w:ascii="Times New Roman" w:hAnsi="Times New Roman" w:eastAsia="宋体" w:cs="Times New Roman"/>
                <w:b/>
                <w:bCs/>
                <w:sz w:val="24"/>
                <w:szCs w:val="24"/>
                <w:lang w:val="en-US" w:eastAsia="zh-CN"/>
              </w:rPr>
              <w:t>施工条件</w:t>
            </w:r>
            <w:r>
              <w:rPr>
                <w:rFonts w:hint="eastAsia" w:cs="Times New Roman"/>
                <w:b/>
                <w:bCs/>
                <w:sz w:val="24"/>
                <w:szCs w:val="24"/>
                <w:lang w:val="en-US" w:eastAsia="zh-CN"/>
              </w:rPr>
              <w:t>：</w:t>
            </w:r>
            <w:r>
              <w:rPr>
                <w:rFonts w:hint="default" w:ascii="Times New Roman" w:hAnsi="Times New Roman" w:eastAsia="宋体" w:cs="Times New Roman"/>
                <w:sz w:val="24"/>
                <w:szCs w:val="24"/>
                <w:lang w:val="en-US" w:eastAsia="zh-CN"/>
              </w:rPr>
              <w:t xml:space="preserve"> </w:t>
            </w:r>
          </w:p>
          <w:p w14:paraId="031D767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1、场地条件 </w:t>
            </w:r>
          </w:p>
          <w:p w14:paraId="1267F60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拟建锚地后方陆域现状为京杭运河河滩地，京杭运河大堤距离锚地前沿约10m～ 16m，扩建锚地附近无相关建筑物，施工场地较为宽阔。 </w:t>
            </w:r>
          </w:p>
          <w:p w14:paraId="4349761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2、运输条件 </w:t>
            </w:r>
          </w:p>
          <w:p w14:paraId="7C3B38D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水路：本项目港址紧邻苏北运河，现状为Ⅱ级航道，方便进行建设材料的装卸。 </w:t>
            </w:r>
          </w:p>
          <w:p w14:paraId="47B8D2C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公路：锚地陆域可通过运河大堤与市政道路黄河南路相连，交通较为便利。 </w:t>
            </w:r>
          </w:p>
          <w:p w14:paraId="7CEA63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因此，总体来说本项目水陆交通均很便利，运输条件良好。 </w:t>
            </w:r>
          </w:p>
          <w:p w14:paraId="6B51CD5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3、外协条件 </w:t>
            </w:r>
          </w:p>
          <w:p w14:paraId="2927803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本工程锚地扩建工程在已建的淮安锚地基础上向上、下游延伸建设，淮安锚地已 建成运营多年，供水、供电、通信等</w:t>
            </w:r>
            <w:r>
              <w:rPr>
                <w:rFonts w:hint="eastAsia" w:cs="Times New Roman"/>
                <w:sz w:val="24"/>
                <w:szCs w:val="24"/>
                <w:lang w:val="en-US" w:eastAsia="zh-CN"/>
              </w:rPr>
              <w:t>设施</w:t>
            </w:r>
            <w:r>
              <w:rPr>
                <w:rFonts w:hint="default" w:ascii="Times New Roman" w:hAnsi="Times New Roman" w:eastAsia="宋体" w:cs="Times New Roman"/>
                <w:sz w:val="24"/>
                <w:szCs w:val="24"/>
                <w:lang w:val="en-US" w:eastAsia="zh-CN"/>
              </w:rPr>
              <w:t xml:space="preserve">齐备，扩建工程施工所需供水、供电及通信 均可从已建锚地陆上设施接入，配套条件较好。 </w:t>
            </w:r>
          </w:p>
          <w:p w14:paraId="1306E6D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4、材料供应条件 </w:t>
            </w:r>
          </w:p>
          <w:p w14:paraId="032B7EB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本工程主要施工材料包括钢筋、水泥、块石及砂石料等，其中钢筋、水泥可从当 </w:t>
            </w:r>
          </w:p>
          <w:p w14:paraId="03071394">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地材料市场购买，工程需要的石料</w:t>
            </w:r>
            <w:r>
              <w:rPr>
                <w:rFonts w:hint="eastAsia" w:cs="Times New Roman"/>
                <w:sz w:val="24"/>
                <w:szCs w:val="24"/>
                <w:lang w:val="en-US" w:eastAsia="zh-CN"/>
              </w:rPr>
              <w:t>可以</w:t>
            </w:r>
            <w:r>
              <w:rPr>
                <w:rFonts w:hint="default" w:ascii="Times New Roman" w:hAnsi="Times New Roman" w:eastAsia="宋体" w:cs="Times New Roman"/>
                <w:sz w:val="24"/>
                <w:szCs w:val="24"/>
                <w:lang w:val="en-US" w:eastAsia="zh-CN"/>
              </w:rPr>
              <w:t xml:space="preserve">经陆路或者陆路转水路运进，黄沙可以通过 水运调进。 </w:t>
            </w:r>
          </w:p>
          <w:p w14:paraId="3727FC8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5、与工程相关的自然条件 </w:t>
            </w:r>
          </w:p>
          <w:p w14:paraId="7C3C7B3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根据自然条件分析，本工程的施工期尽量安排在低水期开工。水工结构在低水期 </w:t>
            </w:r>
          </w:p>
          <w:p w14:paraId="639A906E">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进行施工，方便胸墙浇筑。同时，在施工过程中注意劳动防护，特别是低温对施工质 量及工人劳动安全的影响。 </w:t>
            </w:r>
          </w:p>
          <w:p w14:paraId="56EB122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6、施工能力</w:t>
            </w:r>
          </w:p>
          <w:p w14:paraId="73DCB45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本工程码头结构属常规的板桩结构型式，工程主要内容为水工主体结构施工、前 沿系船柱、钢护木等附属设施安装、面层施工、水电、通信配套设施安装等。因本工 程沉桩有一定的难度，加之水工建筑物施工均需在水上作业，水上安装工作量较大， 因此必须选择技术力量强、设备齐全、施工经验丰富的航务工程专业施工队伍进行施 工。 </w:t>
            </w:r>
          </w:p>
          <w:p w14:paraId="1A828C4E">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2、</w:t>
            </w:r>
            <w:r>
              <w:rPr>
                <w:rFonts w:hint="default" w:ascii="Times New Roman" w:hAnsi="Times New Roman" w:eastAsia="宋体" w:cs="Times New Roman"/>
                <w:b/>
                <w:bCs/>
                <w:sz w:val="24"/>
                <w:szCs w:val="24"/>
                <w:lang w:val="en-US" w:eastAsia="zh-CN"/>
              </w:rPr>
              <w:t>施工程序</w:t>
            </w:r>
            <w:r>
              <w:rPr>
                <w:rFonts w:hint="default" w:ascii="Times New Roman" w:hAnsi="Times New Roman" w:eastAsia="宋体" w:cs="Times New Roman"/>
                <w:sz w:val="24"/>
                <w:szCs w:val="24"/>
                <w:lang w:val="en-US" w:eastAsia="zh-CN"/>
              </w:rPr>
              <w:t xml:space="preserve"> </w:t>
            </w:r>
          </w:p>
          <w:p w14:paraId="065AC06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1、施工顺序 </w:t>
            </w:r>
          </w:p>
          <w:p w14:paraId="7D178BD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锚地扩建主体结构施工顺序总体流程安排如下： </w:t>
            </w:r>
          </w:p>
          <w:p w14:paraId="0ABA8B2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施工准备（桩基制作）→沉桩（钻孔灌注桩施工、原护岸局部拆除）→胸墙及导 梁浇筑→回填→面层施工→附属设施安装→疏浚。 </w:t>
            </w:r>
          </w:p>
          <w:p w14:paraId="07AE9B2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2、主要施工工艺与方法 </w:t>
            </w:r>
          </w:p>
          <w:p w14:paraId="00688A5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（1）主要施工特点 </w:t>
            </w:r>
          </w:p>
          <w:p w14:paraId="6428461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施工应在枯水季节进行，一般安排在每年的10月至次年的5月之间进行，施工期约6～8个月。 </w:t>
            </w:r>
          </w:p>
          <w:p w14:paraId="7DA577A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（2）板桩预制 </w:t>
            </w:r>
          </w:p>
          <w:p w14:paraId="493D9DC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钢筋砼板桩在预制厂预制，用船运至施工现场，采用打桩船锤击沉桩。预制构件 混凝土等级不得低于设计等级，混凝土水灰比应通过试验确定，应控制在0.40以内， 预制构件的主筋净保护层一般不得小于40mm，预制构件平面尺寸误差和厚度误差均 5mm，预制构件的强度原则上应达到设计强度的85%后方可吊运、安装，并按施工图图纸要求执行，不得使用有裂缝和有其他缺陷的构件，构件吊运、安装过程中不得将外伸钢筋损坏。 </w:t>
            </w:r>
          </w:p>
          <w:p w14:paraId="72AF511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（3）沉桩 </w:t>
            </w:r>
          </w:p>
          <w:p w14:paraId="642646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承包商在沉桩之前应对沉桩水域水下地形进行探摸，对</w:t>
            </w:r>
            <w:r>
              <w:rPr>
                <w:rFonts w:hint="eastAsia" w:cs="Times New Roman"/>
                <w:sz w:val="24"/>
                <w:szCs w:val="24"/>
                <w:lang w:val="en-US" w:eastAsia="zh-CN"/>
              </w:rPr>
              <w:t>妨碍</w:t>
            </w:r>
            <w:r>
              <w:rPr>
                <w:rFonts w:hint="default" w:ascii="Times New Roman" w:hAnsi="Times New Roman" w:eastAsia="宋体" w:cs="Times New Roman"/>
                <w:sz w:val="24"/>
                <w:szCs w:val="24"/>
                <w:lang w:val="en-US" w:eastAsia="zh-CN"/>
              </w:rPr>
              <w:t xml:space="preserve">沉桩的障碍物应清除 或挖除；沉桩障碍物清除时应保证原有护岸挡墙结构安全。在正式沉桩之前，应进行 试沉桩。 </w:t>
            </w:r>
          </w:p>
          <w:p w14:paraId="6A4619A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（4）钻孔灌注桩 </w:t>
            </w:r>
          </w:p>
          <w:p w14:paraId="4D263E8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钻孔灌注桩施工泥浆的比重应控制适当，以保证不坍孔；选择合适的清孔方法。 清渣结束应立即放置钢筋笼，并以竖管灌注水下混凝土，浇灌水下混凝土工作严禁间 断进行，桩顶应超高0.80m进行灌注，混凝土达到设计强度后凿除超浇部分。 </w:t>
            </w:r>
          </w:p>
          <w:p w14:paraId="1593B45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（5）现浇混凝土施工</w:t>
            </w:r>
          </w:p>
          <w:p w14:paraId="4103820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现浇混凝土宜用低水化热水泥，预制构件与现浇混凝土接触面和新、老混凝土接 触面一律按施工规范的要求凿毛处理，淡水冲洗，施工缝刷一层高强水泥净浆。现浇 混凝土应尽量避免在雨天和高温天气浇筑混凝土，混凝土浇筑和养护必须严格按《水 运工程混凝土施工规范》（JTS202-2011）的要求进行。</w:t>
            </w:r>
          </w:p>
          <w:p w14:paraId="7CE0C6AA">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2" w:firstLineChars="200"/>
              <w:textAlignment w:val="auto"/>
              <w:rPr>
                <w:rFonts w:hint="eastAsia" w:cs="Times New Roman"/>
                <w:sz w:val="24"/>
                <w:szCs w:val="24"/>
                <w:lang w:val="en-US" w:eastAsia="zh-CN"/>
              </w:rPr>
            </w:pPr>
            <w:r>
              <w:rPr>
                <w:rFonts w:hint="eastAsia" w:cs="Times New Roman"/>
                <w:b/>
                <w:bCs/>
                <w:sz w:val="24"/>
                <w:szCs w:val="24"/>
                <w:lang w:val="en-US" w:eastAsia="zh-CN"/>
              </w:rPr>
              <w:t>3、施工设备清单</w:t>
            </w:r>
          </w:p>
          <w:p w14:paraId="05F49E24">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施工期拟投入主要设备清单一览表如下：</w:t>
            </w:r>
            <w:r>
              <w:rPr>
                <w:rFonts w:hint="default" w:ascii="Times New Roman" w:hAnsi="Times New Roman" w:eastAsia="宋体" w:cs="Times New Roman"/>
                <w:sz w:val="24"/>
                <w:szCs w:val="24"/>
                <w:lang w:val="en-US" w:eastAsia="zh-CN"/>
              </w:rPr>
              <w:t xml:space="preserve"> </w:t>
            </w:r>
          </w:p>
          <w:p w14:paraId="39FBC1D1">
            <w:pPr>
              <w:spacing w:line="360" w:lineRule="auto"/>
              <w:ind w:firstLine="482" w:firstLineChars="200"/>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w:t>
            </w:r>
            <w:r>
              <w:rPr>
                <w:rFonts w:hint="eastAsia" w:ascii="Times New Roman" w:hAnsi="Times New Roman" w:cs="Times New Roman"/>
                <w:b/>
                <w:bCs/>
                <w:sz w:val="24"/>
                <w:szCs w:val="24"/>
                <w:lang w:val="en-US" w:eastAsia="zh-CN"/>
              </w:rPr>
              <w:t>2-4</w:t>
            </w:r>
            <w:r>
              <w:rPr>
                <w:rFonts w:hint="eastAsia" w:ascii="Times New Roman" w:hAnsi="Times New Roman" w:eastAsia="宋体" w:cs="Times New Roman"/>
                <w:b/>
                <w:bCs/>
                <w:sz w:val="24"/>
                <w:szCs w:val="24"/>
                <w:lang w:val="en-US" w:eastAsia="zh-CN"/>
              </w:rPr>
              <w:t xml:space="preserve">   拟投入的施工机械设备表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412"/>
              <w:gridCol w:w="1982"/>
              <w:gridCol w:w="2508"/>
              <w:gridCol w:w="1323"/>
              <w:gridCol w:w="963"/>
            </w:tblGrid>
            <w:tr w14:paraId="0C66C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1B605A32">
                  <w:pPr>
                    <w:spacing w:line="40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410" w:type="dxa"/>
                  <w:tcBorders>
                    <w:tl2br w:val="nil"/>
                    <w:tr2bl w:val="nil"/>
                  </w:tcBorders>
                  <w:vAlign w:val="center"/>
                </w:tcPr>
                <w:p w14:paraId="51059D70">
                  <w:pPr>
                    <w:spacing w:line="40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设备名称</w:t>
                  </w:r>
                </w:p>
              </w:tc>
              <w:tc>
                <w:tcPr>
                  <w:tcW w:w="1980" w:type="dxa"/>
                  <w:tcBorders>
                    <w:tl2br w:val="nil"/>
                    <w:tr2bl w:val="nil"/>
                  </w:tcBorders>
                  <w:vAlign w:val="center"/>
                </w:tcPr>
                <w:p w14:paraId="5663871C">
                  <w:pPr>
                    <w:spacing w:line="40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型号</w:t>
                  </w:r>
                </w:p>
              </w:tc>
              <w:tc>
                <w:tcPr>
                  <w:tcW w:w="2505" w:type="dxa"/>
                  <w:tcBorders>
                    <w:tl2br w:val="nil"/>
                    <w:tr2bl w:val="nil"/>
                  </w:tcBorders>
                  <w:vAlign w:val="center"/>
                </w:tcPr>
                <w:p w14:paraId="24611C92">
                  <w:pPr>
                    <w:spacing w:line="40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使用地点</w:t>
                  </w:r>
                </w:p>
              </w:tc>
              <w:tc>
                <w:tcPr>
                  <w:tcW w:w="1322" w:type="dxa"/>
                  <w:tcBorders>
                    <w:tl2br w:val="nil"/>
                    <w:tr2bl w:val="nil"/>
                  </w:tcBorders>
                  <w:vAlign w:val="center"/>
                </w:tcPr>
                <w:p w14:paraId="2F040A72">
                  <w:pPr>
                    <w:spacing w:line="40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规格型号</w:t>
                  </w:r>
                </w:p>
              </w:tc>
              <w:tc>
                <w:tcPr>
                  <w:tcW w:w="962" w:type="dxa"/>
                  <w:tcBorders>
                    <w:tl2br w:val="nil"/>
                    <w:tr2bl w:val="nil"/>
                  </w:tcBorders>
                  <w:vAlign w:val="center"/>
                </w:tcPr>
                <w:p w14:paraId="2AA42703">
                  <w:pPr>
                    <w:spacing w:line="400" w:lineRule="exact"/>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数量</w:t>
                  </w:r>
                </w:p>
              </w:tc>
            </w:tr>
            <w:tr w14:paraId="6CC3A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4B7FBC88">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1</w:t>
                  </w:r>
                </w:p>
              </w:tc>
              <w:tc>
                <w:tcPr>
                  <w:tcW w:w="1410" w:type="dxa"/>
                  <w:tcBorders>
                    <w:tl2br w:val="nil"/>
                    <w:tr2bl w:val="nil"/>
                  </w:tcBorders>
                  <w:vAlign w:val="center"/>
                </w:tcPr>
                <w:p w14:paraId="12B6B0B5">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挖泥船</w:t>
                  </w:r>
                </w:p>
              </w:tc>
              <w:tc>
                <w:tcPr>
                  <w:tcW w:w="1980" w:type="dxa"/>
                  <w:tcBorders>
                    <w:tl2br w:val="nil"/>
                    <w:tr2bl w:val="nil"/>
                  </w:tcBorders>
                  <w:vAlign w:val="center"/>
                </w:tcPr>
                <w:p w14:paraId="7431DF71">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浙湖州浚609</w:t>
                  </w:r>
                </w:p>
              </w:tc>
              <w:tc>
                <w:tcPr>
                  <w:tcW w:w="2505" w:type="dxa"/>
                  <w:tcBorders>
                    <w:tl2br w:val="nil"/>
                    <w:tr2bl w:val="nil"/>
                  </w:tcBorders>
                  <w:vAlign w:val="center"/>
                </w:tcPr>
                <w:p w14:paraId="47601D0E">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锚地</w:t>
                  </w:r>
                  <w:r>
                    <w:rPr>
                      <w:rFonts w:hint="default" w:ascii="Times New Roman" w:hAnsi="Times New Roman" w:eastAsia="宋体" w:cs="Times New Roman"/>
                      <w:snapToGrid w:val="0"/>
                      <w:kern w:val="0"/>
                      <w:sz w:val="21"/>
                      <w:szCs w:val="21"/>
                    </w:rPr>
                    <w:t>疏浚</w:t>
                  </w:r>
                  <w:r>
                    <w:rPr>
                      <w:rFonts w:hint="default" w:ascii="Times New Roman" w:hAnsi="Times New Roman" w:eastAsia="宋体" w:cs="Times New Roman"/>
                      <w:snapToGrid w:val="0"/>
                      <w:kern w:val="0"/>
                      <w:sz w:val="21"/>
                      <w:szCs w:val="21"/>
                      <w:lang w:eastAsia="zh-CN"/>
                    </w:rPr>
                    <w:t>、</w:t>
                  </w:r>
                  <w:r>
                    <w:rPr>
                      <w:rFonts w:hint="default" w:ascii="Times New Roman" w:hAnsi="Times New Roman" w:eastAsia="宋体" w:cs="Times New Roman"/>
                      <w:kern w:val="0"/>
                      <w:sz w:val="21"/>
                      <w:szCs w:val="21"/>
                      <w:lang w:val="en-US" w:eastAsia="zh-CN"/>
                    </w:rPr>
                    <w:t>南港疏浚</w:t>
                  </w:r>
                </w:p>
              </w:tc>
              <w:tc>
                <w:tcPr>
                  <w:tcW w:w="1322" w:type="dxa"/>
                  <w:tcBorders>
                    <w:tl2br w:val="nil"/>
                    <w:tr2bl w:val="nil"/>
                  </w:tcBorders>
                  <w:vAlign w:val="center"/>
                </w:tcPr>
                <w:p w14:paraId="7DE84E73">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1.5m³</w:t>
                  </w:r>
                </w:p>
              </w:tc>
              <w:tc>
                <w:tcPr>
                  <w:tcW w:w="962" w:type="dxa"/>
                  <w:tcBorders>
                    <w:tl2br w:val="nil"/>
                    <w:tr2bl w:val="nil"/>
                  </w:tcBorders>
                  <w:vAlign w:val="center"/>
                </w:tcPr>
                <w:p w14:paraId="5F7E85FB">
                  <w:pPr>
                    <w:spacing w:line="360" w:lineRule="exact"/>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1</w:t>
                  </w:r>
                  <w:r>
                    <w:rPr>
                      <w:rFonts w:hint="default" w:ascii="Times New Roman" w:hAnsi="Times New Roman" w:eastAsia="宋体" w:cs="Times New Roman"/>
                      <w:sz w:val="24"/>
                      <w:szCs w:val="24"/>
                      <w:lang w:val="en-US" w:eastAsia="zh-CN"/>
                    </w:rPr>
                    <w:t>艘</w:t>
                  </w:r>
                </w:p>
              </w:tc>
            </w:tr>
            <w:tr w14:paraId="4AA07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24006677">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2</w:t>
                  </w:r>
                </w:p>
              </w:tc>
              <w:tc>
                <w:tcPr>
                  <w:tcW w:w="1410" w:type="dxa"/>
                  <w:tcBorders>
                    <w:tl2br w:val="nil"/>
                    <w:tr2bl w:val="nil"/>
                  </w:tcBorders>
                  <w:vAlign w:val="center"/>
                </w:tcPr>
                <w:p w14:paraId="213632AD">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运泥船</w:t>
                  </w:r>
                </w:p>
              </w:tc>
              <w:tc>
                <w:tcPr>
                  <w:tcW w:w="1980" w:type="dxa"/>
                  <w:tcBorders>
                    <w:tl2br w:val="nil"/>
                    <w:tr2bl w:val="nil"/>
                  </w:tcBorders>
                  <w:vAlign w:val="center"/>
                </w:tcPr>
                <w:p w14:paraId="347CCFFF">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苏盐城货080856</w:t>
                  </w:r>
                </w:p>
              </w:tc>
              <w:tc>
                <w:tcPr>
                  <w:tcW w:w="2505" w:type="dxa"/>
                  <w:tcBorders>
                    <w:tl2br w:val="nil"/>
                    <w:tr2bl w:val="nil"/>
                  </w:tcBorders>
                  <w:vAlign w:val="center"/>
                </w:tcPr>
                <w:p w14:paraId="6B67BF01">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lang w:val="en-US" w:eastAsia="zh-CN"/>
                    </w:rPr>
                    <w:t>锚地</w:t>
                  </w:r>
                  <w:r>
                    <w:rPr>
                      <w:rFonts w:hint="default" w:ascii="Times New Roman" w:hAnsi="Times New Roman" w:eastAsia="宋体" w:cs="Times New Roman"/>
                      <w:snapToGrid w:val="0"/>
                      <w:kern w:val="0"/>
                      <w:sz w:val="21"/>
                      <w:szCs w:val="21"/>
                    </w:rPr>
                    <w:t>疏浚</w:t>
                  </w:r>
                  <w:r>
                    <w:rPr>
                      <w:rFonts w:hint="default" w:ascii="Times New Roman" w:hAnsi="Times New Roman" w:eastAsia="宋体" w:cs="Times New Roman"/>
                      <w:snapToGrid w:val="0"/>
                      <w:kern w:val="0"/>
                      <w:sz w:val="21"/>
                      <w:szCs w:val="21"/>
                      <w:lang w:eastAsia="zh-CN"/>
                    </w:rPr>
                    <w:t>、</w:t>
                  </w:r>
                  <w:r>
                    <w:rPr>
                      <w:rFonts w:hint="default" w:ascii="Times New Roman" w:hAnsi="Times New Roman" w:eastAsia="宋体" w:cs="Times New Roman"/>
                      <w:kern w:val="0"/>
                      <w:sz w:val="21"/>
                      <w:szCs w:val="21"/>
                      <w:lang w:val="en-US" w:eastAsia="zh-CN"/>
                    </w:rPr>
                    <w:t>南港疏浚</w:t>
                  </w:r>
                </w:p>
              </w:tc>
              <w:tc>
                <w:tcPr>
                  <w:tcW w:w="1322" w:type="dxa"/>
                  <w:tcBorders>
                    <w:tl2br w:val="nil"/>
                    <w:tr2bl w:val="nil"/>
                  </w:tcBorders>
                  <w:vAlign w:val="center"/>
                </w:tcPr>
                <w:p w14:paraId="1C2EBE7C">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500m³</w:t>
                  </w:r>
                </w:p>
              </w:tc>
              <w:tc>
                <w:tcPr>
                  <w:tcW w:w="962" w:type="dxa"/>
                  <w:tcBorders>
                    <w:tl2br w:val="nil"/>
                    <w:tr2bl w:val="nil"/>
                  </w:tcBorders>
                  <w:vAlign w:val="center"/>
                </w:tcPr>
                <w:p w14:paraId="0E393C3B">
                  <w:pPr>
                    <w:spacing w:line="360" w:lineRule="exact"/>
                    <w:jc w:val="center"/>
                    <w:rPr>
                      <w:rFonts w:hint="default" w:ascii="Times New Roman" w:hAnsi="Times New Roman" w:eastAsia="宋体" w:cs="Times New Roman"/>
                      <w:snapToGrid w:val="0"/>
                      <w:kern w:val="0"/>
                      <w:sz w:val="21"/>
                      <w:szCs w:val="21"/>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艘</w:t>
                  </w:r>
                </w:p>
              </w:tc>
            </w:tr>
            <w:tr w14:paraId="26201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30C8237A">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3</w:t>
                  </w:r>
                </w:p>
              </w:tc>
              <w:tc>
                <w:tcPr>
                  <w:tcW w:w="1410" w:type="dxa"/>
                  <w:tcBorders>
                    <w:tl2br w:val="nil"/>
                    <w:tr2bl w:val="nil"/>
                  </w:tcBorders>
                  <w:vAlign w:val="center"/>
                </w:tcPr>
                <w:p w14:paraId="61912BC4">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运泥船</w:t>
                  </w:r>
                </w:p>
              </w:tc>
              <w:tc>
                <w:tcPr>
                  <w:tcW w:w="1980" w:type="dxa"/>
                  <w:tcBorders>
                    <w:tl2br w:val="nil"/>
                    <w:tr2bl w:val="nil"/>
                  </w:tcBorders>
                  <w:vAlign w:val="center"/>
                </w:tcPr>
                <w:p w14:paraId="1291C92E">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苏盐城货212628</w:t>
                  </w:r>
                </w:p>
              </w:tc>
              <w:tc>
                <w:tcPr>
                  <w:tcW w:w="2505" w:type="dxa"/>
                  <w:tcBorders>
                    <w:tl2br w:val="nil"/>
                    <w:tr2bl w:val="nil"/>
                  </w:tcBorders>
                  <w:vAlign w:val="center"/>
                </w:tcPr>
                <w:p w14:paraId="0ED8BB08">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lang w:val="en-US" w:eastAsia="zh-CN"/>
                    </w:rPr>
                    <w:t>锚地</w:t>
                  </w:r>
                  <w:r>
                    <w:rPr>
                      <w:rFonts w:hint="default" w:ascii="Times New Roman" w:hAnsi="Times New Roman" w:eastAsia="宋体" w:cs="Times New Roman"/>
                      <w:snapToGrid w:val="0"/>
                      <w:kern w:val="0"/>
                      <w:sz w:val="21"/>
                      <w:szCs w:val="21"/>
                    </w:rPr>
                    <w:t>疏浚</w:t>
                  </w:r>
                  <w:r>
                    <w:rPr>
                      <w:rFonts w:hint="default" w:ascii="Times New Roman" w:hAnsi="Times New Roman" w:eastAsia="宋体" w:cs="Times New Roman"/>
                      <w:snapToGrid w:val="0"/>
                      <w:kern w:val="0"/>
                      <w:sz w:val="21"/>
                      <w:szCs w:val="21"/>
                      <w:lang w:eastAsia="zh-CN"/>
                    </w:rPr>
                    <w:t>、</w:t>
                  </w:r>
                  <w:r>
                    <w:rPr>
                      <w:rFonts w:hint="default" w:ascii="Times New Roman" w:hAnsi="Times New Roman" w:eastAsia="宋体" w:cs="Times New Roman"/>
                      <w:kern w:val="0"/>
                      <w:sz w:val="21"/>
                      <w:szCs w:val="21"/>
                      <w:lang w:val="en-US" w:eastAsia="zh-CN"/>
                    </w:rPr>
                    <w:t>南港疏浚</w:t>
                  </w:r>
                </w:p>
              </w:tc>
              <w:tc>
                <w:tcPr>
                  <w:tcW w:w="1322" w:type="dxa"/>
                  <w:tcBorders>
                    <w:tl2br w:val="nil"/>
                    <w:tr2bl w:val="nil"/>
                  </w:tcBorders>
                  <w:vAlign w:val="center"/>
                </w:tcPr>
                <w:p w14:paraId="3B7105C6">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500m³</w:t>
                  </w:r>
                </w:p>
              </w:tc>
              <w:tc>
                <w:tcPr>
                  <w:tcW w:w="962" w:type="dxa"/>
                  <w:tcBorders>
                    <w:tl2br w:val="nil"/>
                    <w:tr2bl w:val="nil"/>
                  </w:tcBorders>
                  <w:vAlign w:val="center"/>
                </w:tcPr>
                <w:p w14:paraId="6A36FCBC">
                  <w:pPr>
                    <w:spacing w:line="360" w:lineRule="exact"/>
                    <w:jc w:val="center"/>
                    <w:rPr>
                      <w:rFonts w:hint="default" w:ascii="Times New Roman" w:hAnsi="Times New Roman" w:eastAsia="宋体" w:cs="Times New Roman"/>
                      <w:snapToGrid w:val="0"/>
                      <w:kern w:val="0"/>
                      <w:sz w:val="21"/>
                      <w:szCs w:val="21"/>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艘</w:t>
                  </w:r>
                </w:p>
              </w:tc>
            </w:tr>
            <w:tr w14:paraId="249BE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1FF8F803">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4</w:t>
                  </w:r>
                </w:p>
              </w:tc>
              <w:tc>
                <w:tcPr>
                  <w:tcW w:w="1410" w:type="dxa"/>
                  <w:tcBorders>
                    <w:tl2br w:val="nil"/>
                    <w:tr2bl w:val="nil"/>
                  </w:tcBorders>
                  <w:vAlign w:val="center"/>
                </w:tcPr>
                <w:p w14:paraId="68E9C642">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运泥船</w:t>
                  </w:r>
                </w:p>
              </w:tc>
              <w:tc>
                <w:tcPr>
                  <w:tcW w:w="1980" w:type="dxa"/>
                  <w:tcBorders>
                    <w:tl2br w:val="nil"/>
                    <w:tr2bl w:val="nil"/>
                  </w:tcBorders>
                  <w:vAlign w:val="center"/>
                </w:tcPr>
                <w:p w14:paraId="36E1C183">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俞垛机3188</w:t>
                  </w:r>
                </w:p>
              </w:tc>
              <w:tc>
                <w:tcPr>
                  <w:tcW w:w="2505" w:type="dxa"/>
                  <w:tcBorders>
                    <w:tl2br w:val="nil"/>
                    <w:tr2bl w:val="nil"/>
                  </w:tcBorders>
                  <w:vAlign w:val="center"/>
                </w:tcPr>
                <w:p w14:paraId="300DFA7E">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lang w:val="en-US" w:eastAsia="zh-CN"/>
                    </w:rPr>
                    <w:t>锚地</w:t>
                  </w:r>
                  <w:r>
                    <w:rPr>
                      <w:rFonts w:hint="default" w:ascii="Times New Roman" w:hAnsi="Times New Roman" w:eastAsia="宋体" w:cs="Times New Roman"/>
                      <w:snapToGrid w:val="0"/>
                      <w:kern w:val="0"/>
                      <w:sz w:val="21"/>
                      <w:szCs w:val="21"/>
                    </w:rPr>
                    <w:t>疏浚</w:t>
                  </w:r>
                  <w:r>
                    <w:rPr>
                      <w:rFonts w:hint="default" w:ascii="Times New Roman" w:hAnsi="Times New Roman" w:eastAsia="宋体" w:cs="Times New Roman"/>
                      <w:snapToGrid w:val="0"/>
                      <w:kern w:val="0"/>
                      <w:sz w:val="21"/>
                      <w:szCs w:val="21"/>
                      <w:lang w:eastAsia="zh-CN"/>
                    </w:rPr>
                    <w:t>、</w:t>
                  </w:r>
                  <w:r>
                    <w:rPr>
                      <w:rFonts w:hint="default" w:ascii="Times New Roman" w:hAnsi="Times New Roman" w:eastAsia="宋体" w:cs="Times New Roman"/>
                      <w:kern w:val="0"/>
                      <w:sz w:val="21"/>
                      <w:szCs w:val="21"/>
                      <w:lang w:val="en-US" w:eastAsia="zh-CN"/>
                    </w:rPr>
                    <w:t>南港疏浚</w:t>
                  </w:r>
                </w:p>
              </w:tc>
              <w:tc>
                <w:tcPr>
                  <w:tcW w:w="1322" w:type="dxa"/>
                  <w:tcBorders>
                    <w:tl2br w:val="nil"/>
                    <w:tr2bl w:val="nil"/>
                  </w:tcBorders>
                  <w:vAlign w:val="center"/>
                </w:tcPr>
                <w:p w14:paraId="078D7138">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250m³</w:t>
                  </w:r>
                </w:p>
              </w:tc>
              <w:tc>
                <w:tcPr>
                  <w:tcW w:w="962" w:type="dxa"/>
                  <w:tcBorders>
                    <w:tl2br w:val="nil"/>
                    <w:tr2bl w:val="nil"/>
                  </w:tcBorders>
                  <w:vAlign w:val="center"/>
                </w:tcPr>
                <w:p w14:paraId="4CE45A71">
                  <w:pPr>
                    <w:spacing w:line="360" w:lineRule="exact"/>
                    <w:jc w:val="center"/>
                    <w:rPr>
                      <w:rFonts w:hint="default" w:ascii="Times New Roman" w:hAnsi="Times New Roman" w:eastAsia="宋体" w:cs="Times New Roman"/>
                      <w:snapToGrid w:val="0"/>
                      <w:kern w:val="0"/>
                      <w:sz w:val="21"/>
                      <w:szCs w:val="21"/>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艘</w:t>
                  </w:r>
                </w:p>
              </w:tc>
            </w:tr>
            <w:tr w14:paraId="5D403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258BC478">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5</w:t>
                  </w:r>
                </w:p>
              </w:tc>
              <w:tc>
                <w:tcPr>
                  <w:tcW w:w="1410" w:type="dxa"/>
                  <w:tcBorders>
                    <w:tl2br w:val="nil"/>
                    <w:tr2bl w:val="nil"/>
                  </w:tcBorders>
                  <w:vAlign w:val="center"/>
                </w:tcPr>
                <w:p w14:paraId="0EFE2DE8">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挖泥船</w:t>
                  </w:r>
                </w:p>
              </w:tc>
              <w:tc>
                <w:tcPr>
                  <w:tcW w:w="1980" w:type="dxa"/>
                  <w:tcBorders>
                    <w:tl2br w:val="nil"/>
                    <w:tr2bl w:val="nil"/>
                  </w:tcBorders>
                  <w:vAlign w:val="center"/>
                </w:tcPr>
                <w:p w14:paraId="53447DCD">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苏常州浚380</w:t>
                  </w:r>
                </w:p>
              </w:tc>
              <w:tc>
                <w:tcPr>
                  <w:tcW w:w="2505" w:type="dxa"/>
                  <w:tcBorders>
                    <w:tl2br w:val="nil"/>
                    <w:tr2bl w:val="nil"/>
                  </w:tcBorders>
                  <w:vAlign w:val="center"/>
                </w:tcPr>
                <w:p w14:paraId="6DD3A91B">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lang w:val="en-US" w:eastAsia="zh-CN"/>
                    </w:rPr>
                    <w:t>锚地</w:t>
                  </w:r>
                  <w:r>
                    <w:rPr>
                      <w:rFonts w:hint="default" w:ascii="Times New Roman" w:hAnsi="Times New Roman" w:eastAsia="宋体" w:cs="Times New Roman"/>
                      <w:snapToGrid w:val="0"/>
                      <w:kern w:val="0"/>
                      <w:sz w:val="21"/>
                      <w:szCs w:val="21"/>
                    </w:rPr>
                    <w:t>疏浚</w:t>
                  </w:r>
                  <w:r>
                    <w:rPr>
                      <w:rFonts w:hint="default" w:ascii="Times New Roman" w:hAnsi="Times New Roman" w:eastAsia="宋体" w:cs="Times New Roman"/>
                      <w:snapToGrid w:val="0"/>
                      <w:kern w:val="0"/>
                      <w:sz w:val="21"/>
                      <w:szCs w:val="21"/>
                      <w:lang w:eastAsia="zh-CN"/>
                    </w:rPr>
                    <w:t>、</w:t>
                  </w:r>
                  <w:r>
                    <w:rPr>
                      <w:rFonts w:hint="default" w:ascii="Times New Roman" w:hAnsi="Times New Roman" w:eastAsia="宋体" w:cs="Times New Roman"/>
                      <w:kern w:val="0"/>
                      <w:sz w:val="21"/>
                      <w:szCs w:val="21"/>
                      <w:lang w:val="en-US" w:eastAsia="zh-CN"/>
                    </w:rPr>
                    <w:t>南港疏浚</w:t>
                  </w:r>
                </w:p>
              </w:tc>
              <w:tc>
                <w:tcPr>
                  <w:tcW w:w="1322" w:type="dxa"/>
                  <w:tcBorders>
                    <w:tl2br w:val="nil"/>
                    <w:tr2bl w:val="nil"/>
                  </w:tcBorders>
                  <w:vAlign w:val="center"/>
                </w:tcPr>
                <w:p w14:paraId="5A9714B8">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1.0m³</w:t>
                  </w:r>
                </w:p>
              </w:tc>
              <w:tc>
                <w:tcPr>
                  <w:tcW w:w="962" w:type="dxa"/>
                  <w:tcBorders>
                    <w:tl2br w:val="nil"/>
                    <w:tr2bl w:val="nil"/>
                  </w:tcBorders>
                  <w:vAlign w:val="center"/>
                </w:tcPr>
                <w:p w14:paraId="1EF99797">
                  <w:pPr>
                    <w:spacing w:line="360" w:lineRule="exact"/>
                    <w:jc w:val="center"/>
                    <w:rPr>
                      <w:rFonts w:hint="default" w:ascii="Times New Roman" w:hAnsi="Times New Roman" w:eastAsia="宋体" w:cs="Times New Roman"/>
                      <w:snapToGrid w:val="0"/>
                      <w:kern w:val="0"/>
                      <w:sz w:val="21"/>
                      <w:szCs w:val="21"/>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艘</w:t>
                  </w:r>
                </w:p>
              </w:tc>
            </w:tr>
            <w:tr w14:paraId="3D211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660BD56F">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6</w:t>
                  </w:r>
                </w:p>
              </w:tc>
              <w:tc>
                <w:tcPr>
                  <w:tcW w:w="1410" w:type="dxa"/>
                  <w:tcBorders>
                    <w:tl2br w:val="nil"/>
                    <w:tr2bl w:val="nil"/>
                  </w:tcBorders>
                  <w:vAlign w:val="center"/>
                </w:tcPr>
                <w:p w14:paraId="78DFE32C">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吹泥船</w:t>
                  </w:r>
                </w:p>
              </w:tc>
              <w:tc>
                <w:tcPr>
                  <w:tcW w:w="1980" w:type="dxa"/>
                  <w:tcBorders>
                    <w:tl2br w:val="nil"/>
                    <w:tr2bl w:val="nil"/>
                  </w:tcBorders>
                  <w:vAlign w:val="center"/>
                </w:tcPr>
                <w:p w14:paraId="045AD6F0">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浙德清工程002</w:t>
                  </w:r>
                </w:p>
              </w:tc>
              <w:tc>
                <w:tcPr>
                  <w:tcW w:w="2505" w:type="dxa"/>
                  <w:tcBorders>
                    <w:tl2br w:val="nil"/>
                    <w:tr2bl w:val="nil"/>
                  </w:tcBorders>
                  <w:vAlign w:val="center"/>
                </w:tcPr>
                <w:p w14:paraId="32A3F577">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lang w:val="en-US" w:eastAsia="zh-CN"/>
                    </w:rPr>
                    <w:t>锚地</w:t>
                  </w:r>
                  <w:r>
                    <w:rPr>
                      <w:rFonts w:hint="default" w:ascii="Times New Roman" w:hAnsi="Times New Roman" w:eastAsia="宋体" w:cs="Times New Roman"/>
                      <w:snapToGrid w:val="0"/>
                      <w:kern w:val="0"/>
                      <w:sz w:val="21"/>
                      <w:szCs w:val="21"/>
                    </w:rPr>
                    <w:t>疏浚</w:t>
                  </w:r>
                  <w:r>
                    <w:rPr>
                      <w:rFonts w:hint="default" w:ascii="Times New Roman" w:hAnsi="Times New Roman" w:eastAsia="宋体" w:cs="Times New Roman"/>
                      <w:snapToGrid w:val="0"/>
                      <w:kern w:val="0"/>
                      <w:sz w:val="21"/>
                      <w:szCs w:val="21"/>
                      <w:lang w:eastAsia="zh-CN"/>
                    </w:rPr>
                    <w:t>、</w:t>
                  </w:r>
                  <w:r>
                    <w:rPr>
                      <w:rFonts w:hint="default" w:ascii="Times New Roman" w:hAnsi="Times New Roman" w:eastAsia="宋体" w:cs="Times New Roman"/>
                      <w:kern w:val="0"/>
                      <w:sz w:val="21"/>
                      <w:szCs w:val="21"/>
                      <w:lang w:val="en-US" w:eastAsia="zh-CN"/>
                    </w:rPr>
                    <w:t>南港疏浚</w:t>
                  </w:r>
                </w:p>
              </w:tc>
              <w:tc>
                <w:tcPr>
                  <w:tcW w:w="1322" w:type="dxa"/>
                  <w:tcBorders>
                    <w:tl2br w:val="nil"/>
                    <w:tr2bl w:val="nil"/>
                  </w:tcBorders>
                  <w:vAlign w:val="center"/>
                </w:tcPr>
                <w:p w14:paraId="4C9DE96E">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300m³/h</w:t>
                  </w:r>
                </w:p>
              </w:tc>
              <w:tc>
                <w:tcPr>
                  <w:tcW w:w="962" w:type="dxa"/>
                  <w:tcBorders>
                    <w:tl2br w:val="nil"/>
                    <w:tr2bl w:val="nil"/>
                  </w:tcBorders>
                  <w:vAlign w:val="center"/>
                </w:tcPr>
                <w:p w14:paraId="07E1F91E">
                  <w:pPr>
                    <w:spacing w:line="360" w:lineRule="exact"/>
                    <w:jc w:val="center"/>
                    <w:rPr>
                      <w:rFonts w:hint="default" w:ascii="Times New Roman" w:hAnsi="Times New Roman" w:eastAsia="宋体" w:cs="Times New Roman"/>
                      <w:snapToGrid w:val="0"/>
                      <w:kern w:val="0"/>
                      <w:sz w:val="21"/>
                      <w:szCs w:val="21"/>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艘</w:t>
                  </w:r>
                </w:p>
              </w:tc>
            </w:tr>
            <w:tr w14:paraId="12C39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2286293B">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7</w:t>
                  </w:r>
                </w:p>
              </w:tc>
              <w:tc>
                <w:tcPr>
                  <w:tcW w:w="1410" w:type="dxa"/>
                  <w:tcBorders>
                    <w:tl2br w:val="nil"/>
                    <w:tr2bl w:val="nil"/>
                  </w:tcBorders>
                  <w:vAlign w:val="center"/>
                </w:tcPr>
                <w:p w14:paraId="6007D218">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挖掘机</w:t>
                  </w:r>
                </w:p>
              </w:tc>
              <w:tc>
                <w:tcPr>
                  <w:tcW w:w="1980" w:type="dxa"/>
                  <w:tcBorders>
                    <w:tl2br w:val="nil"/>
                    <w:tr2bl w:val="nil"/>
                  </w:tcBorders>
                  <w:vAlign w:val="center"/>
                </w:tcPr>
                <w:p w14:paraId="5D3137DA">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z w:val="21"/>
                      <w:szCs w:val="21"/>
                    </w:rPr>
                    <w:t>SY235C-8</w:t>
                  </w:r>
                </w:p>
              </w:tc>
              <w:tc>
                <w:tcPr>
                  <w:tcW w:w="2505" w:type="dxa"/>
                  <w:tcBorders>
                    <w:tl2br w:val="nil"/>
                    <w:tr2bl w:val="nil"/>
                  </w:tcBorders>
                  <w:vAlign w:val="center"/>
                </w:tcPr>
                <w:p w14:paraId="1623C4A3">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锚地</w:t>
                  </w:r>
                </w:p>
              </w:tc>
              <w:tc>
                <w:tcPr>
                  <w:tcW w:w="1322" w:type="dxa"/>
                  <w:tcBorders>
                    <w:tl2br w:val="nil"/>
                    <w:tr2bl w:val="nil"/>
                  </w:tcBorders>
                  <w:vAlign w:val="center"/>
                </w:tcPr>
                <w:p w14:paraId="04190E0D">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rPr>
                    <w:t>1.5m³</w:t>
                  </w:r>
                </w:p>
              </w:tc>
              <w:tc>
                <w:tcPr>
                  <w:tcW w:w="962" w:type="dxa"/>
                  <w:tcBorders>
                    <w:tl2br w:val="nil"/>
                    <w:tr2bl w:val="nil"/>
                  </w:tcBorders>
                  <w:vAlign w:val="center"/>
                </w:tcPr>
                <w:p w14:paraId="1EE57C72">
                  <w:pPr>
                    <w:spacing w:line="360" w:lineRule="exact"/>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1台</w:t>
                  </w:r>
                </w:p>
              </w:tc>
            </w:tr>
            <w:tr w14:paraId="2E19B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05B0AB8B">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8</w:t>
                  </w:r>
                </w:p>
              </w:tc>
              <w:tc>
                <w:tcPr>
                  <w:tcW w:w="1410" w:type="dxa"/>
                  <w:tcBorders>
                    <w:tl2br w:val="nil"/>
                    <w:tr2bl w:val="nil"/>
                  </w:tcBorders>
                  <w:vAlign w:val="center"/>
                </w:tcPr>
                <w:p w14:paraId="44154ADC">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洒水车</w:t>
                  </w:r>
                </w:p>
              </w:tc>
              <w:tc>
                <w:tcPr>
                  <w:tcW w:w="1980" w:type="dxa"/>
                  <w:tcBorders>
                    <w:tl2br w:val="nil"/>
                    <w:tr2bl w:val="nil"/>
                  </w:tcBorders>
                  <w:vAlign w:val="center"/>
                </w:tcPr>
                <w:p w14:paraId="40236017">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w:t>
                  </w:r>
                </w:p>
              </w:tc>
              <w:tc>
                <w:tcPr>
                  <w:tcW w:w="2505" w:type="dxa"/>
                  <w:tcBorders>
                    <w:tl2br w:val="nil"/>
                    <w:tr2bl w:val="nil"/>
                  </w:tcBorders>
                  <w:vAlign w:val="center"/>
                </w:tcPr>
                <w:p w14:paraId="4522143B">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锚地</w:t>
                  </w:r>
                </w:p>
              </w:tc>
              <w:tc>
                <w:tcPr>
                  <w:tcW w:w="1322" w:type="dxa"/>
                  <w:tcBorders>
                    <w:tl2br w:val="nil"/>
                    <w:tr2bl w:val="nil"/>
                  </w:tcBorders>
                  <w:vAlign w:val="center"/>
                </w:tcPr>
                <w:p w14:paraId="1C746BDE">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15m³</w:t>
                  </w:r>
                </w:p>
              </w:tc>
              <w:tc>
                <w:tcPr>
                  <w:tcW w:w="962" w:type="dxa"/>
                  <w:tcBorders>
                    <w:tl2br w:val="nil"/>
                    <w:tr2bl w:val="nil"/>
                  </w:tcBorders>
                  <w:vAlign w:val="center"/>
                </w:tcPr>
                <w:p w14:paraId="0339AB73">
                  <w:pPr>
                    <w:spacing w:line="360" w:lineRule="exact"/>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若干</w:t>
                  </w:r>
                </w:p>
              </w:tc>
            </w:tr>
            <w:tr w14:paraId="09600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6B7B10AA">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9</w:t>
                  </w:r>
                </w:p>
              </w:tc>
              <w:tc>
                <w:tcPr>
                  <w:tcW w:w="1410" w:type="dxa"/>
                  <w:tcBorders>
                    <w:tl2br w:val="nil"/>
                    <w:tr2bl w:val="nil"/>
                  </w:tcBorders>
                  <w:vAlign w:val="center"/>
                </w:tcPr>
                <w:p w14:paraId="1B61824D">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钢筋弯曲机</w:t>
                  </w:r>
                </w:p>
              </w:tc>
              <w:tc>
                <w:tcPr>
                  <w:tcW w:w="1980" w:type="dxa"/>
                  <w:tcBorders>
                    <w:tl2br w:val="nil"/>
                    <w:tr2bl w:val="nil"/>
                  </w:tcBorders>
                  <w:vAlign w:val="center"/>
                </w:tcPr>
                <w:p w14:paraId="2072C3F3">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z w:val="21"/>
                      <w:szCs w:val="21"/>
                    </w:rPr>
                    <w:t>GW40</w:t>
                  </w:r>
                </w:p>
              </w:tc>
              <w:tc>
                <w:tcPr>
                  <w:tcW w:w="2505" w:type="dxa"/>
                  <w:tcBorders>
                    <w:tl2br w:val="nil"/>
                    <w:tr2bl w:val="nil"/>
                  </w:tcBorders>
                  <w:vAlign w:val="center"/>
                </w:tcPr>
                <w:p w14:paraId="675528AF">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锚地</w:t>
                  </w:r>
                </w:p>
              </w:tc>
              <w:tc>
                <w:tcPr>
                  <w:tcW w:w="1322" w:type="dxa"/>
                  <w:tcBorders>
                    <w:tl2br w:val="nil"/>
                    <w:tr2bl w:val="nil"/>
                  </w:tcBorders>
                  <w:vAlign w:val="center"/>
                </w:tcPr>
                <w:p w14:paraId="04B864F7">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w:t>
                  </w:r>
                </w:p>
              </w:tc>
              <w:tc>
                <w:tcPr>
                  <w:tcW w:w="962" w:type="dxa"/>
                  <w:tcBorders>
                    <w:tl2br w:val="nil"/>
                    <w:tr2bl w:val="nil"/>
                  </w:tcBorders>
                  <w:vAlign w:val="center"/>
                </w:tcPr>
                <w:p w14:paraId="38B8E375">
                  <w:pPr>
                    <w:spacing w:line="360" w:lineRule="exact"/>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若干</w:t>
                  </w:r>
                </w:p>
              </w:tc>
            </w:tr>
            <w:tr w14:paraId="24B00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4317086C">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10</w:t>
                  </w:r>
                </w:p>
              </w:tc>
              <w:tc>
                <w:tcPr>
                  <w:tcW w:w="1410" w:type="dxa"/>
                  <w:tcBorders>
                    <w:tl2br w:val="nil"/>
                    <w:tr2bl w:val="nil"/>
                  </w:tcBorders>
                  <w:vAlign w:val="center"/>
                </w:tcPr>
                <w:p w14:paraId="020A4278">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钢筋切断机</w:t>
                  </w:r>
                </w:p>
              </w:tc>
              <w:tc>
                <w:tcPr>
                  <w:tcW w:w="1980" w:type="dxa"/>
                  <w:tcBorders>
                    <w:tl2br w:val="nil"/>
                    <w:tr2bl w:val="nil"/>
                  </w:tcBorders>
                  <w:vAlign w:val="center"/>
                </w:tcPr>
                <w:p w14:paraId="732E9FA4">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z w:val="21"/>
                      <w:szCs w:val="21"/>
                    </w:rPr>
                    <w:t>GQ40</w:t>
                  </w:r>
                </w:p>
              </w:tc>
              <w:tc>
                <w:tcPr>
                  <w:tcW w:w="2505" w:type="dxa"/>
                  <w:tcBorders>
                    <w:tl2br w:val="nil"/>
                    <w:tr2bl w:val="nil"/>
                  </w:tcBorders>
                  <w:vAlign w:val="center"/>
                </w:tcPr>
                <w:p w14:paraId="65A9A697">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锚地</w:t>
                  </w:r>
                </w:p>
              </w:tc>
              <w:tc>
                <w:tcPr>
                  <w:tcW w:w="1322" w:type="dxa"/>
                  <w:tcBorders>
                    <w:tl2br w:val="nil"/>
                    <w:tr2bl w:val="nil"/>
                  </w:tcBorders>
                  <w:vAlign w:val="center"/>
                </w:tcPr>
                <w:p w14:paraId="4E81DAE1">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w:t>
                  </w:r>
                </w:p>
              </w:tc>
              <w:tc>
                <w:tcPr>
                  <w:tcW w:w="962" w:type="dxa"/>
                  <w:tcBorders>
                    <w:tl2br w:val="nil"/>
                    <w:tr2bl w:val="nil"/>
                  </w:tcBorders>
                  <w:vAlign w:val="center"/>
                </w:tcPr>
                <w:p w14:paraId="763D4D08">
                  <w:pPr>
                    <w:spacing w:line="360" w:lineRule="exact"/>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若干</w:t>
                  </w:r>
                </w:p>
              </w:tc>
            </w:tr>
            <w:tr w14:paraId="6E7CF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31BEC3D3">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11</w:t>
                  </w:r>
                </w:p>
              </w:tc>
              <w:tc>
                <w:tcPr>
                  <w:tcW w:w="1410" w:type="dxa"/>
                  <w:tcBorders>
                    <w:tl2br w:val="nil"/>
                    <w:tr2bl w:val="nil"/>
                  </w:tcBorders>
                  <w:vAlign w:val="center"/>
                </w:tcPr>
                <w:p w14:paraId="0125F87D">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电焊机</w:t>
                  </w:r>
                </w:p>
              </w:tc>
              <w:tc>
                <w:tcPr>
                  <w:tcW w:w="1980" w:type="dxa"/>
                  <w:tcBorders>
                    <w:tl2br w:val="nil"/>
                    <w:tr2bl w:val="nil"/>
                  </w:tcBorders>
                  <w:vAlign w:val="center"/>
                </w:tcPr>
                <w:p w14:paraId="3565929F">
                  <w:pPr>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z w:val="21"/>
                      <w:szCs w:val="21"/>
                    </w:rPr>
                    <w:t>BX1-400</w:t>
                  </w:r>
                </w:p>
              </w:tc>
              <w:tc>
                <w:tcPr>
                  <w:tcW w:w="2505" w:type="dxa"/>
                  <w:tcBorders>
                    <w:tl2br w:val="nil"/>
                    <w:tr2bl w:val="nil"/>
                  </w:tcBorders>
                  <w:vAlign w:val="center"/>
                </w:tcPr>
                <w:p w14:paraId="4CF206E0">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锚地</w:t>
                  </w:r>
                </w:p>
              </w:tc>
              <w:tc>
                <w:tcPr>
                  <w:tcW w:w="1322" w:type="dxa"/>
                  <w:tcBorders>
                    <w:tl2br w:val="nil"/>
                    <w:tr2bl w:val="nil"/>
                  </w:tcBorders>
                  <w:vAlign w:val="center"/>
                </w:tcPr>
                <w:p w14:paraId="4718E564">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w:t>
                  </w:r>
                </w:p>
              </w:tc>
              <w:tc>
                <w:tcPr>
                  <w:tcW w:w="962" w:type="dxa"/>
                  <w:tcBorders>
                    <w:tl2br w:val="nil"/>
                    <w:tr2bl w:val="nil"/>
                  </w:tcBorders>
                  <w:vAlign w:val="center"/>
                </w:tcPr>
                <w:p w14:paraId="233AE393">
                  <w:pPr>
                    <w:spacing w:line="360" w:lineRule="exact"/>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若干</w:t>
                  </w:r>
                </w:p>
              </w:tc>
            </w:tr>
            <w:tr w14:paraId="6312B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3B3541AD">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12</w:t>
                  </w:r>
                </w:p>
              </w:tc>
              <w:tc>
                <w:tcPr>
                  <w:tcW w:w="1410" w:type="dxa"/>
                  <w:tcBorders>
                    <w:tl2br w:val="nil"/>
                    <w:tr2bl w:val="nil"/>
                  </w:tcBorders>
                  <w:vAlign w:val="center"/>
                </w:tcPr>
                <w:p w14:paraId="77332FF9">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压路机</w:t>
                  </w:r>
                </w:p>
              </w:tc>
              <w:tc>
                <w:tcPr>
                  <w:tcW w:w="1980" w:type="dxa"/>
                  <w:tcBorders>
                    <w:tl2br w:val="nil"/>
                    <w:tr2bl w:val="nil"/>
                  </w:tcBorders>
                  <w:vAlign w:val="center"/>
                </w:tcPr>
                <w:p w14:paraId="0F267256">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w:t>
                  </w:r>
                </w:p>
              </w:tc>
              <w:tc>
                <w:tcPr>
                  <w:tcW w:w="2505" w:type="dxa"/>
                  <w:tcBorders>
                    <w:tl2br w:val="nil"/>
                    <w:tr2bl w:val="nil"/>
                  </w:tcBorders>
                  <w:vAlign w:val="center"/>
                </w:tcPr>
                <w:p w14:paraId="7EE66A3E">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锚地</w:t>
                  </w:r>
                </w:p>
              </w:tc>
              <w:tc>
                <w:tcPr>
                  <w:tcW w:w="1322" w:type="dxa"/>
                  <w:tcBorders>
                    <w:tl2br w:val="nil"/>
                    <w:tr2bl w:val="nil"/>
                  </w:tcBorders>
                  <w:vAlign w:val="center"/>
                </w:tcPr>
                <w:p w14:paraId="1B1BF4FE">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w:t>
                  </w:r>
                </w:p>
              </w:tc>
              <w:tc>
                <w:tcPr>
                  <w:tcW w:w="962" w:type="dxa"/>
                  <w:tcBorders>
                    <w:tl2br w:val="nil"/>
                    <w:tr2bl w:val="nil"/>
                  </w:tcBorders>
                  <w:vAlign w:val="center"/>
                </w:tcPr>
                <w:p w14:paraId="6B9493D3">
                  <w:pPr>
                    <w:spacing w:line="360" w:lineRule="exact"/>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若干</w:t>
                  </w:r>
                </w:p>
              </w:tc>
            </w:tr>
            <w:tr w14:paraId="21FDE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tcBorders>
                    <w:tl2br w:val="nil"/>
                    <w:tr2bl w:val="nil"/>
                  </w:tcBorders>
                  <w:vAlign w:val="center"/>
                </w:tcPr>
                <w:p w14:paraId="3C7B5A46">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13</w:t>
                  </w:r>
                </w:p>
              </w:tc>
              <w:tc>
                <w:tcPr>
                  <w:tcW w:w="1410" w:type="dxa"/>
                  <w:tcBorders>
                    <w:tl2br w:val="nil"/>
                    <w:tr2bl w:val="nil"/>
                  </w:tcBorders>
                  <w:vAlign w:val="center"/>
                </w:tcPr>
                <w:p w14:paraId="6BBFF988">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土方车</w:t>
                  </w:r>
                </w:p>
              </w:tc>
              <w:tc>
                <w:tcPr>
                  <w:tcW w:w="1980" w:type="dxa"/>
                  <w:tcBorders>
                    <w:tl2br w:val="nil"/>
                    <w:tr2bl w:val="nil"/>
                  </w:tcBorders>
                  <w:vAlign w:val="center"/>
                </w:tcPr>
                <w:p w14:paraId="7A1EEF5B">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w:t>
                  </w:r>
                </w:p>
              </w:tc>
              <w:tc>
                <w:tcPr>
                  <w:tcW w:w="2505" w:type="dxa"/>
                  <w:tcBorders>
                    <w:tl2br w:val="nil"/>
                    <w:tr2bl w:val="nil"/>
                  </w:tcBorders>
                  <w:vAlign w:val="center"/>
                </w:tcPr>
                <w:p w14:paraId="3CA8A30E">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锚地</w:t>
                  </w:r>
                </w:p>
              </w:tc>
              <w:tc>
                <w:tcPr>
                  <w:tcW w:w="1322" w:type="dxa"/>
                  <w:tcBorders>
                    <w:tl2br w:val="nil"/>
                    <w:tr2bl w:val="nil"/>
                  </w:tcBorders>
                  <w:vAlign w:val="center"/>
                </w:tcPr>
                <w:p w14:paraId="213F76B5">
                  <w:pPr>
                    <w:spacing w:line="360" w:lineRule="exac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w:t>
                  </w:r>
                </w:p>
              </w:tc>
              <w:tc>
                <w:tcPr>
                  <w:tcW w:w="962" w:type="dxa"/>
                  <w:tcBorders>
                    <w:tl2br w:val="nil"/>
                    <w:tr2bl w:val="nil"/>
                  </w:tcBorders>
                  <w:vAlign w:val="center"/>
                </w:tcPr>
                <w:p w14:paraId="2F46AD53">
                  <w:pPr>
                    <w:spacing w:line="360" w:lineRule="exact"/>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若干</w:t>
                  </w:r>
                </w:p>
              </w:tc>
            </w:tr>
          </w:tbl>
          <w:p w14:paraId="57EB091C">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4、疏浚工程施工内容</w:t>
            </w:r>
          </w:p>
          <w:p w14:paraId="0C26086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4.1疏浚工程内容</w:t>
            </w:r>
          </w:p>
          <w:p w14:paraId="4B2F7F6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本工程水下疏浚总疏浚量</w:t>
            </w:r>
            <w:r>
              <w:rPr>
                <w:rFonts w:hint="eastAsia" w:ascii="Times New Roman" w:hAnsi="Times New Roman" w:eastAsia="宋体" w:cs="Times New Roman"/>
                <w:sz w:val="24"/>
                <w:szCs w:val="24"/>
                <w:lang w:val="en-US" w:eastAsia="zh-CN"/>
              </w:rPr>
              <w:t>约</w:t>
            </w:r>
            <w:r>
              <w:rPr>
                <w:rFonts w:hint="default" w:ascii="Times New Roman" w:hAnsi="Times New Roman" w:eastAsia="宋体" w:cs="Times New Roman"/>
                <w:sz w:val="24"/>
                <w:szCs w:val="24"/>
                <w:lang w:val="en-US" w:eastAsia="zh-CN"/>
              </w:rPr>
              <w:t>2</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万m³，包含以下部分。</w:t>
            </w:r>
          </w:p>
          <w:p w14:paraId="0315D16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Times New Roman" w:hAnsi="Times New Roman"/>
              </w:rPr>
            </w:pPr>
            <w:r>
              <w:rPr>
                <w:rFonts w:hint="default" w:ascii="Times New Roman" w:hAnsi="Times New Roman" w:eastAsia="宋体" w:cs="Times New Roman"/>
                <w:sz w:val="24"/>
                <w:szCs w:val="24"/>
                <w:lang w:val="en-US" w:eastAsia="zh-CN"/>
              </w:rPr>
              <w:t>（1）锚地前沿至航道中心线之间按照锚地前沿设计底高程4.33m进行疏浚，疏浚工程量</w:t>
            </w:r>
            <w:r>
              <w:rPr>
                <w:rFonts w:hint="eastAsia" w:ascii="Times New Roman" w:hAnsi="Times New Roman" w:cs="Times New Roman"/>
                <w:sz w:val="24"/>
                <w:szCs w:val="24"/>
                <w:lang w:val="en-US" w:eastAsia="zh-CN"/>
              </w:rPr>
              <w:t>约</w:t>
            </w:r>
            <w:r>
              <w:rPr>
                <w:rFonts w:hint="default" w:ascii="Times New Roman" w:hAnsi="Times New Roman" w:eastAsia="宋体" w:cs="Times New Roman"/>
                <w:sz w:val="24"/>
                <w:szCs w:val="24"/>
                <w:lang w:val="en-US" w:eastAsia="zh-CN"/>
              </w:rPr>
              <w:t>为</w:t>
            </w: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lang w:val="en-US" w:eastAsia="zh-CN"/>
              </w:rPr>
              <w:t>万m³。</w:t>
            </w:r>
          </w:p>
          <w:p w14:paraId="6333528A">
            <w:pPr>
              <w:widowControl w:val="0"/>
              <w:adjustRightInd w:val="0"/>
              <w:snapToGrid w:val="0"/>
              <w:spacing w:line="360" w:lineRule="auto"/>
              <w:jc w:val="center"/>
              <w:rPr>
                <w:rFonts w:ascii="Times New Roman" w:hAnsi="Times New Roman"/>
                <w:b/>
                <w:bCs/>
                <w:sz w:val="21"/>
                <w:szCs w:val="21"/>
              </w:rPr>
            </w:pPr>
            <w:r>
              <w:rPr>
                <w:rFonts w:ascii="Times New Roman" w:hAnsi="Times New Roman"/>
              </w:rPr>
              <w:drawing>
                <wp:inline distT="0" distB="0" distL="0" distR="0">
                  <wp:extent cx="5588000" cy="3204210"/>
                  <wp:effectExtent l="0" t="0" r="12700" b="15240"/>
                  <wp:docPr id="10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2"/>
                          <pic:cNvPicPr>
                            <a:picLocks noChangeAspect="1"/>
                          </pic:cNvPicPr>
                        </pic:nvPicPr>
                        <pic:blipFill>
                          <a:blip r:embed="rId11" cstate="print"/>
                          <a:srcRect/>
                          <a:stretch>
                            <a:fillRect/>
                          </a:stretch>
                        </pic:blipFill>
                        <pic:spPr>
                          <a:xfrm>
                            <a:off x="0" y="0"/>
                            <a:ext cx="5588000" cy="3204210"/>
                          </a:xfrm>
                          <a:prstGeom prst="rect">
                            <a:avLst/>
                          </a:prstGeom>
                          <a:ln>
                            <a:noFill/>
                          </a:ln>
                        </pic:spPr>
                      </pic:pic>
                    </a:graphicData>
                  </a:graphic>
                </wp:inline>
              </w:drawing>
            </w:r>
          </w:p>
          <w:p w14:paraId="49FB2834">
            <w:pPr>
              <w:widowControl w:val="0"/>
              <w:adjustRightInd w:val="0"/>
              <w:snapToGri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eastAsia="zh-CN"/>
              </w:rPr>
              <w:t>2</w:t>
            </w:r>
            <w:r>
              <w:rPr>
                <w:rFonts w:ascii="Times New Roman" w:hAnsi="Times New Roman" w:cs="Times New Roman"/>
                <w:b/>
                <w:bCs/>
                <w:sz w:val="24"/>
                <w:szCs w:val="24"/>
              </w:rPr>
              <w:t>-1锚地前沿疏浚底边线</w:t>
            </w:r>
          </w:p>
          <w:p w14:paraId="0EC14A5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）南港疏浚区以现有护岸前沿线为基线，预留6m安全距离，以1:5坡比向航道侧进行疏浚，设计底高程4.33m。疏浚工程量</w:t>
            </w:r>
            <w:r>
              <w:rPr>
                <w:rFonts w:hint="eastAsia" w:ascii="Times New Roman" w:hAnsi="Times New Roman" w:cs="Times New Roman"/>
                <w:sz w:val="24"/>
                <w:szCs w:val="24"/>
                <w:lang w:val="en-US" w:eastAsia="zh-CN"/>
              </w:rPr>
              <w:t>约</w:t>
            </w:r>
            <w:r>
              <w:rPr>
                <w:rFonts w:hint="default" w:ascii="Times New Roman" w:hAnsi="Times New Roman" w:eastAsia="宋体" w:cs="Times New Roman"/>
                <w:sz w:val="24"/>
                <w:szCs w:val="24"/>
                <w:lang w:val="en-US" w:eastAsia="zh-CN"/>
              </w:rPr>
              <w:t>为</w:t>
            </w: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lang w:val="en-US" w:eastAsia="zh-CN"/>
              </w:rPr>
              <w:t>万m³。</w:t>
            </w:r>
          </w:p>
          <w:p w14:paraId="06664451">
            <w:pPr>
              <w:widowControl w:val="0"/>
              <w:adjustRightInd w:val="0"/>
              <w:snapToGrid w:val="0"/>
              <w:spacing w:line="360" w:lineRule="auto"/>
              <w:jc w:val="center"/>
              <w:rPr>
                <w:rFonts w:ascii="Times New Roman" w:hAnsi="Times New Roman"/>
                <w:b/>
                <w:bCs/>
                <w:sz w:val="21"/>
                <w:szCs w:val="21"/>
              </w:rPr>
            </w:pPr>
            <w:r>
              <w:rPr>
                <w:rFonts w:ascii="Times New Roman" w:hAnsi="Times New Roman"/>
              </w:rPr>
              <w:drawing>
                <wp:inline distT="0" distB="0" distL="0" distR="0">
                  <wp:extent cx="5600700" cy="2339975"/>
                  <wp:effectExtent l="0" t="0" r="0" b="3175"/>
                  <wp:docPr id="1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
                          <pic:cNvPicPr>
                            <a:picLocks noChangeAspect="1"/>
                          </pic:cNvPicPr>
                        </pic:nvPicPr>
                        <pic:blipFill>
                          <a:blip r:embed="rId12" cstate="print"/>
                          <a:srcRect/>
                          <a:stretch>
                            <a:fillRect/>
                          </a:stretch>
                        </pic:blipFill>
                        <pic:spPr>
                          <a:xfrm>
                            <a:off x="0" y="0"/>
                            <a:ext cx="5600700" cy="2339975"/>
                          </a:xfrm>
                          <a:prstGeom prst="rect">
                            <a:avLst/>
                          </a:prstGeom>
                          <a:ln>
                            <a:noFill/>
                          </a:ln>
                        </pic:spPr>
                      </pic:pic>
                    </a:graphicData>
                  </a:graphic>
                </wp:inline>
              </w:drawing>
            </w:r>
          </w:p>
          <w:p w14:paraId="18696846">
            <w:pPr>
              <w:widowControl w:val="0"/>
              <w:adjustRightInd w:val="0"/>
              <w:snapToGrid w:val="0"/>
              <w:spacing w:line="360" w:lineRule="auto"/>
              <w:jc w:val="center"/>
              <w:rPr>
                <w:rFonts w:ascii="Times New Roman" w:hAnsi="Times New Roman"/>
                <w:b/>
                <w:bCs/>
                <w:sz w:val="21"/>
                <w:szCs w:val="21"/>
              </w:rPr>
            </w:pPr>
            <w:r>
              <w:rPr>
                <w:rFonts w:ascii="Times New Roman" w:hAnsi="Times New Roman" w:cs="Times New Roman"/>
                <w:b/>
                <w:bCs/>
                <w:sz w:val="24"/>
                <w:szCs w:val="24"/>
              </w:rPr>
              <w:t>图</w:t>
            </w:r>
            <w:r>
              <w:rPr>
                <w:rFonts w:hint="eastAsia" w:ascii="Times New Roman" w:hAnsi="Times New Roman" w:cs="Times New Roman"/>
                <w:b/>
                <w:bCs/>
                <w:sz w:val="24"/>
                <w:szCs w:val="24"/>
                <w:lang w:val="en-US" w:eastAsia="zh-CN"/>
              </w:rPr>
              <w:t>2</w:t>
            </w:r>
            <w:r>
              <w:rPr>
                <w:rFonts w:ascii="Times New Roman" w:hAnsi="Times New Roman" w:cs="Times New Roman"/>
                <w:b/>
                <w:bCs/>
                <w:sz w:val="24"/>
                <w:szCs w:val="24"/>
              </w:rPr>
              <w:t>-2</w:t>
            </w:r>
            <w:r>
              <w:rPr>
                <w:rFonts w:hint="eastAsia" w:ascii="Times New Roman" w:hAnsi="Times New Roman" w:cs="Times New Roman"/>
                <w:b/>
                <w:bCs/>
                <w:sz w:val="24"/>
                <w:szCs w:val="24"/>
                <w:lang w:val="en-US" w:eastAsia="zh-CN"/>
              </w:rPr>
              <w:t xml:space="preserve"> </w:t>
            </w:r>
            <w:r>
              <w:rPr>
                <w:rFonts w:ascii="Times New Roman" w:hAnsi="Times New Roman" w:cs="Times New Roman"/>
                <w:b/>
                <w:bCs/>
                <w:sz w:val="24"/>
                <w:szCs w:val="24"/>
              </w:rPr>
              <w:t>南港疏浚区疏浚底边线</w:t>
            </w:r>
          </w:p>
          <w:p w14:paraId="70D06E7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4.2疏浚施工工艺流程</w:t>
            </w:r>
          </w:p>
          <w:p w14:paraId="268E528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本航道沿线水下方土质较硬，不适宜采用绞吸式</w:t>
            </w:r>
            <w:r>
              <w:rPr>
                <w:rFonts w:hint="eastAsia" w:cs="Times New Roman"/>
                <w:sz w:val="24"/>
                <w:szCs w:val="24"/>
                <w:lang w:val="en-US" w:eastAsia="zh-CN"/>
              </w:rPr>
              <w:t>挖泥船</w:t>
            </w:r>
            <w:r>
              <w:rPr>
                <w:rFonts w:hint="eastAsia" w:ascii="Times New Roman" w:hAnsi="Times New Roman" w:eastAsia="宋体" w:cs="Times New Roman"/>
                <w:sz w:val="24"/>
                <w:szCs w:val="24"/>
                <w:lang w:val="en-US" w:eastAsia="zh-CN"/>
              </w:rPr>
              <w:t>进行施工作业；同时，京杭运河航线繁忙，施工期将采取不断航式施工，而绞吸式挖泥船施工影响面较大，将影响区域船舶通行；</w:t>
            </w:r>
            <w:r>
              <w:rPr>
                <w:rFonts w:hint="eastAsia" w:ascii="Times New Roman" w:hAnsi="Times New Roman" w:cs="Times New Roman"/>
                <w:sz w:val="24"/>
                <w:szCs w:val="24"/>
                <w:lang w:val="en-US" w:eastAsia="zh-CN"/>
              </w:rPr>
              <w:t>且</w:t>
            </w:r>
            <w:r>
              <w:rPr>
                <w:rFonts w:hint="eastAsia" w:ascii="Times New Roman" w:hAnsi="Times New Roman" w:eastAsia="宋体" w:cs="Times New Roman"/>
                <w:sz w:val="24"/>
                <w:szCs w:val="24"/>
                <w:lang w:val="en-US" w:eastAsia="zh-CN"/>
              </w:rPr>
              <w:t xml:space="preserve">航道沿线无法设置污泥干化场，无法通过绞吸式挖泥船往岸边吹填。鉴于以上原因，本次清淤选择抓斗式挖泥船进行施工。 </w:t>
            </w:r>
          </w:p>
          <w:p w14:paraId="0C5776B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疏浚施工工艺流程如下：</w:t>
            </w:r>
          </w:p>
          <w:p w14:paraId="62157EA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施工准备→测量放线→清障清杂→挖泥船疏浚→泥驳运输→吹泥上岸。</w:t>
            </w:r>
          </w:p>
          <w:p w14:paraId="057948C0">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4.3淤泥干化场</w:t>
            </w:r>
            <w:r>
              <w:rPr>
                <w:rFonts w:hint="default" w:ascii="Times New Roman" w:hAnsi="Times New Roman" w:eastAsia="宋体" w:cs="Times New Roman"/>
                <w:b/>
                <w:bCs/>
                <w:sz w:val="24"/>
                <w:szCs w:val="24"/>
                <w:lang w:val="en-US" w:eastAsia="zh-CN"/>
              </w:rPr>
              <w:t>位置</w:t>
            </w:r>
          </w:p>
          <w:p w14:paraId="1DA61BFA">
            <w:pPr>
              <w:spacing w:line="480" w:lineRule="exact"/>
              <w:ind w:firstLine="480" w:firstLineChars="200"/>
              <w:rPr>
                <w:color w:val="auto"/>
                <w:kern w:val="24"/>
                <w:sz w:val="24"/>
                <w:highlight w:val="none"/>
              </w:rPr>
            </w:pPr>
            <w:r>
              <w:rPr>
                <w:color w:val="auto"/>
                <w:kern w:val="24"/>
                <w:sz w:val="24"/>
                <w:highlight w:val="none"/>
              </w:rPr>
              <w:t>淤泥干化场</w:t>
            </w:r>
            <w:r>
              <w:rPr>
                <w:rFonts w:hint="eastAsia"/>
                <w:color w:val="auto"/>
                <w:kern w:val="24"/>
                <w:sz w:val="24"/>
                <w:highlight w:val="none"/>
                <w:lang w:val="en-US" w:eastAsia="zh-CN"/>
              </w:rPr>
              <w:t>选址位于</w:t>
            </w:r>
            <w:r>
              <w:rPr>
                <w:rFonts w:hint="eastAsia"/>
                <w:color w:val="auto"/>
                <w:szCs w:val="21"/>
                <w:highlight w:val="none"/>
                <w:lang w:val="en-US" w:eastAsia="zh-CN"/>
              </w:rPr>
              <w:t>京杭运河西侧区域</w:t>
            </w:r>
            <w:r>
              <w:rPr>
                <w:color w:val="auto"/>
                <w:szCs w:val="21"/>
                <w:highlight w:val="none"/>
              </w:rPr>
              <w:t>，</w:t>
            </w:r>
            <w:r>
              <w:rPr>
                <w:rFonts w:hint="eastAsia"/>
                <w:color w:val="auto"/>
                <w:kern w:val="24"/>
                <w:sz w:val="24"/>
                <w:highlight w:val="none"/>
                <w:lang w:val="en-US" w:eastAsia="zh-CN"/>
              </w:rPr>
              <w:t>来凤路以东、通港路以北、天明路以南、新柴米河以西位置，面积约7.2公顷（108亩）。距离最近的省考断面黄码大桥约1.5km，满足</w:t>
            </w:r>
            <w:r>
              <w:rPr>
                <w:rFonts w:hint="default" w:ascii="Times New Roman" w:hAnsi="Times New Roman" w:eastAsia="宋体" w:cs="Times New Roman"/>
                <w:color w:val="auto"/>
                <w:kern w:val="0"/>
                <w:sz w:val="24"/>
                <w:szCs w:val="24"/>
                <w:highlight w:val="none"/>
                <w:lang w:val="en-US" w:eastAsia="zh-CN" w:bidi="ar-SA"/>
              </w:rPr>
              <w:t>《防范清淤疏浚工程对水质影响工作方案》（苏环办〔2021〕185号）</w:t>
            </w:r>
            <w:r>
              <w:rPr>
                <w:rFonts w:hint="eastAsia" w:cs="Times New Roman"/>
                <w:color w:val="auto"/>
                <w:kern w:val="0"/>
                <w:sz w:val="24"/>
                <w:szCs w:val="24"/>
                <w:highlight w:val="none"/>
                <w:lang w:val="en-US" w:eastAsia="zh-CN" w:bidi="ar-SA"/>
              </w:rPr>
              <w:t>中淤泥堆场设置在考核断面1km范围以外的要求，</w:t>
            </w:r>
            <w:r>
              <w:rPr>
                <w:color w:val="auto"/>
                <w:kern w:val="24"/>
                <w:sz w:val="24"/>
                <w:highlight w:val="none"/>
              </w:rPr>
              <w:t>淤泥干化场</w:t>
            </w:r>
            <w:r>
              <w:rPr>
                <w:rFonts w:hint="eastAsia"/>
                <w:color w:val="auto"/>
                <w:kern w:val="24"/>
                <w:sz w:val="24"/>
                <w:highlight w:val="none"/>
                <w:lang w:eastAsia="zh-CN"/>
              </w:rPr>
              <w:t>用地</w:t>
            </w:r>
            <w:r>
              <w:rPr>
                <w:color w:val="auto"/>
                <w:kern w:val="24"/>
                <w:sz w:val="24"/>
                <w:highlight w:val="none"/>
              </w:rPr>
              <w:t>设置见</w:t>
            </w:r>
            <w:r>
              <w:rPr>
                <w:rFonts w:hint="eastAsia"/>
                <w:color w:val="auto"/>
                <w:kern w:val="24"/>
                <w:sz w:val="24"/>
                <w:highlight w:val="none"/>
                <w:lang w:val="en-US" w:eastAsia="zh-CN"/>
              </w:rPr>
              <w:t>下</w:t>
            </w:r>
            <w:r>
              <w:rPr>
                <w:color w:val="auto"/>
                <w:kern w:val="24"/>
                <w:sz w:val="24"/>
                <w:highlight w:val="none"/>
              </w:rPr>
              <w:t>表</w:t>
            </w:r>
            <w:r>
              <w:rPr>
                <w:rFonts w:hint="eastAsia"/>
                <w:color w:val="auto"/>
                <w:kern w:val="24"/>
                <w:sz w:val="24"/>
                <w:highlight w:val="none"/>
                <w:lang w:val="en-US" w:eastAsia="zh-CN"/>
              </w:rPr>
              <w:t>2-5</w:t>
            </w:r>
            <w:r>
              <w:rPr>
                <w:color w:val="auto"/>
                <w:kern w:val="24"/>
                <w:sz w:val="24"/>
                <w:highlight w:val="none"/>
              </w:rPr>
              <w:t>。</w:t>
            </w:r>
          </w:p>
          <w:p w14:paraId="15CF6A14">
            <w:pPr>
              <w:spacing w:line="480" w:lineRule="exact"/>
              <w:ind w:firstLine="482" w:firstLineChars="200"/>
              <w:jc w:val="center"/>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表</w:t>
            </w:r>
            <w:r>
              <w:rPr>
                <w:rFonts w:hint="eastAsia" w:cs="Times New Roman"/>
                <w:b/>
                <w:bCs/>
                <w:color w:val="auto"/>
                <w:spacing w:val="0"/>
                <w:kern w:val="2"/>
                <w:sz w:val="24"/>
                <w:szCs w:val="24"/>
                <w:highlight w:val="none"/>
                <w:lang w:val="en-US" w:eastAsia="zh-CN" w:bidi="ar-SA"/>
              </w:rPr>
              <w:t>2-5</w:t>
            </w:r>
            <w:r>
              <w:rPr>
                <w:rFonts w:hint="default" w:ascii="Times New Roman" w:hAnsi="Times New Roman" w:eastAsia="宋体" w:cs="Times New Roman"/>
                <w:b/>
                <w:bCs/>
                <w:color w:val="auto"/>
                <w:spacing w:val="0"/>
                <w:kern w:val="2"/>
                <w:sz w:val="24"/>
                <w:szCs w:val="24"/>
                <w:highlight w:val="none"/>
                <w:lang w:val="en-US" w:eastAsia="zh-CN" w:bidi="ar-SA"/>
              </w:rPr>
              <w:t xml:space="preserve">  淤泥干化场</w:t>
            </w:r>
            <w:r>
              <w:rPr>
                <w:rFonts w:hint="eastAsia" w:cs="Times New Roman"/>
                <w:b/>
                <w:bCs/>
                <w:color w:val="auto"/>
                <w:spacing w:val="0"/>
                <w:kern w:val="2"/>
                <w:sz w:val="24"/>
                <w:szCs w:val="24"/>
                <w:highlight w:val="none"/>
                <w:lang w:val="en-US" w:eastAsia="zh-CN" w:bidi="ar-SA"/>
              </w:rPr>
              <w:t>用地位</w:t>
            </w:r>
            <w:r>
              <w:rPr>
                <w:rFonts w:hint="default" w:ascii="Times New Roman" w:hAnsi="Times New Roman" w:eastAsia="宋体" w:cs="Times New Roman"/>
                <w:b/>
                <w:bCs/>
                <w:color w:val="auto"/>
                <w:spacing w:val="0"/>
                <w:kern w:val="2"/>
                <w:sz w:val="24"/>
                <w:szCs w:val="24"/>
                <w:highlight w:val="none"/>
                <w:lang w:val="en-US" w:eastAsia="zh-CN" w:bidi="ar-SA"/>
              </w:rPr>
              <w:t>置合理性分析</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0"/>
              <w:gridCol w:w="998"/>
              <w:gridCol w:w="2385"/>
              <w:gridCol w:w="4155"/>
              <w:gridCol w:w="744"/>
            </w:tblGrid>
            <w:tr w14:paraId="39089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blHeader/>
                <w:jc w:val="center"/>
              </w:trPr>
              <w:tc>
                <w:tcPr>
                  <w:tcW w:w="311" w:type="pct"/>
                  <w:tcBorders>
                    <w:tl2br w:val="nil"/>
                    <w:tr2bl w:val="nil"/>
                  </w:tcBorders>
                  <w:noWrap w:val="0"/>
                  <w:vAlign w:val="center"/>
                </w:tcPr>
                <w:p w14:paraId="44C95BFC">
                  <w:pPr>
                    <w:adjustRightInd w:val="0"/>
                    <w:jc w:val="center"/>
                    <w:rPr>
                      <w:b/>
                      <w:color w:val="auto"/>
                      <w:szCs w:val="21"/>
                      <w:highlight w:val="none"/>
                    </w:rPr>
                  </w:pPr>
                  <w:r>
                    <w:rPr>
                      <w:b/>
                      <w:color w:val="auto"/>
                      <w:szCs w:val="21"/>
                      <w:highlight w:val="none"/>
                    </w:rPr>
                    <w:t>编号</w:t>
                  </w:r>
                </w:p>
              </w:tc>
              <w:tc>
                <w:tcPr>
                  <w:tcW w:w="564" w:type="pct"/>
                  <w:tcBorders>
                    <w:tl2br w:val="nil"/>
                    <w:tr2bl w:val="nil"/>
                  </w:tcBorders>
                  <w:noWrap w:val="0"/>
                  <w:vAlign w:val="center"/>
                </w:tcPr>
                <w:p w14:paraId="16A96173">
                  <w:pPr>
                    <w:adjustRightInd w:val="0"/>
                    <w:jc w:val="center"/>
                    <w:rPr>
                      <w:b/>
                      <w:color w:val="auto"/>
                      <w:szCs w:val="21"/>
                      <w:highlight w:val="none"/>
                    </w:rPr>
                  </w:pPr>
                  <w:r>
                    <w:rPr>
                      <w:b/>
                      <w:color w:val="auto"/>
                      <w:szCs w:val="21"/>
                      <w:highlight w:val="none"/>
                    </w:rPr>
                    <w:t>面积</w:t>
                  </w:r>
                </w:p>
                <w:p w14:paraId="0689BB01">
                  <w:pPr>
                    <w:adjustRightInd w:val="0"/>
                    <w:jc w:val="center"/>
                    <w:rPr>
                      <w:b/>
                      <w:color w:val="auto"/>
                      <w:szCs w:val="21"/>
                      <w:highlight w:val="none"/>
                    </w:rPr>
                  </w:pPr>
                  <w:r>
                    <w:rPr>
                      <w:b/>
                      <w:color w:val="auto"/>
                      <w:szCs w:val="21"/>
                      <w:highlight w:val="none"/>
                    </w:rPr>
                    <w:t>（公顷）</w:t>
                  </w:r>
                </w:p>
              </w:tc>
              <w:tc>
                <w:tcPr>
                  <w:tcW w:w="1350" w:type="pct"/>
                  <w:tcBorders>
                    <w:tl2br w:val="nil"/>
                    <w:tr2bl w:val="nil"/>
                  </w:tcBorders>
                  <w:noWrap w:val="0"/>
                  <w:vAlign w:val="center"/>
                </w:tcPr>
                <w:p w14:paraId="7154CF76">
                  <w:pPr>
                    <w:adjustRightInd w:val="0"/>
                    <w:jc w:val="center"/>
                    <w:rPr>
                      <w:b/>
                      <w:color w:val="auto"/>
                      <w:sz w:val="21"/>
                      <w:szCs w:val="21"/>
                      <w:highlight w:val="none"/>
                    </w:rPr>
                  </w:pPr>
                  <w:r>
                    <w:rPr>
                      <w:b/>
                      <w:color w:val="auto"/>
                      <w:sz w:val="21"/>
                      <w:szCs w:val="21"/>
                      <w:highlight w:val="none"/>
                    </w:rPr>
                    <w:t>选址合理性评述</w:t>
                  </w:r>
                </w:p>
              </w:tc>
              <w:tc>
                <w:tcPr>
                  <w:tcW w:w="2352" w:type="pct"/>
                  <w:tcBorders>
                    <w:tl2br w:val="nil"/>
                    <w:tr2bl w:val="nil"/>
                  </w:tcBorders>
                  <w:noWrap w:val="0"/>
                  <w:vAlign w:val="center"/>
                </w:tcPr>
                <w:p w14:paraId="101FBF1F">
                  <w:pPr>
                    <w:adjustRightInd w:val="0"/>
                    <w:ind w:left="19" w:leftChars="-67" w:hanging="160" w:hangingChars="76"/>
                    <w:jc w:val="center"/>
                    <w:rPr>
                      <w:b/>
                      <w:color w:val="auto"/>
                      <w:szCs w:val="21"/>
                      <w:highlight w:val="none"/>
                    </w:rPr>
                  </w:pPr>
                  <w:r>
                    <w:rPr>
                      <w:b/>
                      <w:color w:val="auto"/>
                      <w:szCs w:val="21"/>
                      <w:highlight w:val="none"/>
                    </w:rPr>
                    <w:t>淤泥干化场周边土地利用现状</w:t>
                  </w:r>
                </w:p>
                <w:p w14:paraId="2BDE7222">
                  <w:pPr>
                    <w:adjustRightInd w:val="0"/>
                    <w:ind w:left="19" w:leftChars="-67" w:hanging="160" w:hangingChars="76"/>
                    <w:jc w:val="center"/>
                    <w:rPr>
                      <w:b/>
                      <w:color w:val="auto"/>
                      <w:szCs w:val="21"/>
                      <w:highlight w:val="none"/>
                    </w:rPr>
                  </w:pPr>
                  <w:r>
                    <w:rPr>
                      <w:b/>
                      <w:color w:val="auto"/>
                      <w:szCs w:val="21"/>
                      <w:highlight w:val="none"/>
                    </w:rPr>
                    <w:t>（红色虚线箭头代表排水去向）</w:t>
                  </w:r>
                </w:p>
              </w:tc>
              <w:tc>
                <w:tcPr>
                  <w:tcW w:w="421" w:type="pct"/>
                  <w:tcBorders>
                    <w:tl2br w:val="nil"/>
                    <w:tr2bl w:val="nil"/>
                  </w:tcBorders>
                  <w:noWrap w:val="0"/>
                  <w:vAlign w:val="center"/>
                </w:tcPr>
                <w:p w14:paraId="31FDEFAB">
                  <w:pPr>
                    <w:adjustRightInd w:val="0"/>
                    <w:ind w:left="15" w:leftChars="-49" w:hanging="118" w:hangingChars="56"/>
                    <w:jc w:val="center"/>
                    <w:rPr>
                      <w:b/>
                      <w:color w:val="auto"/>
                      <w:szCs w:val="21"/>
                      <w:highlight w:val="none"/>
                    </w:rPr>
                  </w:pPr>
                  <w:r>
                    <w:rPr>
                      <w:b/>
                      <w:color w:val="auto"/>
                      <w:szCs w:val="21"/>
                      <w:highlight w:val="none"/>
                    </w:rPr>
                    <w:t>恢复方向</w:t>
                  </w:r>
                </w:p>
              </w:tc>
            </w:tr>
            <w:tr w14:paraId="63C11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311" w:type="pct"/>
                  <w:tcBorders>
                    <w:tl2br w:val="nil"/>
                    <w:tr2bl w:val="nil"/>
                  </w:tcBorders>
                  <w:noWrap w:val="0"/>
                  <w:vAlign w:val="center"/>
                </w:tcPr>
                <w:p w14:paraId="508B6D35">
                  <w:pPr>
                    <w:adjustRightInd w:val="0"/>
                    <w:jc w:val="center"/>
                    <w:rPr>
                      <w:color w:val="auto"/>
                      <w:szCs w:val="21"/>
                      <w:highlight w:val="none"/>
                    </w:rPr>
                  </w:pPr>
                  <w:r>
                    <w:rPr>
                      <w:color w:val="auto"/>
                      <w:szCs w:val="21"/>
                      <w:highlight w:val="none"/>
                    </w:rPr>
                    <w:t>1#</w:t>
                  </w:r>
                </w:p>
              </w:tc>
              <w:tc>
                <w:tcPr>
                  <w:tcW w:w="564" w:type="pct"/>
                  <w:tcBorders>
                    <w:tl2br w:val="nil"/>
                    <w:tr2bl w:val="nil"/>
                  </w:tcBorders>
                  <w:noWrap w:val="0"/>
                  <w:vAlign w:val="center"/>
                </w:tcPr>
                <w:p w14:paraId="76CBB6A3">
                  <w:pPr>
                    <w:jc w:val="center"/>
                    <w:rPr>
                      <w:rFonts w:hint="default"/>
                      <w:color w:val="auto"/>
                      <w:szCs w:val="21"/>
                      <w:highlight w:val="none"/>
                      <w:lang w:val="en-US" w:eastAsia="zh-CN"/>
                    </w:rPr>
                  </w:pPr>
                  <w:r>
                    <w:rPr>
                      <w:rFonts w:hint="eastAsia"/>
                      <w:color w:val="auto"/>
                      <w:szCs w:val="21"/>
                      <w:highlight w:val="none"/>
                      <w:lang w:val="en-US" w:eastAsia="zh-CN"/>
                    </w:rPr>
                    <w:t>7.2</w:t>
                  </w:r>
                </w:p>
              </w:tc>
              <w:tc>
                <w:tcPr>
                  <w:tcW w:w="1350" w:type="pct"/>
                  <w:tcBorders>
                    <w:tl2br w:val="nil"/>
                    <w:tr2bl w:val="nil"/>
                  </w:tcBorders>
                  <w:noWrap w:val="0"/>
                  <w:vAlign w:val="center"/>
                </w:tcPr>
                <w:p w14:paraId="0DB49EF1">
                  <w:pPr>
                    <w:jc w:val="center"/>
                    <w:rPr>
                      <w:color w:val="auto"/>
                      <w:sz w:val="21"/>
                      <w:szCs w:val="21"/>
                      <w:highlight w:val="none"/>
                    </w:rPr>
                  </w:pPr>
                  <w:r>
                    <w:rPr>
                      <w:color w:val="auto"/>
                      <w:kern w:val="24"/>
                      <w:sz w:val="21"/>
                      <w:szCs w:val="21"/>
                      <w:highlight w:val="none"/>
                    </w:rPr>
                    <w:t>淤泥干化场</w:t>
                  </w:r>
                  <w:r>
                    <w:rPr>
                      <w:rFonts w:hint="eastAsia"/>
                      <w:color w:val="auto"/>
                      <w:kern w:val="24"/>
                      <w:sz w:val="21"/>
                      <w:szCs w:val="21"/>
                      <w:highlight w:val="none"/>
                      <w:lang w:val="en-US" w:eastAsia="zh-CN"/>
                    </w:rPr>
                    <w:t>选址位于</w:t>
                  </w:r>
                  <w:r>
                    <w:rPr>
                      <w:rFonts w:hint="eastAsia"/>
                      <w:color w:val="auto"/>
                      <w:sz w:val="21"/>
                      <w:szCs w:val="21"/>
                      <w:highlight w:val="none"/>
                      <w:lang w:val="en-US" w:eastAsia="zh-CN"/>
                    </w:rPr>
                    <w:t>京杭运河西侧区域</w:t>
                  </w:r>
                  <w:r>
                    <w:rPr>
                      <w:color w:val="auto"/>
                      <w:sz w:val="21"/>
                      <w:szCs w:val="21"/>
                      <w:highlight w:val="none"/>
                    </w:rPr>
                    <w:t>，</w:t>
                  </w:r>
                  <w:r>
                    <w:rPr>
                      <w:rFonts w:hint="eastAsia"/>
                      <w:color w:val="auto"/>
                      <w:kern w:val="24"/>
                      <w:sz w:val="21"/>
                      <w:szCs w:val="21"/>
                      <w:highlight w:val="none"/>
                      <w:lang w:val="en-US" w:eastAsia="zh-CN"/>
                    </w:rPr>
                    <w:t>来凤路以东、通港路以北、天明路以南、新柴米河以西位置，距离最近的省考断面黄码大桥约1.5km，满足</w:t>
                  </w:r>
                  <w:r>
                    <w:rPr>
                      <w:rFonts w:hint="default" w:ascii="Times New Roman" w:hAnsi="Times New Roman" w:eastAsia="宋体" w:cs="Times New Roman"/>
                      <w:color w:val="auto"/>
                      <w:kern w:val="0"/>
                      <w:sz w:val="21"/>
                      <w:szCs w:val="21"/>
                      <w:highlight w:val="none"/>
                      <w:lang w:val="en-US" w:eastAsia="zh-CN" w:bidi="ar-SA"/>
                    </w:rPr>
                    <w:t>《防范清淤疏浚工程对水质影响工作方案》（苏环办〔2021〕185号）</w:t>
                  </w:r>
                  <w:r>
                    <w:rPr>
                      <w:rFonts w:hint="eastAsia" w:cs="Times New Roman"/>
                      <w:color w:val="auto"/>
                      <w:kern w:val="0"/>
                      <w:sz w:val="21"/>
                      <w:szCs w:val="21"/>
                      <w:highlight w:val="none"/>
                      <w:lang w:val="en-US" w:eastAsia="zh-CN" w:bidi="ar-SA"/>
                    </w:rPr>
                    <w:t>中淤泥堆场设置在考核断面1km范围以外的要求</w:t>
                  </w:r>
                  <w:r>
                    <w:rPr>
                      <w:color w:val="auto"/>
                      <w:sz w:val="21"/>
                      <w:szCs w:val="21"/>
                      <w:highlight w:val="none"/>
                    </w:rPr>
                    <w:t>。占地现状为</w:t>
                  </w:r>
                  <w:r>
                    <w:rPr>
                      <w:rFonts w:hint="eastAsia"/>
                      <w:color w:val="auto"/>
                      <w:sz w:val="21"/>
                      <w:szCs w:val="21"/>
                      <w:highlight w:val="none"/>
                      <w:lang w:val="en-US" w:eastAsia="zh-CN"/>
                    </w:rPr>
                    <w:t>耕地</w:t>
                  </w:r>
                  <w:r>
                    <w:rPr>
                      <w:color w:val="auto"/>
                      <w:sz w:val="21"/>
                      <w:szCs w:val="21"/>
                      <w:highlight w:val="none"/>
                    </w:rPr>
                    <w:t>。周围</w:t>
                  </w:r>
                  <w:r>
                    <w:rPr>
                      <w:rFonts w:hint="eastAsia"/>
                      <w:color w:val="auto"/>
                      <w:sz w:val="21"/>
                      <w:szCs w:val="21"/>
                      <w:highlight w:val="none"/>
                      <w:lang w:val="en-US" w:eastAsia="zh-CN"/>
                    </w:rPr>
                    <w:t>5</w:t>
                  </w:r>
                  <w:r>
                    <w:rPr>
                      <w:color w:val="auto"/>
                      <w:sz w:val="21"/>
                      <w:szCs w:val="21"/>
                      <w:highlight w:val="none"/>
                    </w:rPr>
                    <w:t>0m范围内无敏感点存在，最近距离</w:t>
                  </w:r>
                  <w:r>
                    <w:rPr>
                      <w:rFonts w:hint="eastAsia"/>
                      <w:color w:val="auto"/>
                      <w:sz w:val="21"/>
                      <w:szCs w:val="21"/>
                      <w:highlight w:val="none"/>
                      <w:lang w:val="en-US" w:eastAsia="zh-CN"/>
                    </w:rPr>
                    <w:t>143</w:t>
                  </w:r>
                  <w:r>
                    <w:rPr>
                      <w:color w:val="auto"/>
                      <w:sz w:val="21"/>
                      <w:szCs w:val="21"/>
                      <w:highlight w:val="none"/>
                    </w:rPr>
                    <w:t>m</w:t>
                  </w:r>
                  <w:r>
                    <w:rPr>
                      <w:rFonts w:hint="eastAsia"/>
                      <w:color w:val="auto"/>
                      <w:sz w:val="21"/>
                      <w:szCs w:val="21"/>
                      <w:highlight w:val="none"/>
                      <w:lang w:val="en-US" w:eastAsia="zh-CN"/>
                    </w:rPr>
                    <w:t>的敏感点为黄码村四组</w:t>
                  </w:r>
                  <w:r>
                    <w:rPr>
                      <w:color w:val="auto"/>
                      <w:sz w:val="21"/>
                      <w:szCs w:val="21"/>
                      <w:highlight w:val="none"/>
                    </w:rPr>
                    <w:t>，</w:t>
                  </w:r>
                  <w:r>
                    <w:rPr>
                      <w:rFonts w:hint="eastAsia"/>
                      <w:color w:val="auto"/>
                      <w:sz w:val="21"/>
                      <w:szCs w:val="21"/>
                      <w:highlight w:val="none"/>
                      <w:lang w:val="en-US" w:eastAsia="zh-CN"/>
                    </w:rPr>
                    <w:t>根据第四章节分析结果，</w:t>
                  </w:r>
                  <w:r>
                    <w:rPr>
                      <w:color w:val="auto"/>
                      <w:sz w:val="21"/>
                      <w:szCs w:val="21"/>
                      <w:highlight w:val="none"/>
                    </w:rPr>
                    <w:t>淤泥干化作业对附近居民大气环境影响较小。</w:t>
                  </w:r>
                  <w:r>
                    <w:rPr>
                      <w:rFonts w:hint="eastAsia"/>
                      <w:color w:val="auto"/>
                      <w:sz w:val="21"/>
                      <w:szCs w:val="21"/>
                      <w:highlight w:val="none"/>
                    </w:rPr>
                    <w:t>围堰高度</w:t>
                  </w:r>
                  <w:r>
                    <w:rPr>
                      <w:color w:val="auto"/>
                      <w:sz w:val="21"/>
                      <w:szCs w:val="21"/>
                      <w:highlight w:val="none"/>
                    </w:rPr>
                    <w:t>为2.5m，施工期做好围挡和余水沉淀处置措施，尾水排入干化场</w:t>
                  </w:r>
                  <w:r>
                    <w:rPr>
                      <w:rFonts w:hint="eastAsia"/>
                      <w:color w:val="auto"/>
                      <w:sz w:val="21"/>
                      <w:szCs w:val="21"/>
                      <w:highlight w:val="none"/>
                      <w:lang w:val="en-US" w:eastAsia="zh-CN"/>
                    </w:rPr>
                    <w:t>南</w:t>
                  </w:r>
                  <w:r>
                    <w:rPr>
                      <w:color w:val="auto"/>
                      <w:sz w:val="21"/>
                      <w:szCs w:val="21"/>
                      <w:highlight w:val="none"/>
                    </w:rPr>
                    <w:t>侧</w:t>
                  </w:r>
                  <w:r>
                    <w:rPr>
                      <w:rFonts w:hint="eastAsia"/>
                      <w:color w:val="auto"/>
                      <w:sz w:val="21"/>
                      <w:szCs w:val="21"/>
                      <w:highlight w:val="none"/>
                      <w:lang w:val="en-US" w:eastAsia="zh-CN"/>
                    </w:rPr>
                    <w:t>沟渠</w:t>
                  </w:r>
                  <w:r>
                    <w:rPr>
                      <w:color w:val="auto"/>
                      <w:sz w:val="21"/>
                      <w:szCs w:val="21"/>
                      <w:highlight w:val="none"/>
                    </w:rPr>
                    <w:t>。</w:t>
                  </w:r>
                </w:p>
              </w:tc>
              <w:tc>
                <w:tcPr>
                  <w:tcW w:w="2352" w:type="pct"/>
                  <w:tcBorders>
                    <w:tl2br w:val="nil"/>
                    <w:tr2bl w:val="nil"/>
                  </w:tcBorders>
                  <w:noWrap w:val="0"/>
                  <w:vAlign w:val="center"/>
                </w:tcPr>
                <w:p w14:paraId="51FA3F1D">
                  <w:pPr>
                    <w:adjustRightInd w:val="0"/>
                    <w:snapToGrid w:val="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74290" cy="2915920"/>
                        <wp:effectExtent l="0" t="0" r="16510" b="17780"/>
                        <wp:docPr id="17" name="图片 17" descr="171871422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8714225797"/>
                                <pic:cNvPicPr>
                                  <a:picLocks noChangeAspect="1"/>
                                </pic:cNvPicPr>
                              </pic:nvPicPr>
                              <pic:blipFill>
                                <a:blip r:embed="rId13"/>
                                <a:stretch>
                                  <a:fillRect/>
                                </a:stretch>
                              </pic:blipFill>
                              <pic:spPr>
                                <a:xfrm>
                                  <a:off x="0" y="0"/>
                                  <a:ext cx="2574290" cy="2915920"/>
                                </a:xfrm>
                                <a:prstGeom prst="rect">
                                  <a:avLst/>
                                </a:prstGeom>
                              </pic:spPr>
                            </pic:pic>
                          </a:graphicData>
                        </a:graphic>
                      </wp:inline>
                    </w:drawing>
                  </w:r>
                </w:p>
              </w:tc>
              <w:tc>
                <w:tcPr>
                  <w:tcW w:w="421" w:type="pct"/>
                  <w:tcBorders>
                    <w:tl2br w:val="nil"/>
                    <w:tr2bl w:val="nil"/>
                  </w:tcBorders>
                  <w:noWrap w:val="0"/>
                  <w:vAlign w:val="center"/>
                </w:tcPr>
                <w:p w14:paraId="175C38E9">
                  <w:pPr>
                    <w:jc w:val="center"/>
                    <w:rPr>
                      <w:rFonts w:hint="default" w:eastAsia="宋体"/>
                      <w:color w:val="auto"/>
                      <w:highlight w:val="none"/>
                      <w:lang w:val="en-US" w:eastAsia="zh-CN"/>
                    </w:rPr>
                  </w:pPr>
                  <w:r>
                    <w:rPr>
                      <w:rFonts w:hint="eastAsia"/>
                      <w:color w:val="auto"/>
                      <w:szCs w:val="21"/>
                      <w:highlight w:val="none"/>
                      <w:lang w:val="en-US" w:eastAsia="zh-CN"/>
                    </w:rPr>
                    <w:t>干化后回填</w:t>
                  </w:r>
                </w:p>
              </w:tc>
            </w:tr>
          </w:tbl>
          <w:p w14:paraId="1CBA88FF">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4.4淤泥干化场</w:t>
            </w:r>
            <w:r>
              <w:rPr>
                <w:rFonts w:hint="eastAsia" w:ascii="Times New Roman" w:hAnsi="Times New Roman" w:eastAsia="宋体" w:cs="Times New Roman"/>
                <w:b/>
                <w:bCs/>
                <w:sz w:val="24"/>
                <w:szCs w:val="24"/>
                <w:lang w:val="en-US" w:eastAsia="zh-CN"/>
              </w:rPr>
              <w:t>围堰施工方法</w:t>
            </w:r>
          </w:p>
          <w:p w14:paraId="487E16F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4.4.1</w:t>
            </w:r>
            <w:r>
              <w:rPr>
                <w:rFonts w:hint="default" w:ascii="Times New Roman" w:hAnsi="Times New Roman" w:eastAsia="宋体" w:cs="Times New Roman"/>
                <w:sz w:val="24"/>
                <w:szCs w:val="24"/>
                <w:lang w:val="en-US" w:eastAsia="zh-CN"/>
              </w:rPr>
              <w:t>围堰概况</w:t>
            </w:r>
          </w:p>
          <w:p w14:paraId="3D7E18C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color w:val="auto"/>
                <w:kern w:val="24"/>
                <w:sz w:val="24"/>
                <w:highlight w:val="none"/>
              </w:rPr>
              <w:t>淤泥干化场</w:t>
            </w:r>
            <w:r>
              <w:rPr>
                <w:rFonts w:hint="default" w:ascii="Times New Roman" w:hAnsi="Times New Roman" w:eastAsia="宋体" w:cs="Times New Roman"/>
                <w:sz w:val="24"/>
                <w:szCs w:val="24"/>
                <w:lang w:val="en-US" w:eastAsia="zh-CN"/>
              </w:rPr>
              <w:t>围堰典型断面如图</w:t>
            </w:r>
            <w:r>
              <w:rPr>
                <w:rFonts w:hint="eastAsia" w:ascii="Times New Roman" w:hAnsi="Times New Roman" w:cs="Times New Roman"/>
                <w:sz w:val="24"/>
                <w:szCs w:val="24"/>
                <w:lang w:val="en-US" w:eastAsia="zh-CN"/>
              </w:rPr>
              <w:t>2-3</w:t>
            </w:r>
            <w:r>
              <w:rPr>
                <w:rFonts w:hint="default" w:ascii="Times New Roman" w:hAnsi="Times New Roman" w:eastAsia="宋体" w:cs="Times New Roman"/>
                <w:sz w:val="24"/>
                <w:szCs w:val="24"/>
                <w:lang w:val="en-US" w:eastAsia="zh-CN"/>
              </w:rPr>
              <w:t>。</w:t>
            </w:r>
          </w:p>
          <w:p w14:paraId="41C61E31">
            <w:pPr>
              <w:widowControl w:val="0"/>
              <w:adjustRightInd w:val="0"/>
              <w:snapToGrid w:val="0"/>
              <w:spacing w:line="360" w:lineRule="auto"/>
              <w:jc w:val="center"/>
              <w:rPr>
                <w:rFonts w:ascii="Times New Roman" w:hAnsi="Times New Roman"/>
                <w:b/>
                <w:bCs/>
                <w:sz w:val="21"/>
                <w:szCs w:val="21"/>
              </w:rPr>
            </w:pPr>
            <w:r>
              <w:rPr>
                <w:rFonts w:ascii="Times New Roman" w:hAnsi="Times New Roman"/>
              </w:rPr>
              <w:drawing>
                <wp:inline distT="0" distB="0" distL="0" distR="0">
                  <wp:extent cx="3950335" cy="1402080"/>
                  <wp:effectExtent l="0" t="0" r="12065" b="7620"/>
                  <wp:docPr id="1047" name="图片 5"/>
                  <wp:cNvGraphicFramePr/>
                  <a:graphic xmlns:a="http://schemas.openxmlformats.org/drawingml/2006/main">
                    <a:graphicData uri="http://schemas.openxmlformats.org/drawingml/2006/picture">
                      <pic:pic xmlns:pic="http://schemas.openxmlformats.org/drawingml/2006/picture">
                        <pic:nvPicPr>
                          <pic:cNvPr id="1047" name="图片 5"/>
                          <pic:cNvPicPr/>
                        </pic:nvPicPr>
                        <pic:blipFill>
                          <a:blip r:embed="rId14" cstate="print"/>
                          <a:srcRect/>
                          <a:stretch>
                            <a:fillRect/>
                          </a:stretch>
                        </pic:blipFill>
                        <pic:spPr>
                          <a:xfrm>
                            <a:off x="0" y="0"/>
                            <a:ext cx="3950335" cy="1402080"/>
                          </a:xfrm>
                          <a:prstGeom prst="rect">
                            <a:avLst/>
                          </a:prstGeom>
                        </pic:spPr>
                      </pic:pic>
                    </a:graphicData>
                  </a:graphic>
                </wp:inline>
              </w:drawing>
            </w:r>
          </w:p>
          <w:p w14:paraId="26123CD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cs="Times New Roman"/>
                <w:b/>
                <w:bCs/>
                <w:sz w:val="24"/>
                <w:szCs w:val="24"/>
                <w:lang w:val="en-US" w:eastAsia="zh-CN"/>
              </w:rPr>
              <w:t>2-3 淤泥干化场</w:t>
            </w:r>
            <w:r>
              <w:rPr>
                <w:rFonts w:hint="default" w:ascii="Times New Roman" w:hAnsi="Times New Roman" w:eastAsia="宋体" w:cs="Times New Roman"/>
                <w:b/>
                <w:bCs/>
                <w:sz w:val="24"/>
                <w:szCs w:val="24"/>
                <w:lang w:val="en-US" w:eastAsia="zh-CN"/>
              </w:rPr>
              <w:t>围堰典型断面图</w:t>
            </w:r>
          </w:p>
          <w:p w14:paraId="1018FB4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4.4.2</w:t>
            </w:r>
            <w:r>
              <w:rPr>
                <w:rFonts w:hint="default" w:ascii="Times New Roman" w:hAnsi="Times New Roman" w:eastAsia="宋体" w:cs="Times New Roman"/>
                <w:sz w:val="24"/>
                <w:szCs w:val="24"/>
                <w:lang w:val="en-US" w:eastAsia="zh-CN"/>
              </w:rPr>
              <w:t>围堰施工工艺</w:t>
            </w:r>
          </w:p>
          <w:p w14:paraId="4BD74E0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围堰施工工艺见图</w:t>
            </w:r>
            <w:r>
              <w:rPr>
                <w:rFonts w:hint="eastAsia" w:ascii="Times New Roman" w:hAnsi="Times New Roman" w:cs="Times New Roman"/>
                <w:sz w:val="24"/>
                <w:szCs w:val="24"/>
                <w:lang w:val="en-US" w:eastAsia="zh-CN"/>
              </w:rPr>
              <w:t>2-4</w:t>
            </w:r>
            <w:r>
              <w:rPr>
                <w:rFonts w:hint="default" w:ascii="Times New Roman" w:hAnsi="Times New Roman" w:eastAsia="宋体" w:cs="Times New Roman"/>
                <w:sz w:val="24"/>
                <w:szCs w:val="24"/>
                <w:lang w:val="en-US" w:eastAsia="zh-CN"/>
              </w:rPr>
              <w:t>。</w:t>
            </w:r>
          </w:p>
          <w:p w14:paraId="0AB6992D">
            <w:pPr>
              <w:widowControl w:val="0"/>
              <w:adjustRightInd w:val="0"/>
              <w:snapToGrid w:val="0"/>
              <w:spacing w:line="360" w:lineRule="auto"/>
              <w:jc w:val="center"/>
              <w:rPr>
                <w:rFonts w:ascii="Times New Roman" w:hAnsi="Times New Roman"/>
                <w:b/>
                <w:bCs/>
                <w:sz w:val="21"/>
                <w:szCs w:val="21"/>
              </w:rPr>
            </w:pPr>
            <w:r>
              <w:drawing>
                <wp:inline distT="0" distB="0" distL="114300" distR="114300">
                  <wp:extent cx="1158240" cy="392112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5"/>
                          <a:srcRect l="55195"/>
                          <a:stretch>
                            <a:fillRect/>
                          </a:stretch>
                        </pic:blipFill>
                        <pic:spPr>
                          <a:xfrm>
                            <a:off x="0" y="0"/>
                            <a:ext cx="1158240" cy="3921125"/>
                          </a:xfrm>
                          <a:prstGeom prst="rect">
                            <a:avLst/>
                          </a:prstGeom>
                          <a:noFill/>
                          <a:ln>
                            <a:noFill/>
                          </a:ln>
                        </pic:spPr>
                      </pic:pic>
                    </a:graphicData>
                  </a:graphic>
                </wp:inline>
              </w:drawing>
            </w:r>
          </w:p>
          <w:p w14:paraId="44B7886E">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cs="Times New Roman"/>
                <w:b/>
                <w:bCs/>
                <w:sz w:val="24"/>
                <w:szCs w:val="24"/>
                <w:lang w:val="en-US" w:eastAsia="zh-CN"/>
              </w:rPr>
              <w:t xml:space="preserve">2-4  </w:t>
            </w:r>
            <w:r>
              <w:rPr>
                <w:rFonts w:hint="default" w:ascii="Times New Roman" w:hAnsi="Times New Roman" w:eastAsia="宋体" w:cs="Times New Roman"/>
                <w:b/>
                <w:bCs/>
                <w:sz w:val="24"/>
                <w:szCs w:val="24"/>
                <w:lang w:val="en-US" w:eastAsia="zh-CN"/>
              </w:rPr>
              <w:t>围堰施工工艺</w:t>
            </w:r>
          </w:p>
          <w:p w14:paraId="1202139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4.4.3</w:t>
            </w:r>
            <w:r>
              <w:rPr>
                <w:rFonts w:hint="default" w:ascii="Times New Roman" w:hAnsi="Times New Roman" w:eastAsia="宋体" w:cs="Times New Roman"/>
                <w:sz w:val="24"/>
                <w:szCs w:val="24"/>
                <w:lang w:val="en-US" w:eastAsia="zh-CN"/>
              </w:rPr>
              <w:t>围堰施工</w:t>
            </w:r>
          </w:p>
          <w:p w14:paraId="7C404B2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（1）测量放样</w:t>
            </w:r>
          </w:p>
          <w:p w14:paraId="2E80B01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按照沟通协调确定的</w:t>
            </w:r>
            <w:r>
              <w:rPr>
                <w:color w:val="auto"/>
                <w:kern w:val="24"/>
                <w:sz w:val="24"/>
                <w:highlight w:val="none"/>
              </w:rPr>
              <w:t>淤泥干化场</w:t>
            </w:r>
            <w:r>
              <w:rPr>
                <w:rFonts w:hint="default" w:ascii="Times New Roman" w:hAnsi="Times New Roman" w:eastAsia="宋体" w:cs="Times New Roman"/>
                <w:sz w:val="24"/>
                <w:szCs w:val="24"/>
                <w:lang w:val="en-US" w:eastAsia="zh-CN"/>
              </w:rPr>
              <w:t>范围控制坐标，圈定边线，根据土方调配方案确定的容量、</w:t>
            </w:r>
            <w:r>
              <w:rPr>
                <w:color w:val="auto"/>
                <w:kern w:val="24"/>
                <w:sz w:val="24"/>
                <w:highlight w:val="none"/>
              </w:rPr>
              <w:t>淤泥干化场</w:t>
            </w:r>
            <w:r>
              <w:rPr>
                <w:rFonts w:hint="default" w:ascii="Times New Roman" w:hAnsi="Times New Roman" w:eastAsia="宋体" w:cs="Times New Roman"/>
                <w:sz w:val="24"/>
                <w:szCs w:val="24"/>
                <w:lang w:val="en-US" w:eastAsia="zh-CN"/>
              </w:rPr>
              <w:t>地形测量成果及围堰施工标准核算出围堰填高程和断面尺寸。填筑时，以</w:t>
            </w:r>
            <w:r>
              <w:rPr>
                <w:color w:val="auto"/>
                <w:kern w:val="24"/>
                <w:sz w:val="24"/>
                <w:highlight w:val="none"/>
              </w:rPr>
              <w:t>淤泥干化场</w:t>
            </w:r>
            <w:r>
              <w:rPr>
                <w:rFonts w:hint="default" w:ascii="Times New Roman" w:hAnsi="Times New Roman" w:eastAsia="宋体" w:cs="Times New Roman"/>
                <w:sz w:val="24"/>
                <w:szCs w:val="24"/>
                <w:lang w:val="en-US" w:eastAsia="zh-CN"/>
              </w:rPr>
              <w:t>范围设计控制边线作为围堰外侧坡脚线控制的基准线（坡脚线不允许超出基准线范围），按照确定的填筑断面尺寸和原地面高程，计算确定围堰实际填筑轴线，并按此进行现场放样。</w:t>
            </w:r>
          </w:p>
          <w:p w14:paraId="3ED1C37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（2）清基</w:t>
            </w:r>
          </w:p>
          <w:p w14:paraId="34B1E4A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w:t>
            </w:r>
            <w:r>
              <w:rPr>
                <w:rFonts w:hint="default" w:ascii="Times New Roman" w:hAnsi="Times New Roman" w:eastAsia="宋体" w:cs="Times New Roman"/>
                <w:sz w:val="24"/>
                <w:szCs w:val="24"/>
                <w:lang w:val="en-US" w:eastAsia="zh-CN"/>
              </w:rPr>
              <w:t>清基范围包括堰体、沟渠及其岸台的基面，其边界应超出设计基面边线30～50cm，基面表层的淤泥、腐殖土、泥炭土等不合格土和草皮、杂填土等</w:t>
            </w:r>
            <w:r>
              <w:rPr>
                <w:rFonts w:hint="eastAsia" w:cs="Times New Roman"/>
                <w:sz w:val="24"/>
                <w:szCs w:val="24"/>
                <w:lang w:val="en-US" w:eastAsia="zh-CN"/>
              </w:rPr>
              <w:t>杂物</w:t>
            </w:r>
            <w:r>
              <w:rPr>
                <w:rFonts w:hint="default" w:ascii="Times New Roman" w:hAnsi="Times New Roman" w:eastAsia="宋体" w:cs="Times New Roman"/>
                <w:sz w:val="24"/>
                <w:szCs w:val="24"/>
                <w:lang w:val="en-US" w:eastAsia="zh-CN"/>
              </w:rPr>
              <w:t>必须清除。清基深度一般为20cm，芦苇或柳条地清基深度为50～80cm。清基采用反铲配合推土机作业。</w:t>
            </w:r>
          </w:p>
          <w:p w14:paraId="652CCB7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w:t>
            </w:r>
            <w:r>
              <w:rPr>
                <w:rFonts w:hint="default" w:ascii="Times New Roman" w:hAnsi="Times New Roman" w:eastAsia="宋体" w:cs="Times New Roman"/>
                <w:sz w:val="24"/>
                <w:szCs w:val="24"/>
                <w:lang w:val="en-US" w:eastAsia="zh-CN"/>
              </w:rPr>
              <w:t>基础清基达到规范要求，所有树根、杂物等全部清除，少量埋藏较深的树根通过人工捡除并夯实，清除土堆放到指定区域，严禁弃土与回填土料混在一起。</w:t>
            </w:r>
          </w:p>
          <w:p w14:paraId="5E67941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w:t>
            </w:r>
            <w:r>
              <w:rPr>
                <w:rFonts w:hint="default" w:ascii="Times New Roman" w:hAnsi="Times New Roman" w:eastAsia="宋体" w:cs="Times New Roman"/>
                <w:sz w:val="24"/>
                <w:szCs w:val="24"/>
                <w:lang w:val="en-US" w:eastAsia="zh-CN"/>
              </w:rPr>
              <w:t>按设计要求将清基后建基面平整压实，将堰基开挖线以下的树根、垃圾、坑塘、洞穴，以及地勘遗留的坑、槽、孔、穴等部位，按照施工图纸和监理机构指示回填密实，回填过程中</w:t>
            </w:r>
            <w:r>
              <w:rPr>
                <w:rFonts w:hint="eastAsia" w:cs="Times New Roman"/>
                <w:sz w:val="24"/>
                <w:szCs w:val="24"/>
                <w:lang w:val="en-US" w:eastAsia="zh-CN"/>
              </w:rPr>
              <w:t>做好</w:t>
            </w:r>
            <w:r>
              <w:rPr>
                <w:rFonts w:hint="default" w:ascii="Times New Roman" w:hAnsi="Times New Roman" w:eastAsia="宋体" w:cs="Times New Roman"/>
                <w:sz w:val="24"/>
                <w:szCs w:val="24"/>
                <w:lang w:val="en-US" w:eastAsia="zh-CN"/>
              </w:rPr>
              <w:t>排水工作，保持干场作业。</w:t>
            </w:r>
          </w:p>
          <w:p w14:paraId="5629E0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w:t>
            </w:r>
            <w:r>
              <w:rPr>
                <w:rFonts w:hint="default" w:ascii="Times New Roman" w:hAnsi="Times New Roman" w:eastAsia="宋体" w:cs="Times New Roman"/>
                <w:sz w:val="24"/>
                <w:szCs w:val="24"/>
                <w:lang w:val="en-US" w:eastAsia="zh-CN"/>
              </w:rPr>
              <w:t>围堰清基弃土单独堆放在指定区域，以便围堰冲填后运回复耕。堰基开挖后清除的废物、废渣等按监理机构的指示运到指定地点堆放。清基中发现文物和化石应按国家文物管理的有关规定采取合理的保护措施。并及时通知业主和监理机构。</w:t>
            </w:r>
          </w:p>
          <w:p w14:paraId="39D5586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⑤</w:t>
            </w:r>
            <w:r>
              <w:rPr>
                <w:rFonts w:hint="default" w:ascii="Times New Roman" w:hAnsi="Times New Roman" w:eastAsia="宋体" w:cs="Times New Roman"/>
                <w:sz w:val="24"/>
                <w:szCs w:val="24"/>
                <w:lang w:val="en-US" w:eastAsia="zh-CN"/>
              </w:rPr>
              <w:t>堤基处理按《堤防工程施工规范》等有关规范进行施工。</w:t>
            </w:r>
          </w:p>
          <w:p w14:paraId="64DDC3A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⑥</w:t>
            </w:r>
            <w:r>
              <w:rPr>
                <w:rFonts w:hint="default" w:ascii="Times New Roman" w:hAnsi="Times New Roman" w:eastAsia="宋体" w:cs="Times New Roman"/>
                <w:sz w:val="24"/>
                <w:szCs w:val="24"/>
                <w:lang w:val="en-US" w:eastAsia="zh-CN"/>
              </w:rPr>
              <w:t>堤基处理属隐蔽工程，堤基清理平整后，及时报请监理验收，合格后进行堤身填筑施工。基面验收后及时堤身填筑施工，若不能立即施工时，必须</w:t>
            </w:r>
            <w:r>
              <w:rPr>
                <w:rFonts w:hint="eastAsia" w:cs="Times New Roman"/>
                <w:sz w:val="24"/>
                <w:szCs w:val="24"/>
                <w:lang w:val="en-US" w:eastAsia="zh-CN"/>
              </w:rPr>
              <w:t>做好</w:t>
            </w:r>
            <w:r>
              <w:rPr>
                <w:rFonts w:hint="default" w:ascii="Times New Roman" w:hAnsi="Times New Roman" w:eastAsia="宋体" w:cs="Times New Roman"/>
                <w:sz w:val="24"/>
                <w:szCs w:val="24"/>
                <w:lang w:val="en-US" w:eastAsia="zh-CN"/>
              </w:rPr>
              <w:t>基面保护，复工再进行检验，必要时再进行重新清理。</w:t>
            </w:r>
          </w:p>
          <w:p w14:paraId="662CCF9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（3）围堰填料选择</w:t>
            </w:r>
          </w:p>
          <w:p w14:paraId="034CD88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选用壤土、粉质壤土、砂质和粉质粘土、粘粒含量宜为15%～30%，也可用粘粒含量为3%～50%的砂壤土、粉质砂壤土和粘土。淤泥或天然含水率高且粘性含量过高粘土、粉细砂、冻土块及水稳定性差的膨胀土、分散性土等，不适合做筑填土料。土料可由陆上开挖的土料进行选用，以减少弃方量。</w:t>
            </w:r>
          </w:p>
          <w:p w14:paraId="0565D96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（4）土料铺筑与碾压</w:t>
            </w:r>
          </w:p>
          <w:p w14:paraId="0C3A025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填料铺筑工程开工前，应按照《堤防工程施工规范》的方法进行碾压试验。根据试验结果与监理机构共同研究确定施工压实参数，包括铺土厚度、含水量的适宜范围、碾压机械类型及重量、压实遍数、压实方法等。如实验时质量达不到设计要求，应同监理机构和设计单位共同协商解决办法。</w:t>
            </w:r>
          </w:p>
          <w:p w14:paraId="7BFACC0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铺填作业应从最低处开始，按水平层次进行，不得顺坡铺填。分段作业面</w:t>
            </w:r>
            <w:r>
              <w:rPr>
                <w:rFonts w:hint="eastAsia" w:cs="Times New Roman"/>
                <w:sz w:val="24"/>
                <w:szCs w:val="24"/>
                <w:lang w:val="en-US" w:eastAsia="zh-CN"/>
              </w:rPr>
              <w:t>最小</w:t>
            </w:r>
            <w:r>
              <w:rPr>
                <w:rFonts w:hint="default" w:ascii="Times New Roman" w:hAnsi="Times New Roman" w:eastAsia="宋体" w:cs="Times New Roman"/>
                <w:sz w:val="24"/>
                <w:szCs w:val="24"/>
                <w:lang w:val="en-US" w:eastAsia="zh-CN"/>
              </w:rPr>
              <w:t>长度：人工作业不应小于50m，机械作业不应小于100m。铺土宽度应超过设计边线两侧一定余量：人工铺土宜为10cm，机械铺土宜为30cm。铺土厚度和土块直径限制尺寸应符合相关规定。</w:t>
            </w:r>
          </w:p>
          <w:p w14:paraId="40A786B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压实土体不应出现干松土、弹簧土、剪切破坏、光面等不良现象。监理机构检查认为不合格时，有权要求返工处理，经检验合格后方可铺新土。</w:t>
            </w:r>
          </w:p>
          <w:p w14:paraId="43A966E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相邻作业面宜均衡上升，以减少施工接缝。分段间有高差的连接或与行洪堤相接时，垂直堤轴线方向的接缝应以斜面相接。斜坡结合面上，应随填筑面上升进行削坡直至合格层。坡面需经刨毛处理，并使含水量控制在规定范围内，然后再铺填新土进行压实。土方填筑施工缝搭接部位挖台阶，台阶宽度不小于1米。</w:t>
            </w:r>
          </w:p>
          <w:p w14:paraId="2211494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边坡坡度内坡1:2，铺土工膜防渗，外坡1:2.5，植草防冲刷，顶宽3m，围堰高度（加0.5m超高）为3.5m。围堰四周设置2m高安全防护网，防止人畜误入。</w:t>
            </w:r>
          </w:p>
          <w:p w14:paraId="3875C6D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（5）对围堰的质量检查和验收</w:t>
            </w:r>
          </w:p>
          <w:p w14:paraId="35FC394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土方开挖前我方同监理工程师进行用于开挖工程量计量的原地形测量的复核检查、施工图纸所示的围堰开挖尺寸进行开挖测量成果的检查、按图纸所示进行开挖区周围排水和防洪保护设施的质量检查和验收。</w:t>
            </w:r>
          </w:p>
          <w:p w14:paraId="274EAAD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土方开挖过程中，定期测量校正开挖平面的尺寸和标高，以及按施工图纸的要求，检查开挖边坡的坡度和平整度，并将测量资料提交监理。</w:t>
            </w:r>
          </w:p>
          <w:p w14:paraId="4F13B91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然后清理基础面，以及围堰的顶宽、边坡的坡度、平整度的质量检查和验收。</w:t>
            </w:r>
          </w:p>
          <w:p w14:paraId="5EF164C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详细记录检验表，由监理单位签认后，作为技术档案资料保存。</w:t>
            </w:r>
          </w:p>
          <w:p w14:paraId="351E251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（6）围堰安全保障措施</w:t>
            </w:r>
          </w:p>
          <w:p w14:paraId="576AD26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w:t>
            </w:r>
            <w:r>
              <w:rPr>
                <w:rFonts w:hint="default" w:ascii="Times New Roman" w:hAnsi="Times New Roman" w:eastAsia="宋体" w:cs="Times New Roman"/>
                <w:sz w:val="24"/>
                <w:szCs w:val="24"/>
                <w:lang w:val="en-US" w:eastAsia="zh-CN"/>
              </w:rPr>
              <w:t>备足草袋、土料、树棍、土工布等抢险物资。</w:t>
            </w:r>
          </w:p>
          <w:p w14:paraId="6530357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w:t>
            </w:r>
            <w:r>
              <w:rPr>
                <w:rFonts w:hint="default" w:ascii="Times New Roman" w:hAnsi="Times New Roman" w:eastAsia="宋体" w:cs="Times New Roman"/>
                <w:sz w:val="24"/>
                <w:szCs w:val="24"/>
                <w:lang w:val="en-US" w:eastAsia="zh-CN"/>
              </w:rPr>
              <w:t>安排专人不间断的对围堰的运行状况进行巡查，以便发现险情，及时处理。</w:t>
            </w:r>
          </w:p>
          <w:p w14:paraId="0D7E074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w:t>
            </w:r>
            <w:r>
              <w:rPr>
                <w:rFonts w:hint="default" w:ascii="Times New Roman" w:hAnsi="Times New Roman" w:eastAsia="宋体" w:cs="Times New Roman"/>
                <w:sz w:val="24"/>
                <w:szCs w:val="24"/>
                <w:lang w:val="en-US" w:eastAsia="zh-CN"/>
              </w:rPr>
              <w:t>以确保堰堤运行安全为前提，限制冲填区内泥浆流失为基础，围堰内水位尽量降低，做到随吹填随退水，避免因出现高水位而危及堰堤安全。</w:t>
            </w:r>
          </w:p>
          <w:p w14:paraId="02BF7C6E">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5、</w:t>
            </w:r>
            <w:r>
              <w:rPr>
                <w:rFonts w:hint="default" w:ascii="Times New Roman" w:hAnsi="Times New Roman" w:eastAsia="宋体" w:cs="Times New Roman"/>
                <w:b/>
                <w:bCs/>
                <w:sz w:val="24"/>
                <w:szCs w:val="24"/>
                <w:lang w:val="en-US" w:eastAsia="zh-CN"/>
              </w:rPr>
              <w:t>施工进度安排</w:t>
            </w:r>
            <w:r>
              <w:rPr>
                <w:rFonts w:hint="default" w:ascii="Times New Roman" w:hAnsi="Times New Roman" w:eastAsia="宋体" w:cs="Times New Roman"/>
                <w:sz w:val="24"/>
                <w:szCs w:val="24"/>
                <w:lang w:val="en-US" w:eastAsia="zh-CN"/>
              </w:rPr>
              <w:t xml:space="preserve"> </w:t>
            </w:r>
          </w:p>
          <w:p w14:paraId="01DDE90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拟定工程建设总工期为8个月</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施工进度见表</w:t>
            </w:r>
            <w:r>
              <w:rPr>
                <w:rFonts w:hint="eastAsia" w:cs="Times New Roman"/>
                <w:sz w:val="24"/>
                <w:szCs w:val="24"/>
                <w:lang w:val="en-US" w:eastAsia="zh-CN"/>
              </w:rPr>
              <w:t>2-6</w:t>
            </w:r>
            <w:r>
              <w:rPr>
                <w:rFonts w:hint="default" w:ascii="Times New Roman" w:hAnsi="Times New Roman" w:eastAsia="宋体" w:cs="Times New Roman"/>
                <w:sz w:val="24"/>
                <w:szCs w:val="24"/>
                <w:lang w:val="en-US" w:eastAsia="zh-CN"/>
              </w:rPr>
              <w:t xml:space="preserve">。 </w:t>
            </w:r>
          </w:p>
          <w:p w14:paraId="0584B20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cs="Times New Roman"/>
                <w:b/>
                <w:bCs/>
                <w:sz w:val="24"/>
                <w:szCs w:val="24"/>
                <w:lang w:val="en-US" w:eastAsia="zh-CN"/>
              </w:rPr>
              <w:t xml:space="preserve">2-6  </w:t>
            </w:r>
            <w:r>
              <w:rPr>
                <w:rFonts w:hint="default" w:ascii="Times New Roman" w:hAnsi="Times New Roman" w:eastAsia="宋体" w:cs="Times New Roman"/>
                <w:b/>
                <w:bCs/>
                <w:sz w:val="24"/>
                <w:szCs w:val="24"/>
                <w:lang w:val="en-US" w:eastAsia="zh-CN"/>
              </w:rPr>
              <w:t>施工进度安排表</w:t>
            </w:r>
          </w:p>
          <w:tbl>
            <w:tblPr>
              <w:tblStyle w:val="89"/>
              <w:tblW w:w="8832" w:type="dxa"/>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1"/>
              <w:gridCol w:w="1936"/>
              <w:gridCol w:w="383"/>
              <w:gridCol w:w="381"/>
              <w:gridCol w:w="383"/>
              <w:gridCol w:w="381"/>
              <w:gridCol w:w="384"/>
              <w:gridCol w:w="394"/>
              <w:gridCol w:w="371"/>
              <w:gridCol w:w="389"/>
              <w:gridCol w:w="376"/>
              <w:gridCol w:w="427"/>
              <w:gridCol w:w="434"/>
              <w:gridCol w:w="432"/>
              <w:gridCol w:w="422"/>
              <w:gridCol w:w="432"/>
              <w:gridCol w:w="399"/>
              <w:gridCol w:w="5"/>
              <w:gridCol w:w="462"/>
            </w:tblGrid>
            <w:tr w14:paraId="09A9ED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441" w:type="dxa"/>
                  <w:vMerge w:val="restart"/>
                  <w:tcBorders>
                    <w:tl2br w:val="nil"/>
                    <w:tr2bl w:val="nil"/>
                  </w:tcBorders>
                  <w:noWrap w:val="0"/>
                  <w:textDirection w:val="tbRlV"/>
                  <w:vAlign w:val="center"/>
                </w:tcPr>
                <w:p w14:paraId="5CA92040">
                  <w:pPr>
                    <w:pStyle w:val="1473"/>
                    <w:jc w:val="center"/>
                    <w:rPr>
                      <w:rFonts w:hint="eastAsia" w:cs="Times New Roman"/>
                      <w:b/>
                      <w:color w:val="000000"/>
                      <w:sz w:val="24"/>
                      <w:szCs w:val="24"/>
                      <w:lang w:val="en-US" w:eastAsia="zh-CN"/>
                    </w:rPr>
                  </w:pPr>
                  <w:r>
                    <w:rPr>
                      <w:rFonts w:hint="eastAsia" w:cs="Times New Roman"/>
                      <w:b/>
                      <w:color w:val="000000"/>
                      <w:sz w:val="24"/>
                      <w:szCs w:val="24"/>
                      <w:lang w:val="en-US" w:eastAsia="zh-CN"/>
                    </w:rPr>
                    <w:t>序 号</w:t>
                  </w:r>
                </w:p>
              </w:tc>
              <w:tc>
                <w:tcPr>
                  <w:tcW w:w="1936" w:type="dxa"/>
                  <w:vMerge w:val="restart"/>
                  <w:tcBorders>
                    <w:tl2br w:val="nil"/>
                    <w:tr2bl w:val="nil"/>
                  </w:tcBorders>
                  <w:noWrap w:val="0"/>
                  <w:vAlign w:val="center"/>
                </w:tcPr>
                <w:p w14:paraId="4B8D669D">
                  <w:pPr>
                    <w:pStyle w:val="1473"/>
                    <w:jc w:val="center"/>
                    <w:rPr>
                      <w:rFonts w:hint="eastAsia" w:cs="Times New Roman"/>
                      <w:b/>
                      <w:color w:val="000000"/>
                      <w:sz w:val="24"/>
                      <w:szCs w:val="24"/>
                      <w:lang w:val="en-US" w:eastAsia="zh-CN"/>
                    </w:rPr>
                  </w:pPr>
                  <w:r>
                    <w:rPr>
                      <w:rFonts w:hint="eastAsia" w:cs="Times New Roman"/>
                      <w:b/>
                      <w:color w:val="000000"/>
                      <w:sz w:val="24"/>
                      <w:szCs w:val="24"/>
                      <w:lang w:val="en-US" w:eastAsia="zh-CN"/>
                    </w:rPr>
                    <w:t>项      目</w:t>
                  </w:r>
                </w:p>
              </w:tc>
              <w:tc>
                <w:tcPr>
                  <w:tcW w:w="6455" w:type="dxa"/>
                  <w:gridSpan w:val="17"/>
                  <w:tcBorders>
                    <w:tl2br w:val="nil"/>
                    <w:tr2bl w:val="nil"/>
                  </w:tcBorders>
                  <w:noWrap w:val="0"/>
                  <w:vAlign w:val="top"/>
                </w:tcPr>
                <w:p w14:paraId="12C08719">
                  <w:pPr>
                    <w:spacing w:before="67" w:beforeLines="0" w:afterLines="0" w:line="180" w:lineRule="auto"/>
                    <w:ind w:left="2554"/>
                    <w:rPr>
                      <w:rFonts w:hint="eastAsia" w:ascii="微软雅黑" w:hAnsi="微软雅黑" w:eastAsia="微软雅黑" w:cs="微软雅黑"/>
                      <w:sz w:val="24"/>
                      <w:szCs w:val="24"/>
                    </w:rPr>
                  </w:pPr>
                  <w:r>
                    <w:rPr>
                      <w:rFonts w:hint="eastAsia" w:ascii="Times New Roman" w:hAnsi="Times New Roman" w:eastAsia="宋体" w:cs="Times New Roman"/>
                      <w:b/>
                      <w:color w:val="000000"/>
                      <w:kern w:val="2"/>
                      <w:sz w:val="24"/>
                      <w:szCs w:val="24"/>
                      <w:lang w:val="en-US" w:eastAsia="zh-CN" w:bidi="ar-SA"/>
                    </w:rPr>
                    <w:t>工期（8 个月）</w:t>
                  </w:r>
                </w:p>
              </w:tc>
            </w:tr>
            <w:tr w14:paraId="6E0FBE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441" w:type="dxa"/>
                  <w:vMerge w:val="continue"/>
                  <w:tcBorders>
                    <w:tl2br w:val="nil"/>
                    <w:tr2bl w:val="nil"/>
                  </w:tcBorders>
                  <w:noWrap w:val="0"/>
                  <w:textDirection w:val="tbRlV"/>
                  <w:vAlign w:val="center"/>
                </w:tcPr>
                <w:p w14:paraId="4B979FF4">
                  <w:pPr>
                    <w:spacing w:beforeLines="0" w:afterLines="0"/>
                    <w:jc w:val="center"/>
                    <w:rPr>
                      <w:rFonts w:hint="default"/>
                      <w:sz w:val="24"/>
                      <w:szCs w:val="24"/>
                    </w:rPr>
                  </w:pPr>
                </w:p>
              </w:tc>
              <w:tc>
                <w:tcPr>
                  <w:tcW w:w="1936" w:type="dxa"/>
                  <w:vMerge w:val="continue"/>
                  <w:tcBorders>
                    <w:tl2br w:val="nil"/>
                    <w:tr2bl w:val="nil"/>
                  </w:tcBorders>
                  <w:noWrap w:val="0"/>
                  <w:vAlign w:val="center"/>
                </w:tcPr>
                <w:p w14:paraId="1BE26ED8">
                  <w:pPr>
                    <w:spacing w:beforeLines="0" w:afterLines="0"/>
                    <w:jc w:val="center"/>
                    <w:rPr>
                      <w:rFonts w:hint="default"/>
                      <w:sz w:val="24"/>
                      <w:szCs w:val="24"/>
                    </w:rPr>
                  </w:pPr>
                </w:p>
              </w:tc>
              <w:tc>
                <w:tcPr>
                  <w:tcW w:w="764" w:type="dxa"/>
                  <w:gridSpan w:val="2"/>
                  <w:tcBorders>
                    <w:tl2br w:val="nil"/>
                    <w:tr2bl w:val="nil"/>
                  </w:tcBorders>
                  <w:noWrap w:val="0"/>
                  <w:vAlign w:val="top"/>
                </w:tcPr>
                <w:p w14:paraId="0EFA212B">
                  <w:pPr>
                    <w:pStyle w:val="1473"/>
                    <w:jc w:val="center"/>
                    <w:rPr>
                      <w:rFonts w:hint="eastAsia" w:cs="Times New Roman"/>
                      <w:b/>
                      <w:color w:val="000000"/>
                      <w:sz w:val="24"/>
                      <w:szCs w:val="24"/>
                      <w:lang w:val="en-US" w:eastAsia="zh-CN"/>
                    </w:rPr>
                  </w:pPr>
                  <w:r>
                    <w:rPr>
                      <w:rFonts w:hint="eastAsia" w:cs="Times New Roman"/>
                      <w:b/>
                      <w:color w:val="000000"/>
                      <w:sz w:val="24"/>
                      <w:szCs w:val="24"/>
                      <w:lang w:val="en-US" w:eastAsia="zh-CN"/>
                    </w:rPr>
                    <w:t>1</w:t>
                  </w:r>
                </w:p>
              </w:tc>
              <w:tc>
                <w:tcPr>
                  <w:tcW w:w="764" w:type="dxa"/>
                  <w:gridSpan w:val="2"/>
                  <w:tcBorders>
                    <w:tl2br w:val="nil"/>
                    <w:tr2bl w:val="nil"/>
                  </w:tcBorders>
                  <w:noWrap w:val="0"/>
                  <w:vAlign w:val="top"/>
                </w:tcPr>
                <w:p w14:paraId="67683FEE">
                  <w:pPr>
                    <w:pStyle w:val="1473"/>
                    <w:jc w:val="center"/>
                    <w:rPr>
                      <w:rFonts w:hint="eastAsia" w:cs="Times New Roman"/>
                      <w:b/>
                      <w:color w:val="000000"/>
                      <w:sz w:val="24"/>
                      <w:szCs w:val="24"/>
                      <w:lang w:val="en-US" w:eastAsia="zh-CN"/>
                    </w:rPr>
                  </w:pPr>
                  <w:r>
                    <w:rPr>
                      <w:rFonts w:hint="eastAsia" w:cs="Times New Roman"/>
                      <w:b/>
                      <w:color w:val="000000"/>
                      <w:sz w:val="24"/>
                      <w:szCs w:val="24"/>
                      <w:lang w:val="en-US" w:eastAsia="zh-CN"/>
                    </w:rPr>
                    <w:t>2</w:t>
                  </w:r>
                </w:p>
              </w:tc>
              <w:tc>
                <w:tcPr>
                  <w:tcW w:w="778" w:type="dxa"/>
                  <w:gridSpan w:val="2"/>
                  <w:tcBorders>
                    <w:tl2br w:val="nil"/>
                    <w:tr2bl w:val="nil"/>
                  </w:tcBorders>
                  <w:noWrap w:val="0"/>
                  <w:vAlign w:val="top"/>
                </w:tcPr>
                <w:p w14:paraId="444B95D4">
                  <w:pPr>
                    <w:pStyle w:val="1473"/>
                    <w:jc w:val="center"/>
                    <w:rPr>
                      <w:rFonts w:hint="eastAsia" w:cs="Times New Roman"/>
                      <w:b/>
                      <w:color w:val="000000"/>
                      <w:sz w:val="24"/>
                      <w:szCs w:val="24"/>
                      <w:lang w:val="en-US" w:eastAsia="zh-CN"/>
                    </w:rPr>
                  </w:pPr>
                  <w:r>
                    <w:rPr>
                      <w:rFonts w:hint="eastAsia" w:cs="Times New Roman"/>
                      <w:b/>
                      <w:color w:val="000000"/>
                      <w:sz w:val="24"/>
                      <w:szCs w:val="24"/>
                      <w:lang w:val="en-US" w:eastAsia="zh-CN"/>
                    </w:rPr>
                    <w:t>3</w:t>
                  </w:r>
                </w:p>
              </w:tc>
              <w:tc>
                <w:tcPr>
                  <w:tcW w:w="760" w:type="dxa"/>
                  <w:gridSpan w:val="2"/>
                  <w:tcBorders>
                    <w:tl2br w:val="nil"/>
                    <w:tr2bl w:val="nil"/>
                  </w:tcBorders>
                  <w:noWrap w:val="0"/>
                  <w:vAlign w:val="top"/>
                </w:tcPr>
                <w:p w14:paraId="6B19C622">
                  <w:pPr>
                    <w:pStyle w:val="1473"/>
                    <w:jc w:val="center"/>
                    <w:rPr>
                      <w:rFonts w:hint="eastAsia" w:cs="Times New Roman"/>
                      <w:b/>
                      <w:color w:val="000000"/>
                      <w:sz w:val="24"/>
                      <w:szCs w:val="24"/>
                      <w:lang w:val="en-US" w:eastAsia="zh-CN"/>
                    </w:rPr>
                  </w:pPr>
                  <w:r>
                    <w:rPr>
                      <w:rFonts w:hint="eastAsia" w:cs="Times New Roman"/>
                      <w:b/>
                      <w:color w:val="000000"/>
                      <w:sz w:val="24"/>
                      <w:szCs w:val="24"/>
                      <w:lang w:val="en-US" w:eastAsia="zh-CN"/>
                    </w:rPr>
                    <w:t>4</w:t>
                  </w:r>
                </w:p>
              </w:tc>
              <w:tc>
                <w:tcPr>
                  <w:tcW w:w="803" w:type="dxa"/>
                  <w:gridSpan w:val="2"/>
                  <w:tcBorders>
                    <w:tl2br w:val="nil"/>
                    <w:tr2bl w:val="nil"/>
                  </w:tcBorders>
                  <w:noWrap w:val="0"/>
                  <w:vAlign w:val="top"/>
                </w:tcPr>
                <w:p w14:paraId="579194C8">
                  <w:pPr>
                    <w:pStyle w:val="1473"/>
                    <w:jc w:val="center"/>
                    <w:rPr>
                      <w:rFonts w:hint="eastAsia" w:cs="Times New Roman"/>
                      <w:b/>
                      <w:color w:val="000000"/>
                      <w:sz w:val="24"/>
                      <w:szCs w:val="24"/>
                      <w:lang w:val="en-US" w:eastAsia="zh-CN"/>
                    </w:rPr>
                  </w:pPr>
                  <w:r>
                    <w:rPr>
                      <w:rFonts w:hint="eastAsia" w:cs="Times New Roman"/>
                      <w:b/>
                      <w:color w:val="000000"/>
                      <w:sz w:val="24"/>
                      <w:szCs w:val="24"/>
                      <w:lang w:val="en-US" w:eastAsia="zh-CN"/>
                    </w:rPr>
                    <w:t>5</w:t>
                  </w:r>
                </w:p>
              </w:tc>
              <w:tc>
                <w:tcPr>
                  <w:tcW w:w="866" w:type="dxa"/>
                  <w:gridSpan w:val="2"/>
                  <w:tcBorders>
                    <w:tl2br w:val="nil"/>
                    <w:tr2bl w:val="nil"/>
                  </w:tcBorders>
                  <w:noWrap w:val="0"/>
                  <w:vAlign w:val="top"/>
                </w:tcPr>
                <w:p w14:paraId="4E1C8948">
                  <w:pPr>
                    <w:pStyle w:val="1473"/>
                    <w:jc w:val="center"/>
                    <w:rPr>
                      <w:rFonts w:hint="eastAsia" w:cs="Times New Roman"/>
                      <w:b/>
                      <w:color w:val="000000"/>
                      <w:sz w:val="24"/>
                      <w:szCs w:val="24"/>
                      <w:lang w:val="en-US" w:eastAsia="zh-CN"/>
                    </w:rPr>
                  </w:pPr>
                  <w:r>
                    <w:rPr>
                      <w:rFonts w:hint="eastAsia" w:cs="Times New Roman"/>
                      <w:b/>
                      <w:color w:val="000000"/>
                      <w:sz w:val="24"/>
                      <w:szCs w:val="24"/>
                      <w:lang w:val="en-US" w:eastAsia="zh-CN"/>
                    </w:rPr>
                    <w:t>6</w:t>
                  </w:r>
                </w:p>
              </w:tc>
              <w:tc>
                <w:tcPr>
                  <w:tcW w:w="854" w:type="dxa"/>
                  <w:gridSpan w:val="2"/>
                  <w:tcBorders>
                    <w:tl2br w:val="nil"/>
                    <w:tr2bl w:val="nil"/>
                  </w:tcBorders>
                  <w:noWrap w:val="0"/>
                  <w:vAlign w:val="top"/>
                </w:tcPr>
                <w:p w14:paraId="6295E1EF">
                  <w:pPr>
                    <w:pStyle w:val="1473"/>
                    <w:jc w:val="center"/>
                    <w:rPr>
                      <w:rFonts w:hint="eastAsia" w:cs="Times New Roman"/>
                      <w:b/>
                      <w:color w:val="000000"/>
                      <w:sz w:val="24"/>
                      <w:szCs w:val="24"/>
                      <w:lang w:val="en-US" w:eastAsia="zh-CN"/>
                    </w:rPr>
                  </w:pPr>
                  <w:r>
                    <w:rPr>
                      <w:rFonts w:hint="eastAsia" w:cs="Times New Roman"/>
                      <w:b/>
                      <w:color w:val="000000"/>
                      <w:sz w:val="24"/>
                      <w:szCs w:val="24"/>
                      <w:lang w:val="en-US" w:eastAsia="zh-CN"/>
                    </w:rPr>
                    <w:t>7</w:t>
                  </w:r>
                </w:p>
              </w:tc>
              <w:tc>
                <w:tcPr>
                  <w:tcW w:w="866" w:type="dxa"/>
                  <w:gridSpan w:val="3"/>
                  <w:tcBorders>
                    <w:tl2br w:val="nil"/>
                    <w:tr2bl w:val="nil"/>
                  </w:tcBorders>
                  <w:noWrap w:val="0"/>
                  <w:vAlign w:val="top"/>
                </w:tcPr>
                <w:p w14:paraId="7BB59F1B">
                  <w:pPr>
                    <w:pStyle w:val="1473"/>
                    <w:jc w:val="center"/>
                    <w:rPr>
                      <w:rFonts w:hint="eastAsia" w:cs="Times New Roman"/>
                      <w:b/>
                      <w:color w:val="000000"/>
                      <w:sz w:val="24"/>
                      <w:szCs w:val="24"/>
                      <w:lang w:val="en-US" w:eastAsia="zh-CN"/>
                    </w:rPr>
                  </w:pPr>
                  <w:r>
                    <w:rPr>
                      <w:rFonts w:hint="eastAsia" w:cs="Times New Roman"/>
                      <w:b/>
                      <w:color w:val="000000"/>
                      <w:sz w:val="24"/>
                      <w:szCs w:val="24"/>
                      <w:lang w:val="en-US" w:eastAsia="zh-CN"/>
                    </w:rPr>
                    <w:t>8</w:t>
                  </w:r>
                </w:p>
              </w:tc>
            </w:tr>
            <w:tr w14:paraId="422361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441" w:type="dxa"/>
                  <w:tcBorders>
                    <w:tl2br w:val="nil"/>
                    <w:tr2bl w:val="nil"/>
                  </w:tcBorders>
                  <w:noWrap w:val="0"/>
                  <w:vAlign w:val="center"/>
                </w:tcPr>
                <w:p w14:paraId="2E23B139">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w:t>
                  </w:r>
                </w:p>
              </w:tc>
              <w:tc>
                <w:tcPr>
                  <w:tcW w:w="1936" w:type="dxa"/>
                  <w:tcBorders>
                    <w:tl2br w:val="nil"/>
                    <w:tr2bl w:val="nil"/>
                  </w:tcBorders>
                  <w:noWrap w:val="0"/>
                  <w:vAlign w:val="center"/>
                </w:tcPr>
                <w:p w14:paraId="3F0CC270">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施工准备</w:t>
                  </w:r>
                </w:p>
              </w:tc>
              <w:tc>
                <w:tcPr>
                  <w:tcW w:w="383" w:type="dxa"/>
                  <w:tcBorders>
                    <w:tl2br w:val="nil"/>
                    <w:tr2bl w:val="nil"/>
                  </w:tcBorders>
                  <w:noWrap w:val="0"/>
                  <w:vAlign w:val="top"/>
                </w:tcPr>
                <w:p w14:paraId="729715BC">
                  <w:pPr>
                    <w:spacing w:before="159" w:beforeLines="0" w:afterLines="0" w:line="75" w:lineRule="exact"/>
                    <w:rPr>
                      <w:rFonts w:hint="default"/>
                      <w:sz w:val="24"/>
                      <w:szCs w:val="24"/>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126365</wp:posOffset>
                            </wp:positionV>
                            <wp:extent cx="238125" cy="1905"/>
                            <wp:effectExtent l="0" t="15875" r="9525" b="20320"/>
                            <wp:wrapNone/>
                            <wp:docPr id="3" name="直接连接符 3"/>
                            <wp:cNvGraphicFramePr/>
                            <a:graphic xmlns:a="http://schemas.openxmlformats.org/drawingml/2006/main">
                              <a:graphicData uri="http://schemas.microsoft.com/office/word/2010/wordprocessingShape">
                                <wps:wsp>
                                  <wps:cNvCnPr/>
                                  <wps:spPr>
                                    <a:xfrm>
                                      <a:off x="4180840" y="6590030"/>
                                      <a:ext cx="238125" cy="1905"/>
                                    </a:xfrm>
                                    <a:prstGeom prst="line">
                                      <a:avLst/>
                                    </a:prstGeom>
                                    <a:ln w="317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35pt;margin-top:9.95pt;height:0.15pt;width:18.75pt;z-index:251660288;mso-width-relative:page;mso-height-relative:page;" filled="f" stroked="t" coordsize="21600,21600" o:gfxdata="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FzSBdMAAAAFAQAADwAAAAAAAAABACAAAAAiAAAAZHJzL2Rvd25yZXYueG1sUEsBAhQAFAAA&#10;AAgAh07iQH9Zcz70AQAAwAMAAA4AAAAAAAAAAQAgAAAAIgEAAGRycy9lMm9Eb2MueG1sUEsFBgAA&#10;AAAGAAYAWQEAAIgFAAAAAA==&#10;">
                            <v:fill on="f" focussize="0,0"/>
                            <v:stroke weight="2.5pt" color="#000000 [3213]" miterlimit="8" joinstyle="miter"/>
                            <v:imagedata o:title=""/>
                            <o:lock v:ext="edit" aspectratio="f"/>
                          </v:line>
                        </w:pict>
                      </mc:Fallback>
                    </mc:AlternateContent>
                  </w:r>
                </w:p>
              </w:tc>
              <w:tc>
                <w:tcPr>
                  <w:tcW w:w="381" w:type="dxa"/>
                  <w:tcBorders>
                    <w:tl2br w:val="nil"/>
                    <w:tr2bl w:val="nil"/>
                  </w:tcBorders>
                  <w:noWrap w:val="0"/>
                  <w:vAlign w:val="top"/>
                </w:tcPr>
                <w:p w14:paraId="79933D0C">
                  <w:pPr>
                    <w:spacing w:beforeLines="0" w:afterLines="0"/>
                    <w:rPr>
                      <w:rFonts w:hint="default"/>
                      <w:sz w:val="24"/>
                      <w:szCs w:val="24"/>
                    </w:rPr>
                  </w:pPr>
                </w:p>
              </w:tc>
              <w:tc>
                <w:tcPr>
                  <w:tcW w:w="383" w:type="dxa"/>
                  <w:tcBorders>
                    <w:tl2br w:val="nil"/>
                    <w:tr2bl w:val="nil"/>
                  </w:tcBorders>
                  <w:noWrap w:val="0"/>
                  <w:vAlign w:val="top"/>
                </w:tcPr>
                <w:p w14:paraId="3249BBFC">
                  <w:pPr>
                    <w:spacing w:beforeLines="0" w:afterLines="0"/>
                    <w:rPr>
                      <w:rFonts w:hint="default"/>
                      <w:sz w:val="24"/>
                      <w:szCs w:val="24"/>
                    </w:rPr>
                  </w:pPr>
                </w:p>
              </w:tc>
              <w:tc>
                <w:tcPr>
                  <w:tcW w:w="381" w:type="dxa"/>
                  <w:tcBorders>
                    <w:tl2br w:val="nil"/>
                    <w:tr2bl w:val="nil"/>
                  </w:tcBorders>
                  <w:noWrap w:val="0"/>
                  <w:vAlign w:val="top"/>
                </w:tcPr>
                <w:p w14:paraId="76B953A7">
                  <w:pPr>
                    <w:spacing w:beforeLines="0" w:afterLines="0"/>
                    <w:rPr>
                      <w:rFonts w:hint="default"/>
                      <w:sz w:val="24"/>
                      <w:szCs w:val="24"/>
                    </w:rPr>
                  </w:pPr>
                </w:p>
              </w:tc>
              <w:tc>
                <w:tcPr>
                  <w:tcW w:w="384" w:type="dxa"/>
                  <w:tcBorders>
                    <w:tl2br w:val="nil"/>
                    <w:tr2bl w:val="nil"/>
                  </w:tcBorders>
                  <w:noWrap w:val="0"/>
                  <w:vAlign w:val="top"/>
                </w:tcPr>
                <w:p w14:paraId="40D202C0">
                  <w:pPr>
                    <w:spacing w:beforeLines="0" w:afterLines="0"/>
                    <w:rPr>
                      <w:rFonts w:hint="default"/>
                      <w:sz w:val="24"/>
                      <w:szCs w:val="24"/>
                    </w:rPr>
                  </w:pPr>
                </w:p>
              </w:tc>
              <w:tc>
                <w:tcPr>
                  <w:tcW w:w="394" w:type="dxa"/>
                  <w:tcBorders>
                    <w:tl2br w:val="nil"/>
                    <w:tr2bl w:val="nil"/>
                  </w:tcBorders>
                  <w:noWrap w:val="0"/>
                  <w:vAlign w:val="top"/>
                </w:tcPr>
                <w:p w14:paraId="3430F67E">
                  <w:pPr>
                    <w:spacing w:beforeLines="0" w:afterLines="0"/>
                    <w:rPr>
                      <w:rFonts w:hint="default"/>
                      <w:sz w:val="24"/>
                      <w:szCs w:val="24"/>
                    </w:rPr>
                  </w:pPr>
                </w:p>
              </w:tc>
              <w:tc>
                <w:tcPr>
                  <w:tcW w:w="371" w:type="dxa"/>
                  <w:tcBorders>
                    <w:tl2br w:val="nil"/>
                    <w:tr2bl w:val="nil"/>
                  </w:tcBorders>
                  <w:noWrap w:val="0"/>
                  <w:vAlign w:val="top"/>
                </w:tcPr>
                <w:p w14:paraId="2FE178F0">
                  <w:pPr>
                    <w:spacing w:beforeLines="0" w:afterLines="0"/>
                    <w:rPr>
                      <w:rFonts w:hint="default"/>
                      <w:sz w:val="24"/>
                      <w:szCs w:val="24"/>
                    </w:rPr>
                  </w:pPr>
                </w:p>
              </w:tc>
              <w:tc>
                <w:tcPr>
                  <w:tcW w:w="389" w:type="dxa"/>
                  <w:tcBorders>
                    <w:tl2br w:val="nil"/>
                    <w:tr2bl w:val="nil"/>
                  </w:tcBorders>
                  <w:noWrap w:val="0"/>
                  <w:vAlign w:val="top"/>
                </w:tcPr>
                <w:p w14:paraId="435DD5AA">
                  <w:pPr>
                    <w:spacing w:beforeLines="0" w:afterLines="0"/>
                    <w:rPr>
                      <w:rFonts w:hint="default"/>
                      <w:sz w:val="24"/>
                      <w:szCs w:val="24"/>
                    </w:rPr>
                  </w:pPr>
                </w:p>
              </w:tc>
              <w:tc>
                <w:tcPr>
                  <w:tcW w:w="376" w:type="dxa"/>
                  <w:tcBorders>
                    <w:tl2br w:val="nil"/>
                    <w:tr2bl w:val="nil"/>
                  </w:tcBorders>
                  <w:noWrap w:val="0"/>
                  <w:vAlign w:val="top"/>
                </w:tcPr>
                <w:p w14:paraId="113A6565">
                  <w:pPr>
                    <w:spacing w:beforeLines="0" w:afterLines="0"/>
                    <w:rPr>
                      <w:rFonts w:hint="default"/>
                      <w:sz w:val="24"/>
                      <w:szCs w:val="24"/>
                    </w:rPr>
                  </w:pPr>
                </w:p>
              </w:tc>
              <w:tc>
                <w:tcPr>
                  <w:tcW w:w="427" w:type="dxa"/>
                  <w:tcBorders>
                    <w:tl2br w:val="nil"/>
                    <w:tr2bl w:val="nil"/>
                  </w:tcBorders>
                  <w:noWrap w:val="0"/>
                  <w:vAlign w:val="top"/>
                </w:tcPr>
                <w:p w14:paraId="5953648D">
                  <w:pPr>
                    <w:spacing w:beforeLines="0" w:afterLines="0"/>
                    <w:rPr>
                      <w:rFonts w:hint="default"/>
                      <w:sz w:val="24"/>
                      <w:szCs w:val="24"/>
                    </w:rPr>
                  </w:pPr>
                </w:p>
              </w:tc>
              <w:tc>
                <w:tcPr>
                  <w:tcW w:w="434" w:type="dxa"/>
                  <w:tcBorders>
                    <w:tl2br w:val="nil"/>
                    <w:tr2bl w:val="nil"/>
                  </w:tcBorders>
                  <w:noWrap w:val="0"/>
                  <w:vAlign w:val="top"/>
                </w:tcPr>
                <w:p w14:paraId="09D07282">
                  <w:pPr>
                    <w:spacing w:beforeLines="0" w:afterLines="0"/>
                    <w:rPr>
                      <w:rFonts w:hint="default"/>
                      <w:sz w:val="24"/>
                      <w:szCs w:val="24"/>
                    </w:rPr>
                  </w:pPr>
                </w:p>
              </w:tc>
              <w:tc>
                <w:tcPr>
                  <w:tcW w:w="432" w:type="dxa"/>
                  <w:tcBorders>
                    <w:tl2br w:val="nil"/>
                    <w:tr2bl w:val="nil"/>
                  </w:tcBorders>
                  <w:noWrap w:val="0"/>
                  <w:vAlign w:val="top"/>
                </w:tcPr>
                <w:p w14:paraId="491BA8D2">
                  <w:pPr>
                    <w:spacing w:beforeLines="0" w:afterLines="0"/>
                    <w:rPr>
                      <w:rFonts w:hint="default"/>
                      <w:sz w:val="24"/>
                      <w:szCs w:val="24"/>
                    </w:rPr>
                  </w:pPr>
                </w:p>
              </w:tc>
              <w:tc>
                <w:tcPr>
                  <w:tcW w:w="422" w:type="dxa"/>
                  <w:tcBorders>
                    <w:tl2br w:val="nil"/>
                    <w:tr2bl w:val="nil"/>
                  </w:tcBorders>
                  <w:noWrap w:val="0"/>
                  <w:vAlign w:val="top"/>
                </w:tcPr>
                <w:p w14:paraId="0E349623">
                  <w:pPr>
                    <w:spacing w:beforeLines="0" w:afterLines="0"/>
                    <w:rPr>
                      <w:rFonts w:hint="default"/>
                      <w:sz w:val="24"/>
                      <w:szCs w:val="24"/>
                    </w:rPr>
                  </w:pPr>
                </w:p>
              </w:tc>
              <w:tc>
                <w:tcPr>
                  <w:tcW w:w="432" w:type="dxa"/>
                  <w:tcBorders>
                    <w:tl2br w:val="nil"/>
                    <w:tr2bl w:val="nil"/>
                  </w:tcBorders>
                  <w:noWrap w:val="0"/>
                  <w:vAlign w:val="top"/>
                </w:tcPr>
                <w:p w14:paraId="581CF5D0">
                  <w:pPr>
                    <w:spacing w:beforeLines="0" w:afterLines="0"/>
                    <w:rPr>
                      <w:rFonts w:hint="default"/>
                      <w:sz w:val="24"/>
                      <w:szCs w:val="24"/>
                    </w:rPr>
                  </w:pPr>
                </w:p>
              </w:tc>
              <w:tc>
                <w:tcPr>
                  <w:tcW w:w="399" w:type="dxa"/>
                  <w:tcBorders>
                    <w:tl2br w:val="nil"/>
                    <w:tr2bl w:val="nil"/>
                  </w:tcBorders>
                  <w:noWrap w:val="0"/>
                  <w:vAlign w:val="top"/>
                </w:tcPr>
                <w:p w14:paraId="2FE616CA">
                  <w:pPr>
                    <w:spacing w:beforeLines="0" w:afterLines="0"/>
                    <w:rPr>
                      <w:rFonts w:hint="default"/>
                      <w:sz w:val="24"/>
                      <w:szCs w:val="24"/>
                    </w:rPr>
                  </w:pPr>
                </w:p>
              </w:tc>
              <w:tc>
                <w:tcPr>
                  <w:tcW w:w="467" w:type="dxa"/>
                  <w:gridSpan w:val="2"/>
                  <w:tcBorders>
                    <w:tl2br w:val="nil"/>
                    <w:tr2bl w:val="nil"/>
                  </w:tcBorders>
                  <w:noWrap w:val="0"/>
                  <w:vAlign w:val="top"/>
                </w:tcPr>
                <w:p w14:paraId="3677A4A8">
                  <w:pPr>
                    <w:spacing w:beforeLines="0" w:afterLines="0"/>
                    <w:rPr>
                      <w:rFonts w:hint="default"/>
                      <w:sz w:val="24"/>
                      <w:szCs w:val="24"/>
                    </w:rPr>
                  </w:pPr>
                </w:p>
              </w:tc>
            </w:tr>
            <w:tr w14:paraId="756E15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441" w:type="dxa"/>
                  <w:tcBorders>
                    <w:tl2br w:val="nil"/>
                    <w:tr2bl w:val="nil"/>
                  </w:tcBorders>
                  <w:noWrap w:val="0"/>
                  <w:vAlign w:val="center"/>
                </w:tcPr>
                <w:p w14:paraId="2A849C37">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2</w:t>
                  </w:r>
                </w:p>
              </w:tc>
              <w:tc>
                <w:tcPr>
                  <w:tcW w:w="1936" w:type="dxa"/>
                  <w:tcBorders>
                    <w:tl2br w:val="nil"/>
                    <w:tr2bl w:val="nil"/>
                  </w:tcBorders>
                  <w:noWrap w:val="0"/>
                  <w:vAlign w:val="center"/>
                </w:tcPr>
                <w:p w14:paraId="64A0B30C">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桩基预制</w:t>
                  </w:r>
                </w:p>
              </w:tc>
              <w:tc>
                <w:tcPr>
                  <w:tcW w:w="383" w:type="dxa"/>
                  <w:tcBorders>
                    <w:tl2br w:val="nil"/>
                    <w:tr2bl w:val="nil"/>
                  </w:tcBorders>
                  <w:noWrap w:val="0"/>
                  <w:vAlign w:val="top"/>
                </w:tcPr>
                <w:p w14:paraId="78147351">
                  <w:pPr>
                    <w:spacing w:beforeLines="0" w:afterLines="0"/>
                    <w:rPr>
                      <w:rFonts w:hint="default"/>
                      <w:sz w:val="24"/>
                      <w:szCs w:val="24"/>
                    </w:rPr>
                  </w:pPr>
                  <w:r>
                    <w:rPr>
                      <w:sz w:val="24"/>
                      <w:szCs w:val="24"/>
                    </w:rPr>
                    <mc:AlternateContent>
                      <mc:Choice Requires="wps">
                        <w:drawing>
                          <wp:anchor distT="0" distB="0" distL="114300" distR="114300" simplePos="0" relativeHeight="251661312" behindDoc="0" locked="0" layoutInCell="1" allowOverlap="1">
                            <wp:simplePos x="0" y="0"/>
                            <wp:positionH relativeFrom="column">
                              <wp:posOffset>80645</wp:posOffset>
                            </wp:positionH>
                            <wp:positionV relativeFrom="paragraph">
                              <wp:posOffset>142875</wp:posOffset>
                            </wp:positionV>
                            <wp:extent cx="411480" cy="0"/>
                            <wp:effectExtent l="0" t="15875" r="7620" b="22225"/>
                            <wp:wrapNone/>
                            <wp:docPr id="6" name="直接连接符 6"/>
                            <wp:cNvGraphicFramePr/>
                            <a:graphic xmlns:a="http://schemas.openxmlformats.org/drawingml/2006/main">
                              <a:graphicData uri="http://schemas.microsoft.com/office/word/2010/wordprocessingShape">
                                <wps:wsp>
                                  <wps:cNvCnPr/>
                                  <wps:spPr>
                                    <a:xfrm>
                                      <a:off x="0" y="0"/>
                                      <a:ext cx="411480" cy="0"/>
                                    </a:xfrm>
                                    <a:prstGeom prst="line">
                                      <a:avLst/>
                                    </a:prstGeom>
                                    <a:ln w="317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35pt;margin-top:11.25pt;height:0pt;width:32.4pt;z-index:251661312;mso-width-relative:page;mso-height-relative:page;" filled="f" stroked="t" coordsize="21600,21600" o:gfxdata="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u3Og9MAAAAHAQAADwAA&#10;AAAAAAABACAAAAAiAAAAZHJzL2Rvd25yZXYueG1sUEsBAhQAFAAAAAgAh07iQGXzEjniAQAAsQMA&#10;AA4AAAAAAAAAAQAgAAAAIgEAAGRycy9lMm9Eb2MueG1sUEsFBgAAAAAGAAYAWQEAAHYFAAAAAA==&#10;">
                            <v:fill on="f" focussize="0,0"/>
                            <v:stroke weight="2.5pt" color="#000000 [3213]" miterlimit="8" joinstyle="miter"/>
                            <v:imagedata o:title=""/>
                            <o:lock v:ext="edit" aspectratio="f"/>
                          </v:line>
                        </w:pict>
                      </mc:Fallback>
                    </mc:AlternateContent>
                  </w:r>
                </w:p>
              </w:tc>
              <w:tc>
                <w:tcPr>
                  <w:tcW w:w="381" w:type="dxa"/>
                  <w:tcBorders>
                    <w:tl2br w:val="nil"/>
                    <w:tr2bl w:val="nil"/>
                  </w:tcBorders>
                  <w:noWrap w:val="0"/>
                  <w:vAlign w:val="top"/>
                </w:tcPr>
                <w:p w14:paraId="370B5A1B">
                  <w:pPr>
                    <w:spacing w:beforeLines="0" w:afterLines="0"/>
                    <w:rPr>
                      <w:rFonts w:hint="default"/>
                      <w:sz w:val="24"/>
                      <w:szCs w:val="24"/>
                    </w:rPr>
                  </w:pPr>
                </w:p>
              </w:tc>
              <w:tc>
                <w:tcPr>
                  <w:tcW w:w="383" w:type="dxa"/>
                  <w:tcBorders>
                    <w:tl2br w:val="nil"/>
                    <w:tr2bl w:val="nil"/>
                  </w:tcBorders>
                  <w:noWrap w:val="0"/>
                  <w:vAlign w:val="top"/>
                </w:tcPr>
                <w:p w14:paraId="5968C95E">
                  <w:pPr>
                    <w:spacing w:beforeLines="0" w:afterLines="0"/>
                    <w:rPr>
                      <w:rFonts w:hint="default"/>
                      <w:sz w:val="24"/>
                      <w:szCs w:val="24"/>
                    </w:rPr>
                  </w:pPr>
                </w:p>
              </w:tc>
              <w:tc>
                <w:tcPr>
                  <w:tcW w:w="381" w:type="dxa"/>
                  <w:tcBorders>
                    <w:tl2br w:val="nil"/>
                    <w:tr2bl w:val="nil"/>
                  </w:tcBorders>
                  <w:noWrap w:val="0"/>
                  <w:vAlign w:val="top"/>
                </w:tcPr>
                <w:p w14:paraId="6777D18C">
                  <w:pPr>
                    <w:spacing w:beforeLines="0" w:afterLines="0"/>
                    <w:rPr>
                      <w:rFonts w:hint="default"/>
                      <w:sz w:val="24"/>
                      <w:szCs w:val="24"/>
                    </w:rPr>
                  </w:pPr>
                </w:p>
              </w:tc>
              <w:tc>
                <w:tcPr>
                  <w:tcW w:w="384" w:type="dxa"/>
                  <w:tcBorders>
                    <w:tl2br w:val="nil"/>
                    <w:tr2bl w:val="nil"/>
                  </w:tcBorders>
                  <w:noWrap w:val="0"/>
                  <w:vAlign w:val="top"/>
                </w:tcPr>
                <w:p w14:paraId="75743E34">
                  <w:pPr>
                    <w:spacing w:beforeLines="0" w:afterLines="0"/>
                    <w:rPr>
                      <w:rFonts w:hint="default"/>
                      <w:sz w:val="24"/>
                      <w:szCs w:val="24"/>
                    </w:rPr>
                  </w:pPr>
                </w:p>
              </w:tc>
              <w:tc>
                <w:tcPr>
                  <w:tcW w:w="394" w:type="dxa"/>
                  <w:tcBorders>
                    <w:tl2br w:val="nil"/>
                    <w:tr2bl w:val="nil"/>
                  </w:tcBorders>
                  <w:noWrap w:val="0"/>
                  <w:vAlign w:val="top"/>
                </w:tcPr>
                <w:p w14:paraId="4411B6C6">
                  <w:pPr>
                    <w:spacing w:beforeLines="0" w:afterLines="0"/>
                    <w:rPr>
                      <w:rFonts w:hint="default"/>
                      <w:sz w:val="24"/>
                      <w:szCs w:val="24"/>
                    </w:rPr>
                  </w:pPr>
                </w:p>
              </w:tc>
              <w:tc>
                <w:tcPr>
                  <w:tcW w:w="371" w:type="dxa"/>
                  <w:tcBorders>
                    <w:tl2br w:val="nil"/>
                    <w:tr2bl w:val="nil"/>
                  </w:tcBorders>
                  <w:noWrap w:val="0"/>
                  <w:vAlign w:val="top"/>
                </w:tcPr>
                <w:p w14:paraId="26E53CB1">
                  <w:pPr>
                    <w:spacing w:beforeLines="0" w:afterLines="0"/>
                    <w:rPr>
                      <w:rFonts w:hint="default"/>
                      <w:sz w:val="24"/>
                      <w:szCs w:val="24"/>
                    </w:rPr>
                  </w:pPr>
                </w:p>
              </w:tc>
              <w:tc>
                <w:tcPr>
                  <w:tcW w:w="389" w:type="dxa"/>
                  <w:tcBorders>
                    <w:tl2br w:val="nil"/>
                    <w:tr2bl w:val="nil"/>
                  </w:tcBorders>
                  <w:noWrap w:val="0"/>
                  <w:vAlign w:val="top"/>
                </w:tcPr>
                <w:p w14:paraId="50F09F8E">
                  <w:pPr>
                    <w:spacing w:beforeLines="0" w:afterLines="0"/>
                    <w:rPr>
                      <w:rFonts w:hint="default"/>
                      <w:sz w:val="24"/>
                      <w:szCs w:val="24"/>
                    </w:rPr>
                  </w:pPr>
                </w:p>
              </w:tc>
              <w:tc>
                <w:tcPr>
                  <w:tcW w:w="376" w:type="dxa"/>
                  <w:tcBorders>
                    <w:tl2br w:val="nil"/>
                    <w:tr2bl w:val="nil"/>
                  </w:tcBorders>
                  <w:noWrap w:val="0"/>
                  <w:vAlign w:val="top"/>
                </w:tcPr>
                <w:p w14:paraId="159D747F">
                  <w:pPr>
                    <w:spacing w:beforeLines="0" w:afterLines="0"/>
                    <w:rPr>
                      <w:rFonts w:hint="default"/>
                      <w:sz w:val="24"/>
                      <w:szCs w:val="24"/>
                    </w:rPr>
                  </w:pPr>
                </w:p>
              </w:tc>
              <w:tc>
                <w:tcPr>
                  <w:tcW w:w="427" w:type="dxa"/>
                  <w:tcBorders>
                    <w:tl2br w:val="nil"/>
                    <w:tr2bl w:val="nil"/>
                  </w:tcBorders>
                  <w:noWrap w:val="0"/>
                  <w:vAlign w:val="top"/>
                </w:tcPr>
                <w:p w14:paraId="75B6DE4B">
                  <w:pPr>
                    <w:spacing w:beforeLines="0" w:afterLines="0"/>
                    <w:rPr>
                      <w:rFonts w:hint="default"/>
                      <w:sz w:val="24"/>
                      <w:szCs w:val="24"/>
                    </w:rPr>
                  </w:pPr>
                </w:p>
              </w:tc>
              <w:tc>
                <w:tcPr>
                  <w:tcW w:w="434" w:type="dxa"/>
                  <w:tcBorders>
                    <w:tl2br w:val="nil"/>
                    <w:tr2bl w:val="nil"/>
                  </w:tcBorders>
                  <w:noWrap w:val="0"/>
                  <w:vAlign w:val="top"/>
                </w:tcPr>
                <w:p w14:paraId="714C4650">
                  <w:pPr>
                    <w:spacing w:beforeLines="0" w:afterLines="0"/>
                    <w:rPr>
                      <w:rFonts w:hint="default"/>
                      <w:sz w:val="24"/>
                      <w:szCs w:val="24"/>
                    </w:rPr>
                  </w:pPr>
                </w:p>
              </w:tc>
              <w:tc>
                <w:tcPr>
                  <w:tcW w:w="432" w:type="dxa"/>
                  <w:tcBorders>
                    <w:tl2br w:val="nil"/>
                    <w:tr2bl w:val="nil"/>
                  </w:tcBorders>
                  <w:noWrap w:val="0"/>
                  <w:vAlign w:val="top"/>
                </w:tcPr>
                <w:p w14:paraId="0A5E6B76">
                  <w:pPr>
                    <w:spacing w:beforeLines="0" w:afterLines="0"/>
                    <w:rPr>
                      <w:rFonts w:hint="default"/>
                      <w:sz w:val="24"/>
                      <w:szCs w:val="24"/>
                    </w:rPr>
                  </w:pPr>
                </w:p>
              </w:tc>
              <w:tc>
                <w:tcPr>
                  <w:tcW w:w="422" w:type="dxa"/>
                  <w:tcBorders>
                    <w:tl2br w:val="nil"/>
                    <w:tr2bl w:val="nil"/>
                  </w:tcBorders>
                  <w:noWrap w:val="0"/>
                  <w:vAlign w:val="top"/>
                </w:tcPr>
                <w:p w14:paraId="01F9330A">
                  <w:pPr>
                    <w:spacing w:beforeLines="0" w:afterLines="0"/>
                    <w:rPr>
                      <w:rFonts w:hint="default"/>
                      <w:sz w:val="24"/>
                      <w:szCs w:val="24"/>
                    </w:rPr>
                  </w:pPr>
                </w:p>
              </w:tc>
              <w:tc>
                <w:tcPr>
                  <w:tcW w:w="432" w:type="dxa"/>
                  <w:tcBorders>
                    <w:tl2br w:val="nil"/>
                    <w:tr2bl w:val="nil"/>
                  </w:tcBorders>
                  <w:noWrap w:val="0"/>
                  <w:vAlign w:val="top"/>
                </w:tcPr>
                <w:p w14:paraId="3CB25924">
                  <w:pPr>
                    <w:spacing w:beforeLines="0" w:afterLines="0"/>
                    <w:rPr>
                      <w:rFonts w:hint="default"/>
                      <w:sz w:val="24"/>
                      <w:szCs w:val="24"/>
                    </w:rPr>
                  </w:pPr>
                </w:p>
              </w:tc>
              <w:tc>
                <w:tcPr>
                  <w:tcW w:w="399" w:type="dxa"/>
                  <w:tcBorders>
                    <w:tl2br w:val="nil"/>
                    <w:tr2bl w:val="nil"/>
                  </w:tcBorders>
                  <w:noWrap w:val="0"/>
                  <w:vAlign w:val="top"/>
                </w:tcPr>
                <w:p w14:paraId="19397093">
                  <w:pPr>
                    <w:spacing w:beforeLines="0" w:afterLines="0"/>
                    <w:rPr>
                      <w:rFonts w:hint="default"/>
                      <w:sz w:val="24"/>
                      <w:szCs w:val="24"/>
                    </w:rPr>
                  </w:pPr>
                </w:p>
              </w:tc>
              <w:tc>
                <w:tcPr>
                  <w:tcW w:w="467" w:type="dxa"/>
                  <w:gridSpan w:val="2"/>
                  <w:tcBorders>
                    <w:tl2br w:val="nil"/>
                    <w:tr2bl w:val="nil"/>
                  </w:tcBorders>
                  <w:noWrap w:val="0"/>
                  <w:vAlign w:val="top"/>
                </w:tcPr>
                <w:p w14:paraId="31263FE5">
                  <w:pPr>
                    <w:spacing w:beforeLines="0" w:afterLines="0"/>
                    <w:rPr>
                      <w:rFonts w:hint="default"/>
                      <w:sz w:val="24"/>
                      <w:szCs w:val="24"/>
                    </w:rPr>
                  </w:pPr>
                </w:p>
              </w:tc>
            </w:tr>
            <w:tr w14:paraId="3F15EE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1" w:type="dxa"/>
                  <w:vMerge w:val="restart"/>
                  <w:tcBorders>
                    <w:tl2br w:val="nil"/>
                    <w:tr2bl w:val="nil"/>
                  </w:tcBorders>
                  <w:noWrap w:val="0"/>
                  <w:vAlign w:val="center"/>
                </w:tcPr>
                <w:p w14:paraId="34452946">
                  <w:pPr>
                    <w:adjustRightInd w:val="0"/>
                    <w:snapToGrid w:val="0"/>
                    <w:jc w:val="center"/>
                    <w:rPr>
                      <w:rFonts w:hint="eastAsia" w:ascii="Times New Roman" w:hAnsi="Times New Roman" w:eastAsia="宋体" w:cs="Times New Roman"/>
                      <w:bCs/>
                      <w:sz w:val="24"/>
                      <w:szCs w:val="24"/>
                      <w:lang w:val="en-US" w:eastAsia="zh-CN"/>
                    </w:rPr>
                  </w:pPr>
                  <w:r>
                    <w:rPr>
                      <w:rFonts w:hint="eastAsia" w:cs="Times New Roman"/>
                      <w:bCs/>
                      <w:sz w:val="24"/>
                      <w:szCs w:val="24"/>
                      <w:lang w:val="en-US" w:eastAsia="zh-CN"/>
                    </w:rPr>
                    <w:t>3</w:t>
                  </w:r>
                </w:p>
              </w:tc>
              <w:tc>
                <w:tcPr>
                  <w:tcW w:w="1936" w:type="dxa"/>
                  <w:vMerge w:val="restart"/>
                  <w:tcBorders>
                    <w:tl2br w:val="nil"/>
                    <w:tr2bl w:val="nil"/>
                  </w:tcBorders>
                  <w:noWrap w:val="0"/>
                  <w:vAlign w:val="center"/>
                </w:tcPr>
                <w:p w14:paraId="10B796EB">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沉桩及钻孔灌注 桩施工</w:t>
                  </w:r>
                </w:p>
              </w:tc>
              <w:tc>
                <w:tcPr>
                  <w:tcW w:w="383" w:type="dxa"/>
                  <w:vMerge w:val="restart"/>
                  <w:tcBorders>
                    <w:tl2br w:val="nil"/>
                    <w:tr2bl w:val="nil"/>
                  </w:tcBorders>
                  <w:noWrap w:val="0"/>
                  <w:vAlign w:val="top"/>
                </w:tcPr>
                <w:p w14:paraId="5839987D">
                  <w:pPr>
                    <w:spacing w:beforeLines="0" w:afterLines="0"/>
                    <w:rPr>
                      <w:rFonts w:hint="default"/>
                      <w:sz w:val="24"/>
                      <w:szCs w:val="24"/>
                    </w:rPr>
                  </w:pPr>
                </w:p>
              </w:tc>
              <w:tc>
                <w:tcPr>
                  <w:tcW w:w="381" w:type="dxa"/>
                  <w:vMerge w:val="restart"/>
                  <w:tcBorders>
                    <w:tl2br w:val="nil"/>
                    <w:tr2bl w:val="nil"/>
                  </w:tcBorders>
                  <w:noWrap w:val="0"/>
                  <w:vAlign w:val="top"/>
                </w:tcPr>
                <w:p w14:paraId="48D5F683">
                  <w:pPr>
                    <w:spacing w:beforeLines="0" w:afterLines="0"/>
                    <w:rPr>
                      <w:rFonts w:hint="default"/>
                      <w:sz w:val="24"/>
                      <w:szCs w:val="24"/>
                    </w:rPr>
                  </w:pPr>
                </w:p>
              </w:tc>
              <w:tc>
                <w:tcPr>
                  <w:tcW w:w="383" w:type="dxa"/>
                  <w:vMerge w:val="restart"/>
                  <w:tcBorders>
                    <w:tl2br w:val="nil"/>
                    <w:tr2bl w:val="nil"/>
                  </w:tcBorders>
                  <w:noWrap w:val="0"/>
                  <w:vAlign w:val="top"/>
                </w:tcPr>
                <w:p w14:paraId="14F8742F">
                  <w:pPr>
                    <w:spacing w:beforeLines="0" w:afterLines="0"/>
                    <w:rPr>
                      <w:rFonts w:hint="default"/>
                      <w:sz w:val="24"/>
                      <w:szCs w:val="24"/>
                    </w:rPr>
                  </w:pPr>
                  <w:r>
                    <w:rPr>
                      <w:sz w:val="24"/>
                      <w:szCs w:val="24"/>
                    </w:rPr>
                    <mc:AlternateContent>
                      <mc:Choice Requires="wps">
                        <w:drawing>
                          <wp:anchor distT="0" distB="0" distL="114300" distR="114300" simplePos="0" relativeHeight="251662336" behindDoc="0" locked="0" layoutInCell="1" allowOverlap="1">
                            <wp:simplePos x="0" y="0"/>
                            <wp:positionH relativeFrom="column">
                              <wp:posOffset>80010</wp:posOffset>
                            </wp:positionH>
                            <wp:positionV relativeFrom="paragraph">
                              <wp:posOffset>235585</wp:posOffset>
                            </wp:positionV>
                            <wp:extent cx="2291080" cy="4445"/>
                            <wp:effectExtent l="0" t="15875" r="13970" b="17780"/>
                            <wp:wrapNone/>
                            <wp:docPr id="7" name="直接连接符 7"/>
                            <wp:cNvGraphicFramePr/>
                            <a:graphic xmlns:a="http://schemas.openxmlformats.org/drawingml/2006/main">
                              <a:graphicData uri="http://schemas.microsoft.com/office/word/2010/wordprocessingShape">
                                <wps:wsp>
                                  <wps:cNvCnPr/>
                                  <wps:spPr>
                                    <a:xfrm flipV="1">
                                      <a:off x="0" y="0"/>
                                      <a:ext cx="2291080" cy="4445"/>
                                    </a:xfrm>
                                    <a:prstGeom prst="line">
                                      <a:avLst/>
                                    </a:prstGeom>
                                    <a:ln w="317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6.3pt;margin-top:18.55pt;height:0.35pt;width:180.4pt;z-index:251662336;mso-width-relative:page;mso-height-relative:page;" filled="f" stroked="t" coordsize="21600,21600" o:gfxdata="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to1tYAAAAIAQAADwAAAAAAAAABACAAAAAiAAAAZHJzL2Rvd25yZXYueG1sUEsBAhQAFAAAAAgA&#10;h07iQI3CH0/uAQAAvwMAAA4AAAAAAAAAAQAgAAAAJQEAAGRycy9lMm9Eb2MueG1sUEsFBgAAAAAG&#10;AAYAWQEAAIUFAAAAAA==&#10;">
                            <v:fill on="f" focussize="0,0"/>
                            <v:stroke weight="2.5pt" color="#000000 [3213]" miterlimit="8" joinstyle="miter"/>
                            <v:imagedata o:title=""/>
                            <o:lock v:ext="edit" aspectratio="f"/>
                          </v:line>
                        </w:pict>
                      </mc:Fallback>
                    </mc:AlternateContent>
                  </w:r>
                </w:p>
              </w:tc>
              <w:tc>
                <w:tcPr>
                  <w:tcW w:w="381" w:type="dxa"/>
                  <w:vMerge w:val="restart"/>
                  <w:tcBorders>
                    <w:tl2br w:val="nil"/>
                    <w:tr2bl w:val="nil"/>
                  </w:tcBorders>
                  <w:noWrap w:val="0"/>
                  <w:vAlign w:val="top"/>
                </w:tcPr>
                <w:p w14:paraId="6D74C117">
                  <w:pPr>
                    <w:spacing w:beforeLines="0" w:afterLines="0"/>
                    <w:rPr>
                      <w:rFonts w:hint="default"/>
                      <w:sz w:val="24"/>
                      <w:szCs w:val="24"/>
                    </w:rPr>
                  </w:pPr>
                </w:p>
              </w:tc>
              <w:tc>
                <w:tcPr>
                  <w:tcW w:w="384" w:type="dxa"/>
                  <w:vMerge w:val="restart"/>
                  <w:tcBorders>
                    <w:tl2br w:val="nil"/>
                    <w:tr2bl w:val="nil"/>
                  </w:tcBorders>
                  <w:noWrap w:val="0"/>
                  <w:vAlign w:val="top"/>
                </w:tcPr>
                <w:p w14:paraId="63AA73F1">
                  <w:pPr>
                    <w:spacing w:beforeLines="0" w:afterLines="0"/>
                    <w:rPr>
                      <w:rFonts w:hint="default"/>
                      <w:sz w:val="24"/>
                      <w:szCs w:val="24"/>
                    </w:rPr>
                  </w:pPr>
                </w:p>
              </w:tc>
              <w:tc>
                <w:tcPr>
                  <w:tcW w:w="394" w:type="dxa"/>
                  <w:vMerge w:val="restart"/>
                  <w:tcBorders>
                    <w:tl2br w:val="nil"/>
                    <w:tr2bl w:val="nil"/>
                  </w:tcBorders>
                  <w:noWrap w:val="0"/>
                  <w:vAlign w:val="top"/>
                </w:tcPr>
                <w:p w14:paraId="5CE90556">
                  <w:pPr>
                    <w:spacing w:beforeLines="0" w:afterLines="0"/>
                    <w:rPr>
                      <w:rFonts w:hint="default"/>
                      <w:sz w:val="24"/>
                      <w:szCs w:val="24"/>
                    </w:rPr>
                  </w:pPr>
                </w:p>
              </w:tc>
              <w:tc>
                <w:tcPr>
                  <w:tcW w:w="371" w:type="dxa"/>
                  <w:vMerge w:val="restart"/>
                  <w:tcBorders>
                    <w:tl2br w:val="nil"/>
                    <w:tr2bl w:val="nil"/>
                  </w:tcBorders>
                  <w:noWrap w:val="0"/>
                  <w:vAlign w:val="top"/>
                </w:tcPr>
                <w:p w14:paraId="78C001F5">
                  <w:pPr>
                    <w:spacing w:beforeLines="0" w:afterLines="0"/>
                    <w:rPr>
                      <w:rFonts w:hint="default"/>
                      <w:sz w:val="24"/>
                      <w:szCs w:val="24"/>
                    </w:rPr>
                  </w:pPr>
                </w:p>
              </w:tc>
              <w:tc>
                <w:tcPr>
                  <w:tcW w:w="389" w:type="dxa"/>
                  <w:vMerge w:val="restart"/>
                  <w:tcBorders>
                    <w:tl2br w:val="nil"/>
                    <w:tr2bl w:val="nil"/>
                  </w:tcBorders>
                  <w:noWrap w:val="0"/>
                  <w:vAlign w:val="top"/>
                </w:tcPr>
                <w:p w14:paraId="0198CF81">
                  <w:pPr>
                    <w:spacing w:beforeLines="0" w:afterLines="0"/>
                    <w:rPr>
                      <w:rFonts w:hint="default"/>
                      <w:sz w:val="24"/>
                      <w:szCs w:val="24"/>
                    </w:rPr>
                  </w:pPr>
                </w:p>
              </w:tc>
              <w:tc>
                <w:tcPr>
                  <w:tcW w:w="376" w:type="dxa"/>
                  <w:vMerge w:val="restart"/>
                  <w:tcBorders>
                    <w:tl2br w:val="nil"/>
                    <w:tr2bl w:val="nil"/>
                  </w:tcBorders>
                  <w:noWrap w:val="0"/>
                  <w:vAlign w:val="top"/>
                </w:tcPr>
                <w:p w14:paraId="44D1A304">
                  <w:pPr>
                    <w:spacing w:beforeLines="0" w:afterLines="0"/>
                    <w:rPr>
                      <w:rFonts w:hint="default"/>
                      <w:sz w:val="24"/>
                      <w:szCs w:val="24"/>
                    </w:rPr>
                  </w:pPr>
                </w:p>
              </w:tc>
              <w:tc>
                <w:tcPr>
                  <w:tcW w:w="427" w:type="dxa"/>
                  <w:vMerge w:val="restart"/>
                  <w:tcBorders>
                    <w:tl2br w:val="nil"/>
                    <w:tr2bl w:val="nil"/>
                  </w:tcBorders>
                  <w:noWrap w:val="0"/>
                  <w:vAlign w:val="top"/>
                </w:tcPr>
                <w:p w14:paraId="46F7F5B9">
                  <w:pPr>
                    <w:spacing w:beforeLines="0" w:afterLines="0"/>
                    <w:rPr>
                      <w:rFonts w:hint="default"/>
                      <w:sz w:val="24"/>
                      <w:szCs w:val="24"/>
                    </w:rPr>
                  </w:pPr>
                </w:p>
              </w:tc>
              <w:tc>
                <w:tcPr>
                  <w:tcW w:w="434" w:type="dxa"/>
                  <w:vMerge w:val="restart"/>
                  <w:tcBorders>
                    <w:tl2br w:val="nil"/>
                    <w:tr2bl w:val="nil"/>
                  </w:tcBorders>
                  <w:noWrap w:val="0"/>
                  <w:vAlign w:val="top"/>
                </w:tcPr>
                <w:p w14:paraId="01CF5D82">
                  <w:pPr>
                    <w:spacing w:beforeLines="0" w:afterLines="0"/>
                    <w:rPr>
                      <w:rFonts w:hint="default"/>
                      <w:sz w:val="24"/>
                      <w:szCs w:val="24"/>
                    </w:rPr>
                  </w:pPr>
                </w:p>
              </w:tc>
              <w:tc>
                <w:tcPr>
                  <w:tcW w:w="432" w:type="dxa"/>
                  <w:vMerge w:val="restart"/>
                  <w:tcBorders>
                    <w:tl2br w:val="nil"/>
                    <w:tr2bl w:val="nil"/>
                  </w:tcBorders>
                  <w:noWrap w:val="0"/>
                  <w:vAlign w:val="top"/>
                </w:tcPr>
                <w:p w14:paraId="73D77BC0">
                  <w:pPr>
                    <w:spacing w:beforeLines="0" w:afterLines="0"/>
                    <w:rPr>
                      <w:rFonts w:hint="default"/>
                      <w:sz w:val="24"/>
                      <w:szCs w:val="24"/>
                    </w:rPr>
                  </w:pPr>
                </w:p>
              </w:tc>
              <w:tc>
                <w:tcPr>
                  <w:tcW w:w="422" w:type="dxa"/>
                  <w:vMerge w:val="restart"/>
                  <w:tcBorders>
                    <w:tl2br w:val="nil"/>
                    <w:tr2bl w:val="nil"/>
                  </w:tcBorders>
                  <w:noWrap w:val="0"/>
                  <w:vAlign w:val="top"/>
                </w:tcPr>
                <w:p w14:paraId="36C5BC0F">
                  <w:pPr>
                    <w:spacing w:beforeLines="0" w:afterLines="0"/>
                    <w:rPr>
                      <w:rFonts w:hint="default"/>
                      <w:sz w:val="24"/>
                      <w:szCs w:val="24"/>
                    </w:rPr>
                  </w:pPr>
                </w:p>
              </w:tc>
              <w:tc>
                <w:tcPr>
                  <w:tcW w:w="432" w:type="dxa"/>
                  <w:vMerge w:val="restart"/>
                  <w:tcBorders>
                    <w:tl2br w:val="nil"/>
                    <w:tr2bl w:val="nil"/>
                  </w:tcBorders>
                  <w:noWrap w:val="0"/>
                  <w:vAlign w:val="top"/>
                </w:tcPr>
                <w:p w14:paraId="1DF8C24E">
                  <w:pPr>
                    <w:spacing w:beforeLines="0" w:afterLines="0"/>
                    <w:rPr>
                      <w:rFonts w:hint="default"/>
                      <w:sz w:val="24"/>
                      <w:szCs w:val="24"/>
                    </w:rPr>
                  </w:pPr>
                </w:p>
              </w:tc>
              <w:tc>
                <w:tcPr>
                  <w:tcW w:w="399" w:type="dxa"/>
                  <w:vMerge w:val="restart"/>
                  <w:tcBorders>
                    <w:tl2br w:val="nil"/>
                    <w:tr2bl w:val="nil"/>
                  </w:tcBorders>
                  <w:noWrap w:val="0"/>
                  <w:vAlign w:val="top"/>
                </w:tcPr>
                <w:p w14:paraId="1E4D668A">
                  <w:pPr>
                    <w:spacing w:beforeLines="0" w:afterLines="0"/>
                    <w:rPr>
                      <w:rFonts w:hint="default"/>
                      <w:sz w:val="24"/>
                      <w:szCs w:val="24"/>
                    </w:rPr>
                  </w:pPr>
                </w:p>
              </w:tc>
              <w:tc>
                <w:tcPr>
                  <w:tcW w:w="467" w:type="dxa"/>
                  <w:gridSpan w:val="2"/>
                  <w:vMerge w:val="restart"/>
                  <w:tcBorders>
                    <w:tl2br w:val="nil"/>
                    <w:tr2bl w:val="nil"/>
                  </w:tcBorders>
                  <w:noWrap w:val="0"/>
                  <w:vAlign w:val="top"/>
                </w:tcPr>
                <w:p w14:paraId="3B655147">
                  <w:pPr>
                    <w:spacing w:beforeLines="0" w:afterLines="0"/>
                    <w:rPr>
                      <w:rFonts w:hint="default"/>
                      <w:sz w:val="24"/>
                      <w:szCs w:val="24"/>
                    </w:rPr>
                  </w:pPr>
                </w:p>
              </w:tc>
            </w:tr>
            <w:tr w14:paraId="401FF7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1" w:type="dxa"/>
                  <w:vMerge w:val="continue"/>
                  <w:tcBorders>
                    <w:tl2br w:val="nil"/>
                    <w:tr2bl w:val="nil"/>
                  </w:tcBorders>
                  <w:noWrap w:val="0"/>
                  <w:vAlign w:val="center"/>
                </w:tcPr>
                <w:p w14:paraId="090FC731">
                  <w:pPr>
                    <w:adjustRightInd w:val="0"/>
                    <w:snapToGrid w:val="0"/>
                    <w:jc w:val="center"/>
                    <w:rPr>
                      <w:rFonts w:hint="default" w:ascii="Times New Roman" w:hAnsi="Times New Roman" w:eastAsia="宋体" w:cs="Times New Roman"/>
                      <w:bCs/>
                      <w:sz w:val="24"/>
                      <w:szCs w:val="24"/>
                      <w:lang w:val="en-US" w:eastAsia="zh-CN"/>
                    </w:rPr>
                  </w:pPr>
                </w:p>
              </w:tc>
              <w:tc>
                <w:tcPr>
                  <w:tcW w:w="1936" w:type="dxa"/>
                  <w:vMerge w:val="continue"/>
                  <w:tcBorders>
                    <w:tl2br w:val="nil"/>
                    <w:tr2bl w:val="nil"/>
                  </w:tcBorders>
                  <w:noWrap w:val="0"/>
                  <w:vAlign w:val="center"/>
                </w:tcPr>
                <w:p w14:paraId="17867572">
                  <w:pPr>
                    <w:spacing w:beforeLines="0" w:afterLines="0"/>
                    <w:jc w:val="center"/>
                    <w:rPr>
                      <w:rFonts w:hint="default"/>
                      <w:sz w:val="24"/>
                      <w:szCs w:val="24"/>
                    </w:rPr>
                  </w:pPr>
                </w:p>
              </w:tc>
              <w:tc>
                <w:tcPr>
                  <w:tcW w:w="383" w:type="dxa"/>
                  <w:vMerge w:val="continue"/>
                  <w:tcBorders>
                    <w:tl2br w:val="nil"/>
                    <w:tr2bl w:val="nil"/>
                  </w:tcBorders>
                  <w:noWrap w:val="0"/>
                  <w:vAlign w:val="top"/>
                </w:tcPr>
                <w:p w14:paraId="65F61D46">
                  <w:pPr>
                    <w:spacing w:beforeLines="0" w:afterLines="0"/>
                    <w:rPr>
                      <w:rFonts w:hint="default"/>
                      <w:sz w:val="24"/>
                      <w:szCs w:val="24"/>
                    </w:rPr>
                  </w:pPr>
                </w:p>
              </w:tc>
              <w:tc>
                <w:tcPr>
                  <w:tcW w:w="381" w:type="dxa"/>
                  <w:vMerge w:val="continue"/>
                  <w:tcBorders>
                    <w:tl2br w:val="nil"/>
                    <w:tr2bl w:val="nil"/>
                  </w:tcBorders>
                  <w:noWrap w:val="0"/>
                  <w:vAlign w:val="top"/>
                </w:tcPr>
                <w:p w14:paraId="6DC1FCE1">
                  <w:pPr>
                    <w:spacing w:beforeLines="0" w:afterLines="0"/>
                    <w:rPr>
                      <w:rFonts w:hint="default"/>
                      <w:sz w:val="24"/>
                      <w:szCs w:val="24"/>
                    </w:rPr>
                  </w:pPr>
                </w:p>
              </w:tc>
              <w:tc>
                <w:tcPr>
                  <w:tcW w:w="383" w:type="dxa"/>
                  <w:vMerge w:val="continue"/>
                  <w:tcBorders>
                    <w:tl2br w:val="nil"/>
                    <w:tr2bl w:val="nil"/>
                  </w:tcBorders>
                  <w:noWrap w:val="0"/>
                  <w:vAlign w:val="top"/>
                </w:tcPr>
                <w:p w14:paraId="60C21C8B">
                  <w:pPr>
                    <w:spacing w:beforeLines="0" w:afterLines="0"/>
                    <w:rPr>
                      <w:rFonts w:hint="default"/>
                      <w:sz w:val="24"/>
                      <w:szCs w:val="24"/>
                    </w:rPr>
                  </w:pPr>
                </w:p>
              </w:tc>
              <w:tc>
                <w:tcPr>
                  <w:tcW w:w="381" w:type="dxa"/>
                  <w:vMerge w:val="continue"/>
                  <w:tcBorders>
                    <w:tl2br w:val="nil"/>
                    <w:tr2bl w:val="nil"/>
                  </w:tcBorders>
                  <w:noWrap w:val="0"/>
                  <w:vAlign w:val="top"/>
                </w:tcPr>
                <w:p w14:paraId="0120AB26">
                  <w:pPr>
                    <w:spacing w:beforeLines="0" w:afterLines="0" w:line="132" w:lineRule="exact"/>
                    <w:rPr>
                      <w:rFonts w:hint="default"/>
                      <w:sz w:val="24"/>
                      <w:szCs w:val="24"/>
                    </w:rPr>
                  </w:pPr>
                </w:p>
              </w:tc>
              <w:tc>
                <w:tcPr>
                  <w:tcW w:w="384" w:type="dxa"/>
                  <w:vMerge w:val="continue"/>
                  <w:tcBorders>
                    <w:tl2br w:val="nil"/>
                    <w:tr2bl w:val="nil"/>
                  </w:tcBorders>
                  <w:noWrap w:val="0"/>
                  <w:vAlign w:val="top"/>
                </w:tcPr>
                <w:p w14:paraId="15BD60EF">
                  <w:pPr>
                    <w:spacing w:beforeLines="0" w:afterLines="0" w:line="132" w:lineRule="exact"/>
                    <w:rPr>
                      <w:rFonts w:hint="default"/>
                      <w:sz w:val="24"/>
                      <w:szCs w:val="24"/>
                    </w:rPr>
                  </w:pPr>
                </w:p>
              </w:tc>
              <w:tc>
                <w:tcPr>
                  <w:tcW w:w="394" w:type="dxa"/>
                  <w:vMerge w:val="continue"/>
                  <w:tcBorders>
                    <w:tl2br w:val="nil"/>
                    <w:tr2bl w:val="nil"/>
                  </w:tcBorders>
                  <w:noWrap w:val="0"/>
                  <w:vAlign w:val="top"/>
                </w:tcPr>
                <w:p w14:paraId="4C16A061">
                  <w:pPr>
                    <w:spacing w:beforeLines="0" w:afterLines="0" w:line="132" w:lineRule="exact"/>
                    <w:rPr>
                      <w:rFonts w:hint="default"/>
                      <w:sz w:val="24"/>
                      <w:szCs w:val="24"/>
                    </w:rPr>
                  </w:pPr>
                </w:p>
              </w:tc>
              <w:tc>
                <w:tcPr>
                  <w:tcW w:w="371" w:type="dxa"/>
                  <w:vMerge w:val="continue"/>
                  <w:tcBorders>
                    <w:tl2br w:val="nil"/>
                    <w:tr2bl w:val="nil"/>
                  </w:tcBorders>
                  <w:noWrap w:val="0"/>
                  <w:vAlign w:val="top"/>
                </w:tcPr>
                <w:p w14:paraId="0E203831">
                  <w:pPr>
                    <w:spacing w:beforeLines="0" w:afterLines="0" w:line="132" w:lineRule="exact"/>
                    <w:rPr>
                      <w:rFonts w:hint="default"/>
                      <w:sz w:val="24"/>
                      <w:szCs w:val="24"/>
                    </w:rPr>
                  </w:pPr>
                </w:p>
              </w:tc>
              <w:tc>
                <w:tcPr>
                  <w:tcW w:w="389" w:type="dxa"/>
                  <w:vMerge w:val="continue"/>
                  <w:tcBorders>
                    <w:tl2br w:val="nil"/>
                    <w:tr2bl w:val="nil"/>
                  </w:tcBorders>
                  <w:noWrap w:val="0"/>
                  <w:vAlign w:val="top"/>
                </w:tcPr>
                <w:p w14:paraId="184D0686">
                  <w:pPr>
                    <w:spacing w:beforeLines="0" w:afterLines="0" w:line="132" w:lineRule="exact"/>
                    <w:rPr>
                      <w:rFonts w:hint="default"/>
                      <w:sz w:val="24"/>
                      <w:szCs w:val="24"/>
                    </w:rPr>
                  </w:pPr>
                </w:p>
              </w:tc>
              <w:tc>
                <w:tcPr>
                  <w:tcW w:w="376" w:type="dxa"/>
                  <w:vMerge w:val="continue"/>
                  <w:tcBorders>
                    <w:tl2br w:val="nil"/>
                    <w:tr2bl w:val="nil"/>
                  </w:tcBorders>
                  <w:noWrap w:val="0"/>
                  <w:vAlign w:val="top"/>
                </w:tcPr>
                <w:p w14:paraId="76360B13">
                  <w:pPr>
                    <w:spacing w:beforeLines="0" w:afterLines="0" w:line="132" w:lineRule="exact"/>
                    <w:rPr>
                      <w:rFonts w:hint="default"/>
                      <w:sz w:val="24"/>
                      <w:szCs w:val="24"/>
                    </w:rPr>
                  </w:pPr>
                </w:p>
              </w:tc>
              <w:tc>
                <w:tcPr>
                  <w:tcW w:w="427" w:type="dxa"/>
                  <w:vMerge w:val="continue"/>
                  <w:tcBorders>
                    <w:tl2br w:val="nil"/>
                    <w:tr2bl w:val="nil"/>
                  </w:tcBorders>
                  <w:noWrap w:val="0"/>
                  <w:vAlign w:val="top"/>
                </w:tcPr>
                <w:p w14:paraId="652D30B5">
                  <w:pPr>
                    <w:spacing w:beforeLines="0" w:afterLines="0" w:line="132" w:lineRule="exact"/>
                    <w:rPr>
                      <w:rFonts w:hint="default"/>
                      <w:sz w:val="24"/>
                      <w:szCs w:val="24"/>
                    </w:rPr>
                  </w:pPr>
                </w:p>
              </w:tc>
              <w:tc>
                <w:tcPr>
                  <w:tcW w:w="434" w:type="dxa"/>
                  <w:vMerge w:val="continue"/>
                  <w:tcBorders>
                    <w:tl2br w:val="nil"/>
                    <w:tr2bl w:val="nil"/>
                  </w:tcBorders>
                  <w:noWrap w:val="0"/>
                  <w:vAlign w:val="top"/>
                </w:tcPr>
                <w:p w14:paraId="180D59E1">
                  <w:pPr>
                    <w:spacing w:beforeLines="0" w:afterLines="0" w:line="132" w:lineRule="exact"/>
                    <w:rPr>
                      <w:rFonts w:hint="default"/>
                      <w:sz w:val="24"/>
                      <w:szCs w:val="24"/>
                    </w:rPr>
                  </w:pPr>
                </w:p>
              </w:tc>
              <w:tc>
                <w:tcPr>
                  <w:tcW w:w="432" w:type="dxa"/>
                  <w:vMerge w:val="continue"/>
                  <w:tcBorders>
                    <w:tl2br w:val="nil"/>
                    <w:tr2bl w:val="nil"/>
                  </w:tcBorders>
                  <w:noWrap w:val="0"/>
                  <w:vAlign w:val="top"/>
                </w:tcPr>
                <w:p w14:paraId="704AA6E7">
                  <w:pPr>
                    <w:spacing w:beforeLines="0" w:afterLines="0"/>
                    <w:rPr>
                      <w:rFonts w:hint="default"/>
                      <w:sz w:val="24"/>
                      <w:szCs w:val="24"/>
                    </w:rPr>
                  </w:pPr>
                </w:p>
              </w:tc>
              <w:tc>
                <w:tcPr>
                  <w:tcW w:w="422" w:type="dxa"/>
                  <w:vMerge w:val="continue"/>
                  <w:tcBorders>
                    <w:tl2br w:val="nil"/>
                    <w:tr2bl w:val="nil"/>
                  </w:tcBorders>
                  <w:noWrap w:val="0"/>
                  <w:vAlign w:val="top"/>
                </w:tcPr>
                <w:p w14:paraId="1A2F2880">
                  <w:pPr>
                    <w:spacing w:beforeLines="0" w:afterLines="0"/>
                    <w:rPr>
                      <w:rFonts w:hint="default"/>
                      <w:sz w:val="24"/>
                      <w:szCs w:val="24"/>
                    </w:rPr>
                  </w:pPr>
                </w:p>
              </w:tc>
              <w:tc>
                <w:tcPr>
                  <w:tcW w:w="432" w:type="dxa"/>
                  <w:vMerge w:val="continue"/>
                  <w:tcBorders>
                    <w:tl2br w:val="nil"/>
                    <w:tr2bl w:val="nil"/>
                  </w:tcBorders>
                  <w:noWrap w:val="0"/>
                  <w:vAlign w:val="top"/>
                </w:tcPr>
                <w:p w14:paraId="0F7A55C2">
                  <w:pPr>
                    <w:spacing w:beforeLines="0" w:afterLines="0"/>
                    <w:rPr>
                      <w:rFonts w:hint="default"/>
                      <w:sz w:val="24"/>
                      <w:szCs w:val="24"/>
                    </w:rPr>
                  </w:pPr>
                </w:p>
              </w:tc>
              <w:tc>
                <w:tcPr>
                  <w:tcW w:w="399" w:type="dxa"/>
                  <w:vMerge w:val="continue"/>
                  <w:tcBorders>
                    <w:tl2br w:val="nil"/>
                    <w:tr2bl w:val="nil"/>
                  </w:tcBorders>
                  <w:noWrap w:val="0"/>
                  <w:vAlign w:val="top"/>
                </w:tcPr>
                <w:p w14:paraId="77B8BB57">
                  <w:pPr>
                    <w:spacing w:beforeLines="0" w:afterLines="0"/>
                    <w:rPr>
                      <w:rFonts w:hint="default"/>
                      <w:sz w:val="24"/>
                      <w:szCs w:val="24"/>
                    </w:rPr>
                  </w:pPr>
                </w:p>
              </w:tc>
              <w:tc>
                <w:tcPr>
                  <w:tcW w:w="467" w:type="dxa"/>
                  <w:gridSpan w:val="2"/>
                  <w:vMerge w:val="continue"/>
                  <w:tcBorders>
                    <w:tl2br w:val="nil"/>
                    <w:tr2bl w:val="nil"/>
                  </w:tcBorders>
                  <w:noWrap w:val="0"/>
                  <w:vAlign w:val="top"/>
                </w:tcPr>
                <w:p w14:paraId="1B8DD478">
                  <w:pPr>
                    <w:spacing w:beforeLines="0" w:afterLines="0"/>
                    <w:rPr>
                      <w:rFonts w:hint="default"/>
                      <w:sz w:val="24"/>
                      <w:szCs w:val="24"/>
                    </w:rPr>
                  </w:pPr>
                </w:p>
              </w:tc>
            </w:tr>
            <w:tr w14:paraId="2D3F11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41" w:type="dxa"/>
                  <w:tcBorders>
                    <w:tl2br w:val="nil"/>
                    <w:tr2bl w:val="nil"/>
                  </w:tcBorders>
                  <w:noWrap w:val="0"/>
                  <w:vAlign w:val="center"/>
                </w:tcPr>
                <w:p w14:paraId="12ACB9FF">
                  <w:pPr>
                    <w:adjustRightInd w:val="0"/>
                    <w:snapToGrid w:val="0"/>
                    <w:jc w:val="center"/>
                    <w:rPr>
                      <w:rFonts w:hint="eastAsia" w:ascii="Times New Roman" w:hAnsi="Times New Roman" w:eastAsia="宋体" w:cs="Times New Roman"/>
                      <w:bCs/>
                      <w:sz w:val="24"/>
                      <w:szCs w:val="24"/>
                      <w:lang w:val="en-US" w:eastAsia="zh-CN"/>
                    </w:rPr>
                  </w:pPr>
                  <w:r>
                    <w:rPr>
                      <w:rFonts w:hint="eastAsia" w:cs="Times New Roman"/>
                      <w:bCs/>
                      <w:sz w:val="24"/>
                      <w:szCs w:val="24"/>
                      <w:lang w:val="en-US" w:eastAsia="zh-CN"/>
                    </w:rPr>
                    <w:t>4</w:t>
                  </w:r>
                </w:p>
              </w:tc>
              <w:tc>
                <w:tcPr>
                  <w:tcW w:w="1936" w:type="dxa"/>
                  <w:tcBorders>
                    <w:tl2br w:val="nil"/>
                    <w:tr2bl w:val="nil"/>
                  </w:tcBorders>
                  <w:noWrap w:val="0"/>
                  <w:vAlign w:val="center"/>
                </w:tcPr>
                <w:p w14:paraId="356B631C">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胸墙及导梁施工</w:t>
                  </w:r>
                </w:p>
              </w:tc>
              <w:tc>
                <w:tcPr>
                  <w:tcW w:w="383" w:type="dxa"/>
                  <w:tcBorders>
                    <w:tl2br w:val="nil"/>
                    <w:tr2bl w:val="nil"/>
                  </w:tcBorders>
                  <w:noWrap w:val="0"/>
                  <w:vAlign w:val="top"/>
                </w:tcPr>
                <w:p w14:paraId="3C173243">
                  <w:pPr>
                    <w:adjustRightInd w:val="0"/>
                    <w:snapToGrid w:val="0"/>
                    <w:jc w:val="center"/>
                    <w:rPr>
                      <w:rFonts w:hint="default" w:ascii="Times New Roman" w:hAnsi="Times New Roman" w:eastAsia="宋体" w:cs="Times New Roman"/>
                      <w:bCs/>
                      <w:sz w:val="24"/>
                      <w:szCs w:val="24"/>
                      <w:lang w:val="en-US" w:eastAsia="zh-CN"/>
                    </w:rPr>
                  </w:pPr>
                </w:p>
              </w:tc>
              <w:tc>
                <w:tcPr>
                  <w:tcW w:w="381" w:type="dxa"/>
                  <w:tcBorders>
                    <w:tl2br w:val="nil"/>
                    <w:tr2bl w:val="nil"/>
                  </w:tcBorders>
                  <w:noWrap w:val="0"/>
                  <w:vAlign w:val="top"/>
                </w:tcPr>
                <w:p w14:paraId="222CED6F">
                  <w:pPr>
                    <w:spacing w:beforeLines="0" w:afterLines="0"/>
                    <w:rPr>
                      <w:rFonts w:hint="default"/>
                      <w:sz w:val="24"/>
                      <w:szCs w:val="24"/>
                    </w:rPr>
                  </w:pPr>
                </w:p>
              </w:tc>
              <w:tc>
                <w:tcPr>
                  <w:tcW w:w="383" w:type="dxa"/>
                  <w:tcBorders>
                    <w:tl2br w:val="nil"/>
                    <w:tr2bl w:val="nil"/>
                  </w:tcBorders>
                  <w:noWrap w:val="0"/>
                  <w:vAlign w:val="top"/>
                </w:tcPr>
                <w:p w14:paraId="7CC94293">
                  <w:pPr>
                    <w:spacing w:beforeLines="0" w:afterLines="0"/>
                    <w:rPr>
                      <w:rFonts w:hint="default"/>
                      <w:sz w:val="24"/>
                      <w:szCs w:val="24"/>
                    </w:rPr>
                  </w:pPr>
                </w:p>
              </w:tc>
              <w:tc>
                <w:tcPr>
                  <w:tcW w:w="381" w:type="dxa"/>
                  <w:tcBorders>
                    <w:tl2br w:val="nil"/>
                    <w:tr2bl w:val="nil"/>
                  </w:tcBorders>
                  <w:noWrap w:val="0"/>
                  <w:vAlign w:val="top"/>
                </w:tcPr>
                <w:p w14:paraId="7CB9FBCD">
                  <w:pPr>
                    <w:spacing w:beforeLines="0" w:afterLines="0"/>
                    <w:rPr>
                      <w:rFonts w:hint="default"/>
                      <w:sz w:val="24"/>
                      <w:szCs w:val="24"/>
                    </w:rPr>
                  </w:pPr>
                </w:p>
              </w:tc>
              <w:tc>
                <w:tcPr>
                  <w:tcW w:w="384" w:type="dxa"/>
                  <w:tcBorders>
                    <w:tl2br w:val="nil"/>
                    <w:tr2bl w:val="nil"/>
                  </w:tcBorders>
                  <w:noWrap w:val="0"/>
                  <w:vAlign w:val="top"/>
                </w:tcPr>
                <w:p w14:paraId="07207807">
                  <w:pPr>
                    <w:spacing w:beforeLines="0" w:afterLines="0"/>
                    <w:rPr>
                      <w:rFonts w:hint="default"/>
                      <w:sz w:val="24"/>
                      <w:szCs w:val="24"/>
                    </w:rPr>
                  </w:pPr>
                </w:p>
              </w:tc>
              <w:tc>
                <w:tcPr>
                  <w:tcW w:w="394" w:type="dxa"/>
                  <w:tcBorders>
                    <w:tl2br w:val="nil"/>
                    <w:tr2bl w:val="nil"/>
                  </w:tcBorders>
                  <w:noWrap w:val="0"/>
                  <w:vAlign w:val="top"/>
                </w:tcPr>
                <w:p w14:paraId="51FD6E8E">
                  <w:pPr>
                    <w:spacing w:beforeLines="0" w:afterLines="0"/>
                    <w:rPr>
                      <w:rFonts w:hint="default"/>
                      <w:sz w:val="24"/>
                      <w:szCs w:val="24"/>
                    </w:rPr>
                  </w:pPr>
                </w:p>
              </w:tc>
              <w:tc>
                <w:tcPr>
                  <w:tcW w:w="371" w:type="dxa"/>
                  <w:tcBorders>
                    <w:tl2br w:val="nil"/>
                    <w:tr2bl w:val="nil"/>
                  </w:tcBorders>
                  <w:noWrap w:val="0"/>
                  <w:vAlign w:val="top"/>
                </w:tcPr>
                <w:p w14:paraId="6463D91F">
                  <w:pPr>
                    <w:spacing w:beforeLines="0" w:afterLines="0"/>
                    <w:rPr>
                      <w:rFonts w:hint="default"/>
                      <w:sz w:val="24"/>
                      <w:szCs w:val="24"/>
                    </w:rPr>
                  </w:pPr>
                </w:p>
              </w:tc>
              <w:tc>
                <w:tcPr>
                  <w:tcW w:w="389" w:type="dxa"/>
                  <w:tcBorders>
                    <w:tl2br w:val="nil"/>
                    <w:tr2bl w:val="nil"/>
                  </w:tcBorders>
                  <w:noWrap w:val="0"/>
                  <w:vAlign w:val="top"/>
                </w:tcPr>
                <w:p w14:paraId="51FC6492">
                  <w:pPr>
                    <w:spacing w:beforeLines="0" w:afterLines="0"/>
                    <w:rPr>
                      <w:rFonts w:hint="default"/>
                      <w:sz w:val="24"/>
                      <w:szCs w:val="24"/>
                    </w:rPr>
                  </w:pPr>
                </w:p>
              </w:tc>
              <w:tc>
                <w:tcPr>
                  <w:tcW w:w="376" w:type="dxa"/>
                  <w:tcBorders>
                    <w:tl2br w:val="nil"/>
                    <w:tr2bl w:val="nil"/>
                  </w:tcBorders>
                  <w:noWrap w:val="0"/>
                  <w:vAlign w:val="top"/>
                </w:tcPr>
                <w:p w14:paraId="2E945A53">
                  <w:pPr>
                    <w:spacing w:beforeLines="0" w:afterLines="0"/>
                    <w:rPr>
                      <w:rFonts w:hint="default"/>
                      <w:sz w:val="24"/>
                      <w:szCs w:val="24"/>
                    </w:rP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2540</wp:posOffset>
                            </wp:positionH>
                            <wp:positionV relativeFrom="paragraph">
                              <wp:posOffset>150495</wp:posOffset>
                            </wp:positionV>
                            <wp:extent cx="1590040" cy="2540"/>
                            <wp:effectExtent l="0" t="15875" r="10160" b="19685"/>
                            <wp:wrapNone/>
                            <wp:docPr id="10" name="直接连接符 10"/>
                            <wp:cNvGraphicFramePr/>
                            <a:graphic xmlns:a="http://schemas.openxmlformats.org/drawingml/2006/main">
                              <a:graphicData uri="http://schemas.microsoft.com/office/word/2010/wordprocessingShape">
                                <wps:wsp>
                                  <wps:cNvCnPr/>
                                  <wps:spPr>
                                    <a:xfrm>
                                      <a:off x="0" y="0"/>
                                      <a:ext cx="1590040" cy="2540"/>
                                    </a:xfrm>
                                    <a:prstGeom prst="line">
                                      <a:avLst/>
                                    </a:prstGeom>
                                    <a:ln w="317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2pt;margin-top:11.85pt;height:0.2pt;width:125.2pt;z-index:251663360;mso-width-relative:page;mso-height-relative:page;" filled="f" stroked="t" coordsize="21600,21600" o:gfxdata="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IG45C1QAAAAYB&#10;AAAPAAAAAAAAAAEAIAAAACIAAABkcnMvZG93bnJldi54bWxQSwECFAAUAAAACACHTuJA4wK2N+UB&#10;AAC3AwAADgAAAAAAAAABACAAAAAkAQAAZHJzL2Uyb0RvYy54bWxQSwUGAAAAAAYABgBZAQAAewUA&#10;AAAA&#10;">
                            <v:fill on="f" focussize="0,0"/>
                            <v:stroke weight="2.5pt" color="#000000 [3213]" miterlimit="8" joinstyle="miter"/>
                            <v:imagedata o:title=""/>
                            <o:lock v:ext="edit" aspectratio="f"/>
                          </v:line>
                        </w:pict>
                      </mc:Fallback>
                    </mc:AlternateContent>
                  </w:r>
                </w:p>
              </w:tc>
              <w:tc>
                <w:tcPr>
                  <w:tcW w:w="427" w:type="dxa"/>
                  <w:tcBorders>
                    <w:tl2br w:val="nil"/>
                    <w:tr2bl w:val="nil"/>
                  </w:tcBorders>
                  <w:noWrap w:val="0"/>
                  <w:vAlign w:val="top"/>
                </w:tcPr>
                <w:p w14:paraId="16EE34ED">
                  <w:pPr>
                    <w:spacing w:beforeLines="0" w:afterLines="0"/>
                    <w:rPr>
                      <w:rFonts w:hint="default"/>
                      <w:sz w:val="24"/>
                      <w:szCs w:val="24"/>
                    </w:rPr>
                  </w:pPr>
                </w:p>
              </w:tc>
              <w:tc>
                <w:tcPr>
                  <w:tcW w:w="434" w:type="dxa"/>
                  <w:tcBorders>
                    <w:tl2br w:val="nil"/>
                    <w:tr2bl w:val="nil"/>
                  </w:tcBorders>
                  <w:noWrap w:val="0"/>
                  <w:vAlign w:val="top"/>
                </w:tcPr>
                <w:p w14:paraId="2AD28BCA">
                  <w:pPr>
                    <w:spacing w:beforeLines="0" w:afterLines="0"/>
                    <w:rPr>
                      <w:rFonts w:hint="default"/>
                      <w:sz w:val="24"/>
                      <w:szCs w:val="24"/>
                    </w:rPr>
                  </w:pPr>
                </w:p>
              </w:tc>
              <w:tc>
                <w:tcPr>
                  <w:tcW w:w="432" w:type="dxa"/>
                  <w:tcBorders>
                    <w:tl2br w:val="nil"/>
                    <w:tr2bl w:val="nil"/>
                  </w:tcBorders>
                  <w:noWrap w:val="0"/>
                  <w:vAlign w:val="top"/>
                </w:tcPr>
                <w:p w14:paraId="5A778008">
                  <w:pPr>
                    <w:spacing w:beforeLines="0" w:afterLines="0"/>
                    <w:rPr>
                      <w:rFonts w:hint="default"/>
                      <w:sz w:val="24"/>
                      <w:szCs w:val="24"/>
                    </w:rPr>
                  </w:pPr>
                </w:p>
              </w:tc>
              <w:tc>
                <w:tcPr>
                  <w:tcW w:w="422" w:type="dxa"/>
                  <w:tcBorders>
                    <w:tl2br w:val="nil"/>
                    <w:tr2bl w:val="nil"/>
                  </w:tcBorders>
                  <w:noWrap w:val="0"/>
                  <w:vAlign w:val="top"/>
                </w:tcPr>
                <w:p w14:paraId="49331836">
                  <w:pPr>
                    <w:spacing w:beforeLines="0" w:afterLines="0"/>
                    <w:rPr>
                      <w:rFonts w:hint="default"/>
                      <w:sz w:val="24"/>
                      <w:szCs w:val="24"/>
                    </w:rPr>
                  </w:pPr>
                </w:p>
              </w:tc>
              <w:tc>
                <w:tcPr>
                  <w:tcW w:w="432" w:type="dxa"/>
                  <w:tcBorders>
                    <w:tl2br w:val="nil"/>
                    <w:tr2bl w:val="nil"/>
                  </w:tcBorders>
                  <w:noWrap w:val="0"/>
                  <w:vAlign w:val="top"/>
                </w:tcPr>
                <w:p w14:paraId="508524FA">
                  <w:pPr>
                    <w:spacing w:beforeLines="0" w:afterLines="0"/>
                    <w:rPr>
                      <w:rFonts w:hint="default"/>
                      <w:sz w:val="24"/>
                      <w:szCs w:val="24"/>
                    </w:rPr>
                  </w:pPr>
                </w:p>
              </w:tc>
              <w:tc>
                <w:tcPr>
                  <w:tcW w:w="399" w:type="dxa"/>
                  <w:tcBorders>
                    <w:tl2br w:val="nil"/>
                    <w:tr2bl w:val="nil"/>
                  </w:tcBorders>
                  <w:noWrap w:val="0"/>
                  <w:vAlign w:val="top"/>
                </w:tcPr>
                <w:p w14:paraId="3F4500C1">
                  <w:pPr>
                    <w:spacing w:beforeLines="0" w:afterLines="0"/>
                    <w:rPr>
                      <w:rFonts w:hint="default"/>
                      <w:sz w:val="24"/>
                      <w:szCs w:val="24"/>
                    </w:rPr>
                  </w:pPr>
                </w:p>
              </w:tc>
              <w:tc>
                <w:tcPr>
                  <w:tcW w:w="467" w:type="dxa"/>
                  <w:gridSpan w:val="2"/>
                  <w:tcBorders>
                    <w:tl2br w:val="nil"/>
                    <w:tr2bl w:val="nil"/>
                  </w:tcBorders>
                  <w:noWrap w:val="0"/>
                  <w:vAlign w:val="top"/>
                </w:tcPr>
                <w:p w14:paraId="05880346">
                  <w:pPr>
                    <w:spacing w:beforeLines="0" w:afterLines="0"/>
                    <w:rPr>
                      <w:rFonts w:hint="default"/>
                      <w:sz w:val="24"/>
                      <w:szCs w:val="24"/>
                    </w:rPr>
                  </w:pPr>
                </w:p>
              </w:tc>
            </w:tr>
            <w:tr w14:paraId="13EB6B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1" w:type="dxa"/>
                  <w:vMerge w:val="restart"/>
                  <w:tcBorders>
                    <w:tl2br w:val="nil"/>
                    <w:tr2bl w:val="nil"/>
                  </w:tcBorders>
                  <w:noWrap w:val="0"/>
                  <w:vAlign w:val="center"/>
                </w:tcPr>
                <w:p w14:paraId="041DFC14">
                  <w:pPr>
                    <w:adjustRightInd w:val="0"/>
                    <w:snapToGrid w:val="0"/>
                    <w:jc w:val="center"/>
                    <w:rPr>
                      <w:rFonts w:hint="eastAsia" w:ascii="Times New Roman" w:hAnsi="Times New Roman" w:eastAsia="宋体" w:cs="Times New Roman"/>
                      <w:bCs/>
                      <w:sz w:val="24"/>
                      <w:szCs w:val="24"/>
                      <w:lang w:val="en-US" w:eastAsia="zh-CN"/>
                    </w:rPr>
                  </w:pPr>
                  <w:r>
                    <w:rPr>
                      <w:rFonts w:hint="eastAsia" w:cs="Times New Roman"/>
                      <w:bCs/>
                      <w:sz w:val="24"/>
                      <w:szCs w:val="24"/>
                      <w:lang w:val="en-US" w:eastAsia="zh-CN"/>
                    </w:rPr>
                    <w:t>5</w:t>
                  </w:r>
                </w:p>
              </w:tc>
              <w:tc>
                <w:tcPr>
                  <w:tcW w:w="1936" w:type="dxa"/>
                  <w:vMerge w:val="restart"/>
                  <w:tcBorders>
                    <w:tl2br w:val="nil"/>
                    <w:tr2bl w:val="nil"/>
                  </w:tcBorders>
                  <w:noWrap w:val="0"/>
                  <w:vAlign w:val="center"/>
                </w:tcPr>
                <w:p w14:paraId="5044F143">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回填</w:t>
                  </w:r>
                </w:p>
              </w:tc>
              <w:tc>
                <w:tcPr>
                  <w:tcW w:w="383" w:type="dxa"/>
                  <w:vMerge w:val="restart"/>
                  <w:tcBorders>
                    <w:tl2br w:val="nil"/>
                    <w:tr2bl w:val="nil"/>
                  </w:tcBorders>
                  <w:noWrap w:val="0"/>
                  <w:vAlign w:val="top"/>
                </w:tcPr>
                <w:p w14:paraId="0DCF221E">
                  <w:pPr>
                    <w:spacing w:beforeLines="0" w:afterLines="0"/>
                    <w:rPr>
                      <w:rFonts w:hint="default"/>
                      <w:sz w:val="24"/>
                      <w:szCs w:val="24"/>
                    </w:rPr>
                  </w:pPr>
                </w:p>
              </w:tc>
              <w:tc>
                <w:tcPr>
                  <w:tcW w:w="381" w:type="dxa"/>
                  <w:vMerge w:val="restart"/>
                  <w:tcBorders>
                    <w:tl2br w:val="nil"/>
                    <w:tr2bl w:val="nil"/>
                  </w:tcBorders>
                  <w:noWrap w:val="0"/>
                  <w:vAlign w:val="top"/>
                </w:tcPr>
                <w:p w14:paraId="3CB31B18">
                  <w:pPr>
                    <w:spacing w:beforeLines="0" w:afterLines="0"/>
                    <w:rPr>
                      <w:rFonts w:hint="default"/>
                      <w:sz w:val="24"/>
                      <w:szCs w:val="24"/>
                    </w:rPr>
                  </w:pPr>
                </w:p>
              </w:tc>
              <w:tc>
                <w:tcPr>
                  <w:tcW w:w="383" w:type="dxa"/>
                  <w:vMerge w:val="restart"/>
                  <w:tcBorders>
                    <w:tl2br w:val="nil"/>
                    <w:tr2bl w:val="nil"/>
                  </w:tcBorders>
                  <w:noWrap w:val="0"/>
                  <w:vAlign w:val="top"/>
                </w:tcPr>
                <w:p w14:paraId="0ACDA72A">
                  <w:pPr>
                    <w:spacing w:beforeLines="0" w:afterLines="0"/>
                    <w:rPr>
                      <w:rFonts w:hint="default"/>
                      <w:sz w:val="24"/>
                      <w:szCs w:val="24"/>
                    </w:rPr>
                  </w:pPr>
                </w:p>
              </w:tc>
              <w:tc>
                <w:tcPr>
                  <w:tcW w:w="381" w:type="dxa"/>
                  <w:vMerge w:val="restart"/>
                  <w:tcBorders>
                    <w:tl2br w:val="nil"/>
                    <w:tr2bl w:val="nil"/>
                  </w:tcBorders>
                  <w:noWrap w:val="0"/>
                  <w:vAlign w:val="top"/>
                </w:tcPr>
                <w:p w14:paraId="09107B30">
                  <w:pPr>
                    <w:spacing w:beforeLines="0" w:afterLines="0"/>
                    <w:rPr>
                      <w:rFonts w:hint="default"/>
                      <w:sz w:val="24"/>
                      <w:szCs w:val="24"/>
                    </w:rPr>
                  </w:pPr>
                </w:p>
              </w:tc>
              <w:tc>
                <w:tcPr>
                  <w:tcW w:w="384" w:type="dxa"/>
                  <w:vMerge w:val="restart"/>
                  <w:tcBorders>
                    <w:tl2br w:val="nil"/>
                    <w:tr2bl w:val="nil"/>
                  </w:tcBorders>
                  <w:noWrap w:val="0"/>
                  <w:vAlign w:val="top"/>
                </w:tcPr>
                <w:p w14:paraId="2642D812">
                  <w:pPr>
                    <w:spacing w:beforeLines="0" w:afterLines="0"/>
                    <w:rPr>
                      <w:rFonts w:hint="default"/>
                      <w:sz w:val="24"/>
                      <w:szCs w:val="24"/>
                    </w:rPr>
                  </w:pPr>
                </w:p>
              </w:tc>
              <w:tc>
                <w:tcPr>
                  <w:tcW w:w="394" w:type="dxa"/>
                  <w:vMerge w:val="restart"/>
                  <w:tcBorders>
                    <w:tl2br w:val="nil"/>
                    <w:tr2bl w:val="nil"/>
                  </w:tcBorders>
                  <w:noWrap w:val="0"/>
                  <w:vAlign w:val="top"/>
                </w:tcPr>
                <w:p w14:paraId="4ECF1CEB">
                  <w:pPr>
                    <w:spacing w:beforeLines="0" w:afterLines="0"/>
                    <w:rPr>
                      <w:rFonts w:hint="default"/>
                      <w:sz w:val="24"/>
                      <w:szCs w:val="24"/>
                    </w:rPr>
                  </w:pPr>
                </w:p>
              </w:tc>
              <w:tc>
                <w:tcPr>
                  <w:tcW w:w="371" w:type="dxa"/>
                  <w:vMerge w:val="restart"/>
                  <w:tcBorders>
                    <w:tl2br w:val="nil"/>
                    <w:tr2bl w:val="nil"/>
                  </w:tcBorders>
                  <w:noWrap w:val="0"/>
                  <w:vAlign w:val="top"/>
                </w:tcPr>
                <w:p w14:paraId="3B1A41C7">
                  <w:pPr>
                    <w:spacing w:beforeLines="0" w:afterLines="0"/>
                    <w:rPr>
                      <w:rFonts w:hint="default"/>
                      <w:sz w:val="24"/>
                      <w:szCs w:val="24"/>
                    </w:rPr>
                  </w:pPr>
                </w:p>
              </w:tc>
              <w:tc>
                <w:tcPr>
                  <w:tcW w:w="389" w:type="dxa"/>
                  <w:vMerge w:val="restart"/>
                  <w:tcBorders>
                    <w:tl2br w:val="nil"/>
                    <w:tr2bl w:val="nil"/>
                  </w:tcBorders>
                  <w:noWrap w:val="0"/>
                  <w:vAlign w:val="top"/>
                </w:tcPr>
                <w:p w14:paraId="4BA8664B">
                  <w:pPr>
                    <w:spacing w:beforeLines="0" w:afterLines="0"/>
                    <w:rPr>
                      <w:rFonts w:hint="default"/>
                      <w:sz w:val="24"/>
                      <w:szCs w:val="24"/>
                    </w:rPr>
                  </w:pPr>
                </w:p>
              </w:tc>
              <w:tc>
                <w:tcPr>
                  <w:tcW w:w="376" w:type="dxa"/>
                  <w:vMerge w:val="restart"/>
                  <w:tcBorders>
                    <w:tl2br w:val="nil"/>
                    <w:tr2bl w:val="nil"/>
                  </w:tcBorders>
                  <w:noWrap w:val="0"/>
                  <w:vAlign w:val="top"/>
                </w:tcPr>
                <w:p w14:paraId="5C29C080">
                  <w:pPr>
                    <w:spacing w:beforeLines="0" w:afterLines="0"/>
                    <w:rPr>
                      <w:rFonts w:hint="default"/>
                      <w:sz w:val="24"/>
                      <w:szCs w:val="24"/>
                    </w:r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232410</wp:posOffset>
                            </wp:positionH>
                            <wp:positionV relativeFrom="paragraph">
                              <wp:posOffset>250825</wp:posOffset>
                            </wp:positionV>
                            <wp:extent cx="1365885" cy="7620"/>
                            <wp:effectExtent l="0" t="15875" r="5715" b="33655"/>
                            <wp:wrapNone/>
                            <wp:docPr id="69" name="直接连接符 69"/>
                            <wp:cNvGraphicFramePr/>
                            <a:graphic xmlns:a="http://schemas.openxmlformats.org/drawingml/2006/main">
                              <a:graphicData uri="http://schemas.microsoft.com/office/word/2010/wordprocessingShape">
                                <wps:wsp>
                                  <wps:cNvCnPr/>
                                  <wps:spPr>
                                    <a:xfrm>
                                      <a:off x="0" y="0"/>
                                      <a:ext cx="1365885" cy="7620"/>
                                    </a:xfrm>
                                    <a:prstGeom prst="line">
                                      <a:avLst/>
                                    </a:prstGeom>
                                    <a:ln w="317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8.3pt;margin-top:19.75pt;height:0.6pt;width:107.55pt;z-index:251664384;mso-width-relative:page;mso-height-relative:page;" filled="f" stroked="t" coordsize="21600,21600" o:gfxdata="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L&#10;pdXYAAAACAEAAA8AAAAAAAAAAQAgAAAAIgAAAGRycy9kb3ducmV2LnhtbFBLAQIUABQAAAAIAIdO&#10;4kBMKaRG6gEAALcDAAAOAAAAAAAAAAEAIAAAACcBAABkcnMvZTJvRG9jLnhtbFBLBQYAAAAABgAG&#10;AFkBAACDBQAAAAA=&#10;">
                            <v:fill on="f" focussize="0,0"/>
                            <v:stroke weight="2.5pt" color="#000000 [3213]" miterlimit="8" joinstyle="miter"/>
                            <v:imagedata o:title=""/>
                            <o:lock v:ext="edit" aspectratio="f"/>
                          </v:line>
                        </w:pict>
                      </mc:Fallback>
                    </mc:AlternateContent>
                  </w:r>
                </w:p>
              </w:tc>
              <w:tc>
                <w:tcPr>
                  <w:tcW w:w="427" w:type="dxa"/>
                  <w:vMerge w:val="restart"/>
                  <w:tcBorders>
                    <w:tl2br w:val="nil"/>
                    <w:tr2bl w:val="nil"/>
                  </w:tcBorders>
                  <w:noWrap w:val="0"/>
                  <w:vAlign w:val="top"/>
                </w:tcPr>
                <w:p w14:paraId="7CAD6F40">
                  <w:pPr>
                    <w:spacing w:beforeLines="0" w:afterLines="0" w:line="135" w:lineRule="exact"/>
                    <w:rPr>
                      <w:rFonts w:hint="default"/>
                      <w:sz w:val="24"/>
                      <w:szCs w:val="24"/>
                    </w:rPr>
                  </w:pPr>
                </w:p>
              </w:tc>
              <w:tc>
                <w:tcPr>
                  <w:tcW w:w="434" w:type="dxa"/>
                  <w:vMerge w:val="restart"/>
                  <w:tcBorders>
                    <w:tl2br w:val="nil"/>
                    <w:tr2bl w:val="nil"/>
                  </w:tcBorders>
                  <w:noWrap w:val="0"/>
                  <w:vAlign w:val="top"/>
                </w:tcPr>
                <w:p w14:paraId="66216F82">
                  <w:pPr>
                    <w:spacing w:beforeLines="0" w:afterLines="0" w:line="135" w:lineRule="exact"/>
                    <w:rPr>
                      <w:rFonts w:hint="default"/>
                      <w:sz w:val="24"/>
                      <w:szCs w:val="24"/>
                    </w:rPr>
                  </w:pPr>
                </w:p>
              </w:tc>
              <w:tc>
                <w:tcPr>
                  <w:tcW w:w="432" w:type="dxa"/>
                  <w:vMerge w:val="restart"/>
                  <w:tcBorders>
                    <w:tl2br w:val="nil"/>
                    <w:tr2bl w:val="nil"/>
                  </w:tcBorders>
                  <w:noWrap w:val="0"/>
                  <w:vAlign w:val="top"/>
                </w:tcPr>
                <w:p w14:paraId="1C24E911">
                  <w:pPr>
                    <w:spacing w:beforeLines="0" w:afterLines="0" w:line="135" w:lineRule="exact"/>
                    <w:rPr>
                      <w:rFonts w:hint="default"/>
                      <w:sz w:val="24"/>
                      <w:szCs w:val="24"/>
                    </w:rPr>
                  </w:pPr>
                </w:p>
              </w:tc>
              <w:tc>
                <w:tcPr>
                  <w:tcW w:w="422" w:type="dxa"/>
                  <w:vMerge w:val="restart"/>
                  <w:tcBorders>
                    <w:tl2br w:val="nil"/>
                    <w:tr2bl w:val="nil"/>
                  </w:tcBorders>
                  <w:noWrap w:val="0"/>
                  <w:vAlign w:val="top"/>
                </w:tcPr>
                <w:p w14:paraId="2989944B">
                  <w:pPr>
                    <w:spacing w:beforeLines="0" w:afterLines="0" w:line="135" w:lineRule="exact"/>
                    <w:rPr>
                      <w:rFonts w:hint="default"/>
                      <w:sz w:val="24"/>
                      <w:szCs w:val="24"/>
                    </w:rPr>
                  </w:pPr>
                </w:p>
              </w:tc>
              <w:tc>
                <w:tcPr>
                  <w:tcW w:w="432" w:type="dxa"/>
                  <w:vMerge w:val="restart"/>
                  <w:tcBorders>
                    <w:tl2br w:val="nil"/>
                    <w:tr2bl w:val="nil"/>
                  </w:tcBorders>
                  <w:noWrap w:val="0"/>
                  <w:vAlign w:val="top"/>
                </w:tcPr>
                <w:p w14:paraId="1749E60D">
                  <w:pPr>
                    <w:spacing w:beforeLines="0" w:afterLines="0" w:line="135" w:lineRule="exact"/>
                    <w:rPr>
                      <w:rFonts w:hint="default"/>
                      <w:sz w:val="24"/>
                      <w:szCs w:val="24"/>
                    </w:rPr>
                  </w:pPr>
                </w:p>
              </w:tc>
              <w:tc>
                <w:tcPr>
                  <w:tcW w:w="399" w:type="dxa"/>
                  <w:vMerge w:val="restart"/>
                  <w:tcBorders>
                    <w:tl2br w:val="nil"/>
                    <w:tr2bl w:val="nil"/>
                  </w:tcBorders>
                  <w:noWrap w:val="0"/>
                  <w:vAlign w:val="top"/>
                </w:tcPr>
                <w:p w14:paraId="7CB94B84">
                  <w:pPr>
                    <w:spacing w:beforeLines="0" w:afterLines="0"/>
                    <w:rPr>
                      <w:rFonts w:hint="default"/>
                      <w:sz w:val="24"/>
                      <w:szCs w:val="24"/>
                    </w:rPr>
                  </w:pPr>
                </w:p>
              </w:tc>
              <w:tc>
                <w:tcPr>
                  <w:tcW w:w="467" w:type="dxa"/>
                  <w:gridSpan w:val="2"/>
                  <w:vMerge w:val="restart"/>
                  <w:tcBorders>
                    <w:tl2br w:val="nil"/>
                    <w:tr2bl w:val="nil"/>
                  </w:tcBorders>
                  <w:noWrap w:val="0"/>
                  <w:vAlign w:val="top"/>
                </w:tcPr>
                <w:p w14:paraId="577C30FC">
                  <w:pPr>
                    <w:spacing w:beforeLines="0" w:afterLines="0"/>
                    <w:rPr>
                      <w:rFonts w:hint="default"/>
                      <w:sz w:val="24"/>
                      <w:szCs w:val="24"/>
                    </w:rPr>
                  </w:pPr>
                </w:p>
              </w:tc>
            </w:tr>
            <w:tr w14:paraId="01D52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1" w:type="dxa"/>
                  <w:vMerge w:val="continue"/>
                  <w:tcBorders>
                    <w:tl2br w:val="nil"/>
                    <w:tr2bl w:val="nil"/>
                  </w:tcBorders>
                  <w:noWrap w:val="0"/>
                  <w:vAlign w:val="center"/>
                </w:tcPr>
                <w:p w14:paraId="334F9B84">
                  <w:pPr>
                    <w:adjustRightInd w:val="0"/>
                    <w:snapToGrid w:val="0"/>
                    <w:jc w:val="center"/>
                    <w:rPr>
                      <w:rFonts w:hint="default" w:ascii="Times New Roman" w:hAnsi="Times New Roman" w:eastAsia="宋体" w:cs="Times New Roman"/>
                      <w:bCs/>
                      <w:sz w:val="24"/>
                      <w:szCs w:val="24"/>
                      <w:lang w:val="en-US" w:eastAsia="zh-CN"/>
                    </w:rPr>
                  </w:pPr>
                </w:p>
              </w:tc>
              <w:tc>
                <w:tcPr>
                  <w:tcW w:w="1936" w:type="dxa"/>
                  <w:vMerge w:val="continue"/>
                  <w:tcBorders>
                    <w:tl2br w:val="nil"/>
                    <w:tr2bl w:val="nil"/>
                  </w:tcBorders>
                  <w:noWrap w:val="0"/>
                  <w:vAlign w:val="center"/>
                </w:tcPr>
                <w:p w14:paraId="2757F6ED">
                  <w:pPr>
                    <w:adjustRightInd w:val="0"/>
                    <w:snapToGrid w:val="0"/>
                    <w:jc w:val="center"/>
                    <w:rPr>
                      <w:rFonts w:hint="default" w:ascii="Times New Roman" w:hAnsi="Times New Roman" w:eastAsia="宋体" w:cs="Times New Roman"/>
                      <w:bCs/>
                      <w:sz w:val="24"/>
                      <w:szCs w:val="24"/>
                      <w:lang w:val="en-US" w:eastAsia="zh-CN"/>
                    </w:rPr>
                  </w:pPr>
                </w:p>
              </w:tc>
              <w:tc>
                <w:tcPr>
                  <w:tcW w:w="383" w:type="dxa"/>
                  <w:vMerge w:val="continue"/>
                  <w:tcBorders>
                    <w:tl2br w:val="nil"/>
                    <w:tr2bl w:val="nil"/>
                  </w:tcBorders>
                  <w:noWrap w:val="0"/>
                  <w:vAlign w:val="top"/>
                </w:tcPr>
                <w:p w14:paraId="6C354B58">
                  <w:pPr>
                    <w:spacing w:beforeLines="0" w:afterLines="0"/>
                    <w:rPr>
                      <w:rFonts w:hint="default"/>
                      <w:sz w:val="24"/>
                      <w:szCs w:val="24"/>
                    </w:rPr>
                  </w:pPr>
                </w:p>
              </w:tc>
              <w:tc>
                <w:tcPr>
                  <w:tcW w:w="381" w:type="dxa"/>
                  <w:vMerge w:val="continue"/>
                  <w:tcBorders>
                    <w:tl2br w:val="nil"/>
                    <w:tr2bl w:val="nil"/>
                  </w:tcBorders>
                  <w:noWrap w:val="0"/>
                  <w:vAlign w:val="top"/>
                </w:tcPr>
                <w:p w14:paraId="111DF2C4">
                  <w:pPr>
                    <w:spacing w:beforeLines="0" w:afterLines="0"/>
                    <w:rPr>
                      <w:rFonts w:hint="default"/>
                      <w:sz w:val="24"/>
                      <w:szCs w:val="24"/>
                    </w:rPr>
                  </w:pPr>
                </w:p>
              </w:tc>
              <w:tc>
                <w:tcPr>
                  <w:tcW w:w="383" w:type="dxa"/>
                  <w:vMerge w:val="continue"/>
                  <w:tcBorders>
                    <w:tl2br w:val="nil"/>
                    <w:tr2bl w:val="nil"/>
                  </w:tcBorders>
                  <w:noWrap w:val="0"/>
                  <w:vAlign w:val="top"/>
                </w:tcPr>
                <w:p w14:paraId="0A5EF9BA">
                  <w:pPr>
                    <w:spacing w:beforeLines="0" w:afterLines="0"/>
                    <w:rPr>
                      <w:rFonts w:hint="default"/>
                      <w:sz w:val="24"/>
                      <w:szCs w:val="24"/>
                    </w:rPr>
                  </w:pPr>
                </w:p>
              </w:tc>
              <w:tc>
                <w:tcPr>
                  <w:tcW w:w="381" w:type="dxa"/>
                  <w:vMerge w:val="continue"/>
                  <w:tcBorders>
                    <w:tl2br w:val="nil"/>
                    <w:tr2bl w:val="nil"/>
                  </w:tcBorders>
                  <w:noWrap w:val="0"/>
                  <w:vAlign w:val="top"/>
                </w:tcPr>
                <w:p w14:paraId="7FC2AD16">
                  <w:pPr>
                    <w:spacing w:beforeLines="0" w:afterLines="0"/>
                    <w:rPr>
                      <w:rFonts w:hint="default"/>
                      <w:sz w:val="24"/>
                      <w:szCs w:val="24"/>
                    </w:rPr>
                  </w:pPr>
                </w:p>
              </w:tc>
              <w:tc>
                <w:tcPr>
                  <w:tcW w:w="384" w:type="dxa"/>
                  <w:vMerge w:val="continue"/>
                  <w:tcBorders>
                    <w:tl2br w:val="nil"/>
                    <w:tr2bl w:val="nil"/>
                  </w:tcBorders>
                  <w:noWrap w:val="0"/>
                  <w:vAlign w:val="top"/>
                </w:tcPr>
                <w:p w14:paraId="594D7EA7">
                  <w:pPr>
                    <w:spacing w:beforeLines="0" w:afterLines="0"/>
                    <w:rPr>
                      <w:rFonts w:hint="default"/>
                      <w:sz w:val="24"/>
                      <w:szCs w:val="24"/>
                    </w:rPr>
                  </w:pPr>
                </w:p>
              </w:tc>
              <w:tc>
                <w:tcPr>
                  <w:tcW w:w="394" w:type="dxa"/>
                  <w:vMerge w:val="continue"/>
                  <w:tcBorders>
                    <w:tl2br w:val="nil"/>
                    <w:tr2bl w:val="nil"/>
                  </w:tcBorders>
                  <w:noWrap w:val="0"/>
                  <w:vAlign w:val="top"/>
                </w:tcPr>
                <w:p w14:paraId="695916D4">
                  <w:pPr>
                    <w:spacing w:beforeLines="0" w:afterLines="0"/>
                    <w:rPr>
                      <w:rFonts w:hint="default"/>
                      <w:sz w:val="24"/>
                      <w:szCs w:val="24"/>
                    </w:rPr>
                  </w:pPr>
                </w:p>
              </w:tc>
              <w:tc>
                <w:tcPr>
                  <w:tcW w:w="371" w:type="dxa"/>
                  <w:vMerge w:val="continue"/>
                  <w:tcBorders>
                    <w:tl2br w:val="nil"/>
                    <w:tr2bl w:val="nil"/>
                  </w:tcBorders>
                  <w:noWrap w:val="0"/>
                  <w:vAlign w:val="top"/>
                </w:tcPr>
                <w:p w14:paraId="6EBFCA60">
                  <w:pPr>
                    <w:spacing w:beforeLines="0" w:afterLines="0"/>
                    <w:rPr>
                      <w:rFonts w:hint="default"/>
                      <w:sz w:val="24"/>
                      <w:szCs w:val="24"/>
                    </w:rPr>
                  </w:pPr>
                </w:p>
              </w:tc>
              <w:tc>
                <w:tcPr>
                  <w:tcW w:w="389" w:type="dxa"/>
                  <w:vMerge w:val="continue"/>
                  <w:tcBorders>
                    <w:tl2br w:val="nil"/>
                    <w:tr2bl w:val="nil"/>
                  </w:tcBorders>
                  <w:noWrap w:val="0"/>
                  <w:vAlign w:val="top"/>
                </w:tcPr>
                <w:p w14:paraId="3270B2F8">
                  <w:pPr>
                    <w:spacing w:beforeLines="0" w:afterLines="0"/>
                    <w:rPr>
                      <w:rFonts w:hint="default"/>
                      <w:sz w:val="24"/>
                      <w:szCs w:val="24"/>
                    </w:rPr>
                  </w:pPr>
                </w:p>
              </w:tc>
              <w:tc>
                <w:tcPr>
                  <w:tcW w:w="376" w:type="dxa"/>
                  <w:vMerge w:val="continue"/>
                  <w:tcBorders>
                    <w:tl2br w:val="nil"/>
                    <w:tr2bl w:val="nil"/>
                  </w:tcBorders>
                  <w:noWrap w:val="0"/>
                  <w:vAlign w:val="top"/>
                </w:tcPr>
                <w:p w14:paraId="0E00CF31">
                  <w:pPr>
                    <w:spacing w:beforeLines="0" w:afterLines="0"/>
                    <w:rPr>
                      <w:rFonts w:hint="default"/>
                      <w:sz w:val="24"/>
                      <w:szCs w:val="24"/>
                    </w:rPr>
                  </w:pPr>
                </w:p>
              </w:tc>
              <w:tc>
                <w:tcPr>
                  <w:tcW w:w="427" w:type="dxa"/>
                  <w:vMerge w:val="continue"/>
                  <w:tcBorders>
                    <w:tl2br w:val="nil"/>
                    <w:tr2bl w:val="nil"/>
                  </w:tcBorders>
                  <w:noWrap w:val="0"/>
                  <w:vAlign w:val="top"/>
                </w:tcPr>
                <w:p w14:paraId="79CEC68E">
                  <w:pPr>
                    <w:spacing w:beforeLines="0" w:afterLines="0" w:line="175" w:lineRule="exact"/>
                    <w:rPr>
                      <w:rFonts w:hint="default"/>
                      <w:sz w:val="24"/>
                      <w:szCs w:val="24"/>
                    </w:rPr>
                  </w:pPr>
                </w:p>
              </w:tc>
              <w:tc>
                <w:tcPr>
                  <w:tcW w:w="434" w:type="dxa"/>
                  <w:vMerge w:val="continue"/>
                  <w:tcBorders>
                    <w:tl2br w:val="nil"/>
                    <w:tr2bl w:val="nil"/>
                  </w:tcBorders>
                  <w:noWrap w:val="0"/>
                  <w:vAlign w:val="top"/>
                </w:tcPr>
                <w:p w14:paraId="2374F4DF">
                  <w:pPr>
                    <w:spacing w:beforeLines="0" w:afterLines="0" w:line="175" w:lineRule="exact"/>
                    <w:rPr>
                      <w:rFonts w:hint="default"/>
                      <w:sz w:val="24"/>
                      <w:szCs w:val="24"/>
                    </w:rPr>
                  </w:pPr>
                </w:p>
              </w:tc>
              <w:tc>
                <w:tcPr>
                  <w:tcW w:w="432" w:type="dxa"/>
                  <w:vMerge w:val="continue"/>
                  <w:tcBorders>
                    <w:tl2br w:val="nil"/>
                    <w:tr2bl w:val="nil"/>
                  </w:tcBorders>
                  <w:noWrap w:val="0"/>
                  <w:vAlign w:val="top"/>
                </w:tcPr>
                <w:p w14:paraId="5B45E5F8">
                  <w:pPr>
                    <w:spacing w:beforeLines="0" w:afterLines="0" w:line="175" w:lineRule="exact"/>
                    <w:rPr>
                      <w:rFonts w:hint="default"/>
                      <w:sz w:val="24"/>
                      <w:szCs w:val="24"/>
                    </w:rPr>
                  </w:pPr>
                </w:p>
              </w:tc>
              <w:tc>
                <w:tcPr>
                  <w:tcW w:w="422" w:type="dxa"/>
                  <w:vMerge w:val="continue"/>
                  <w:tcBorders>
                    <w:tl2br w:val="nil"/>
                    <w:tr2bl w:val="nil"/>
                  </w:tcBorders>
                  <w:noWrap w:val="0"/>
                  <w:vAlign w:val="top"/>
                </w:tcPr>
                <w:p w14:paraId="2E7A77F9">
                  <w:pPr>
                    <w:spacing w:beforeLines="0" w:afterLines="0" w:line="175" w:lineRule="exact"/>
                    <w:rPr>
                      <w:rFonts w:hint="default"/>
                      <w:sz w:val="24"/>
                      <w:szCs w:val="24"/>
                    </w:rPr>
                  </w:pPr>
                </w:p>
              </w:tc>
              <w:tc>
                <w:tcPr>
                  <w:tcW w:w="432" w:type="dxa"/>
                  <w:vMerge w:val="continue"/>
                  <w:tcBorders>
                    <w:tl2br w:val="nil"/>
                    <w:tr2bl w:val="nil"/>
                  </w:tcBorders>
                  <w:noWrap w:val="0"/>
                  <w:vAlign w:val="top"/>
                </w:tcPr>
                <w:p w14:paraId="74C3C743">
                  <w:pPr>
                    <w:spacing w:beforeLines="0" w:afterLines="0" w:line="175" w:lineRule="exact"/>
                    <w:rPr>
                      <w:rFonts w:hint="default"/>
                      <w:sz w:val="24"/>
                      <w:szCs w:val="24"/>
                    </w:rPr>
                  </w:pPr>
                </w:p>
              </w:tc>
              <w:tc>
                <w:tcPr>
                  <w:tcW w:w="399" w:type="dxa"/>
                  <w:vMerge w:val="continue"/>
                  <w:tcBorders>
                    <w:tl2br w:val="nil"/>
                    <w:tr2bl w:val="nil"/>
                  </w:tcBorders>
                  <w:noWrap w:val="0"/>
                  <w:vAlign w:val="top"/>
                </w:tcPr>
                <w:p w14:paraId="7222E81A">
                  <w:pPr>
                    <w:spacing w:beforeLines="0" w:afterLines="0"/>
                    <w:rPr>
                      <w:rFonts w:hint="default"/>
                      <w:sz w:val="24"/>
                      <w:szCs w:val="24"/>
                    </w:rPr>
                  </w:pPr>
                </w:p>
              </w:tc>
              <w:tc>
                <w:tcPr>
                  <w:tcW w:w="467" w:type="dxa"/>
                  <w:gridSpan w:val="2"/>
                  <w:vMerge w:val="continue"/>
                  <w:tcBorders>
                    <w:tl2br w:val="nil"/>
                    <w:tr2bl w:val="nil"/>
                  </w:tcBorders>
                  <w:noWrap w:val="0"/>
                  <w:vAlign w:val="top"/>
                </w:tcPr>
                <w:p w14:paraId="5D378739">
                  <w:pPr>
                    <w:spacing w:beforeLines="0" w:afterLines="0"/>
                    <w:rPr>
                      <w:rFonts w:hint="default"/>
                      <w:sz w:val="24"/>
                      <w:szCs w:val="24"/>
                    </w:rPr>
                  </w:pPr>
                </w:p>
              </w:tc>
            </w:tr>
            <w:tr w14:paraId="43BDCA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1" w:type="dxa"/>
                  <w:vMerge w:val="restart"/>
                  <w:tcBorders>
                    <w:tl2br w:val="nil"/>
                    <w:tr2bl w:val="nil"/>
                  </w:tcBorders>
                  <w:noWrap w:val="0"/>
                  <w:vAlign w:val="center"/>
                </w:tcPr>
                <w:p w14:paraId="74FDA6D0">
                  <w:pPr>
                    <w:adjustRightInd w:val="0"/>
                    <w:snapToGrid w:val="0"/>
                    <w:jc w:val="center"/>
                    <w:rPr>
                      <w:rFonts w:hint="eastAsia" w:ascii="Times New Roman" w:hAnsi="Times New Roman" w:eastAsia="宋体" w:cs="Times New Roman"/>
                      <w:bCs/>
                      <w:sz w:val="24"/>
                      <w:szCs w:val="24"/>
                      <w:lang w:val="en-US" w:eastAsia="zh-CN"/>
                    </w:rPr>
                  </w:pPr>
                  <w:r>
                    <w:rPr>
                      <w:rFonts w:hint="eastAsia" w:cs="Times New Roman"/>
                      <w:bCs/>
                      <w:sz w:val="24"/>
                      <w:szCs w:val="24"/>
                      <w:lang w:val="en-US" w:eastAsia="zh-CN"/>
                    </w:rPr>
                    <w:t>6</w:t>
                  </w:r>
                </w:p>
              </w:tc>
              <w:tc>
                <w:tcPr>
                  <w:tcW w:w="1936" w:type="dxa"/>
                  <w:vMerge w:val="restart"/>
                  <w:tcBorders>
                    <w:tl2br w:val="nil"/>
                    <w:tr2bl w:val="nil"/>
                  </w:tcBorders>
                  <w:noWrap w:val="0"/>
                  <w:vAlign w:val="center"/>
                </w:tcPr>
                <w:p w14:paraId="16C1EB1E">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面层施工</w:t>
                  </w:r>
                </w:p>
              </w:tc>
              <w:tc>
                <w:tcPr>
                  <w:tcW w:w="383" w:type="dxa"/>
                  <w:vMerge w:val="restart"/>
                  <w:tcBorders>
                    <w:tl2br w:val="nil"/>
                    <w:tr2bl w:val="nil"/>
                  </w:tcBorders>
                  <w:noWrap w:val="0"/>
                  <w:vAlign w:val="top"/>
                </w:tcPr>
                <w:p w14:paraId="5E4AA96C">
                  <w:pPr>
                    <w:spacing w:beforeLines="0" w:afterLines="0"/>
                    <w:rPr>
                      <w:rFonts w:hint="default"/>
                      <w:sz w:val="24"/>
                      <w:szCs w:val="24"/>
                    </w:rPr>
                  </w:pPr>
                </w:p>
              </w:tc>
              <w:tc>
                <w:tcPr>
                  <w:tcW w:w="381" w:type="dxa"/>
                  <w:vMerge w:val="restart"/>
                  <w:tcBorders>
                    <w:tl2br w:val="nil"/>
                    <w:tr2bl w:val="nil"/>
                  </w:tcBorders>
                  <w:noWrap w:val="0"/>
                  <w:vAlign w:val="top"/>
                </w:tcPr>
                <w:p w14:paraId="6984922E">
                  <w:pPr>
                    <w:spacing w:beforeLines="0" w:afterLines="0"/>
                    <w:rPr>
                      <w:rFonts w:hint="default"/>
                      <w:sz w:val="24"/>
                      <w:szCs w:val="24"/>
                    </w:rPr>
                  </w:pPr>
                </w:p>
              </w:tc>
              <w:tc>
                <w:tcPr>
                  <w:tcW w:w="383" w:type="dxa"/>
                  <w:vMerge w:val="restart"/>
                  <w:tcBorders>
                    <w:tl2br w:val="nil"/>
                    <w:tr2bl w:val="nil"/>
                  </w:tcBorders>
                  <w:noWrap w:val="0"/>
                  <w:vAlign w:val="top"/>
                </w:tcPr>
                <w:p w14:paraId="48C029B3">
                  <w:pPr>
                    <w:spacing w:beforeLines="0" w:afterLines="0"/>
                    <w:rPr>
                      <w:rFonts w:hint="default"/>
                      <w:sz w:val="24"/>
                      <w:szCs w:val="24"/>
                    </w:rPr>
                  </w:pPr>
                </w:p>
              </w:tc>
              <w:tc>
                <w:tcPr>
                  <w:tcW w:w="381" w:type="dxa"/>
                  <w:vMerge w:val="restart"/>
                  <w:tcBorders>
                    <w:tl2br w:val="nil"/>
                    <w:tr2bl w:val="nil"/>
                  </w:tcBorders>
                  <w:noWrap w:val="0"/>
                  <w:vAlign w:val="top"/>
                </w:tcPr>
                <w:p w14:paraId="64F392FC">
                  <w:pPr>
                    <w:spacing w:beforeLines="0" w:afterLines="0"/>
                    <w:rPr>
                      <w:rFonts w:hint="default"/>
                      <w:sz w:val="24"/>
                      <w:szCs w:val="24"/>
                    </w:rPr>
                  </w:pPr>
                </w:p>
              </w:tc>
              <w:tc>
                <w:tcPr>
                  <w:tcW w:w="384" w:type="dxa"/>
                  <w:vMerge w:val="restart"/>
                  <w:tcBorders>
                    <w:tl2br w:val="nil"/>
                    <w:tr2bl w:val="nil"/>
                  </w:tcBorders>
                  <w:noWrap w:val="0"/>
                  <w:vAlign w:val="top"/>
                </w:tcPr>
                <w:p w14:paraId="257966AA">
                  <w:pPr>
                    <w:spacing w:beforeLines="0" w:afterLines="0"/>
                    <w:rPr>
                      <w:rFonts w:hint="default"/>
                      <w:sz w:val="24"/>
                      <w:szCs w:val="24"/>
                    </w:rPr>
                  </w:pPr>
                </w:p>
              </w:tc>
              <w:tc>
                <w:tcPr>
                  <w:tcW w:w="394" w:type="dxa"/>
                  <w:vMerge w:val="restart"/>
                  <w:tcBorders>
                    <w:tl2br w:val="nil"/>
                    <w:tr2bl w:val="nil"/>
                  </w:tcBorders>
                  <w:noWrap w:val="0"/>
                  <w:vAlign w:val="top"/>
                </w:tcPr>
                <w:p w14:paraId="1640F860">
                  <w:pPr>
                    <w:spacing w:beforeLines="0" w:afterLines="0"/>
                    <w:rPr>
                      <w:rFonts w:hint="default"/>
                      <w:sz w:val="24"/>
                      <w:szCs w:val="24"/>
                    </w:rPr>
                  </w:pPr>
                </w:p>
              </w:tc>
              <w:tc>
                <w:tcPr>
                  <w:tcW w:w="371" w:type="dxa"/>
                  <w:vMerge w:val="restart"/>
                  <w:tcBorders>
                    <w:tl2br w:val="nil"/>
                    <w:tr2bl w:val="nil"/>
                  </w:tcBorders>
                  <w:noWrap w:val="0"/>
                  <w:vAlign w:val="top"/>
                </w:tcPr>
                <w:p w14:paraId="33D4FBC7">
                  <w:pPr>
                    <w:spacing w:beforeLines="0" w:afterLines="0"/>
                    <w:rPr>
                      <w:rFonts w:hint="default"/>
                      <w:sz w:val="24"/>
                      <w:szCs w:val="24"/>
                    </w:rPr>
                  </w:pPr>
                </w:p>
              </w:tc>
              <w:tc>
                <w:tcPr>
                  <w:tcW w:w="389" w:type="dxa"/>
                  <w:vMerge w:val="restart"/>
                  <w:tcBorders>
                    <w:tl2br w:val="nil"/>
                    <w:tr2bl w:val="nil"/>
                  </w:tcBorders>
                  <w:noWrap w:val="0"/>
                  <w:vAlign w:val="top"/>
                </w:tcPr>
                <w:p w14:paraId="15ADAFA1">
                  <w:pPr>
                    <w:spacing w:beforeLines="0" w:afterLines="0"/>
                    <w:rPr>
                      <w:rFonts w:hint="default"/>
                      <w:sz w:val="24"/>
                      <w:szCs w:val="24"/>
                    </w:rPr>
                  </w:pPr>
                </w:p>
              </w:tc>
              <w:tc>
                <w:tcPr>
                  <w:tcW w:w="376" w:type="dxa"/>
                  <w:vMerge w:val="restart"/>
                  <w:tcBorders>
                    <w:tl2br w:val="nil"/>
                    <w:tr2bl w:val="nil"/>
                  </w:tcBorders>
                  <w:noWrap w:val="0"/>
                  <w:vAlign w:val="top"/>
                </w:tcPr>
                <w:p w14:paraId="1BE0A31C">
                  <w:pPr>
                    <w:spacing w:beforeLines="0" w:afterLines="0"/>
                    <w:rPr>
                      <w:rFonts w:hint="default"/>
                      <w:sz w:val="24"/>
                      <w:szCs w:val="24"/>
                    </w:rPr>
                  </w:pPr>
                </w:p>
              </w:tc>
              <w:tc>
                <w:tcPr>
                  <w:tcW w:w="427" w:type="dxa"/>
                  <w:vMerge w:val="restart"/>
                  <w:tcBorders>
                    <w:tl2br w:val="nil"/>
                    <w:tr2bl w:val="nil"/>
                  </w:tcBorders>
                  <w:noWrap w:val="0"/>
                  <w:vAlign w:val="top"/>
                </w:tcPr>
                <w:p w14:paraId="32864A5C">
                  <w:pPr>
                    <w:spacing w:beforeLines="0" w:afterLines="0"/>
                    <w:rPr>
                      <w:rFonts w:hint="default"/>
                      <w:sz w:val="24"/>
                      <w:szCs w:val="24"/>
                    </w:rPr>
                  </w:pPr>
                </w:p>
              </w:tc>
              <w:tc>
                <w:tcPr>
                  <w:tcW w:w="434" w:type="dxa"/>
                  <w:vMerge w:val="restart"/>
                  <w:tcBorders>
                    <w:tl2br w:val="nil"/>
                    <w:tr2bl w:val="nil"/>
                  </w:tcBorders>
                  <w:noWrap w:val="0"/>
                  <w:vAlign w:val="top"/>
                </w:tcPr>
                <w:p w14:paraId="3AB67D99">
                  <w:pPr>
                    <w:spacing w:beforeLines="0" w:afterLines="0"/>
                    <w:rPr>
                      <w:rFonts w:hint="default"/>
                      <w:sz w:val="24"/>
                      <w:szCs w:val="24"/>
                    </w:rPr>
                  </w:pPr>
                </w:p>
              </w:tc>
              <w:tc>
                <w:tcPr>
                  <w:tcW w:w="432" w:type="dxa"/>
                  <w:vMerge w:val="restart"/>
                  <w:tcBorders>
                    <w:tl2br w:val="nil"/>
                    <w:tr2bl w:val="nil"/>
                  </w:tcBorders>
                  <w:noWrap w:val="0"/>
                  <w:vAlign w:val="top"/>
                </w:tcPr>
                <w:p w14:paraId="69445576">
                  <w:pPr>
                    <w:spacing w:beforeLines="0" w:afterLines="0"/>
                    <w:rPr>
                      <w:rFonts w:hint="default"/>
                      <w:sz w:val="24"/>
                      <w:szCs w:val="24"/>
                    </w:rPr>
                  </w:pPr>
                </w:p>
              </w:tc>
              <w:tc>
                <w:tcPr>
                  <w:tcW w:w="422" w:type="dxa"/>
                  <w:vMerge w:val="restart"/>
                  <w:tcBorders>
                    <w:tl2br w:val="nil"/>
                    <w:tr2bl w:val="nil"/>
                  </w:tcBorders>
                  <w:noWrap w:val="0"/>
                  <w:vAlign w:val="top"/>
                </w:tcPr>
                <w:p w14:paraId="32D30699">
                  <w:pPr>
                    <w:spacing w:beforeLines="0" w:afterLines="0" w:line="160" w:lineRule="exact"/>
                    <w:rPr>
                      <w:rFonts w:hint="default"/>
                      <w:sz w:val="24"/>
                      <w:szCs w:val="24"/>
                    </w:rPr>
                  </w:pPr>
                  <w:r>
                    <w:rPr>
                      <w:sz w:val="24"/>
                      <w:szCs w:val="24"/>
                    </w:rPr>
                    <mc:AlternateContent>
                      <mc:Choice Requires="wps">
                        <w:drawing>
                          <wp:anchor distT="0" distB="0" distL="114300" distR="114300" simplePos="0" relativeHeight="251665408" behindDoc="0" locked="0" layoutInCell="1" allowOverlap="1">
                            <wp:simplePos x="0" y="0"/>
                            <wp:positionH relativeFrom="column">
                              <wp:posOffset>6985</wp:posOffset>
                            </wp:positionH>
                            <wp:positionV relativeFrom="paragraph">
                              <wp:posOffset>113030</wp:posOffset>
                            </wp:positionV>
                            <wp:extent cx="789305" cy="3175"/>
                            <wp:effectExtent l="0" t="15875" r="10795" b="19050"/>
                            <wp:wrapNone/>
                            <wp:docPr id="70" name="直接连接符 70"/>
                            <wp:cNvGraphicFramePr/>
                            <a:graphic xmlns:a="http://schemas.openxmlformats.org/drawingml/2006/main">
                              <a:graphicData uri="http://schemas.microsoft.com/office/word/2010/wordprocessingShape">
                                <wps:wsp>
                                  <wps:cNvCnPr/>
                                  <wps:spPr>
                                    <a:xfrm flipV="1">
                                      <a:off x="0" y="0"/>
                                      <a:ext cx="789305" cy="3175"/>
                                    </a:xfrm>
                                    <a:prstGeom prst="line">
                                      <a:avLst/>
                                    </a:prstGeom>
                                    <a:ln w="317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55pt;margin-top:8.9pt;height:0.25pt;width:62.15pt;z-index:251665408;mso-width-relative:page;mso-height-relative:page;" filled="f" stroked="t" coordsize="21600,21600" o:gfxdata="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1DnC&#10;1QAAAAcBAAAPAAAAAAAAAAEAIAAAACIAAABkcnMvZG93bnJldi54bWxQSwECFAAUAAAACACHTuJA&#10;9iLjWOsBAADAAwAADgAAAAAAAAABACAAAAAkAQAAZHJzL2Uyb0RvYy54bWxQSwUGAAAAAAYABgBZ&#10;AQAAgQUAAAAA&#10;">
                            <v:fill on="f" focussize="0,0"/>
                            <v:stroke weight="2.5pt" color="#000000 [3213]" miterlimit="8" joinstyle="miter"/>
                            <v:imagedata o:title=""/>
                            <o:lock v:ext="edit" aspectratio="f"/>
                          </v:line>
                        </w:pict>
                      </mc:Fallback>
                    </mc:AlternateContent>
                  </w:r>
                </w:p>
              </w:tc>
              <w:tc>
                <w:tcPr>
                  <w:tcW w:w="432" w:type="dxa"/>
                  <w:vMerge w:val="restart"/>
                  <w:tcBorders>
                    <w:tl2br w:val="nil"/>
                    <w:tr2bl w:val="nil"/>
                  </w:tcBorders>
                  <w:noWrap w:val="0"/>
                  <w:vAlign w:val="top"/>
                </w:tcPr>
                <w:p w14:paraId="4272BA85">
                  <w:pPr>
                    <w:spacing w:beforeLines="0" w:afterLines="0" w:line="160" w:lineRule="exact"/>
                    <w:rPr>
                      <w:rFonts w:hint="default"/>
                      <w:sz w:val="24"/>
                      <w:szCs w:val="24"/>
                    </w:rPr>
                  </w:pPr>
                </w:p>
              </w:tc>
              <w:tc>
                <w:tcPr>
                  <w:tcW w:w="399" w:type="dxa"/>
                  <w:vMerge w:val="restart"/>
                  <w:tcBorders>
                    <w:tl2br w:val="nil"/>
                    <w:tr2bl w:val="nil"/>
                  </w:tcBorders>
                  <w:noWrap w:val="0"/>
                  <w:vAlign w:val="top"/>
                </w:tcPr>
                <w:p w14:paraId="39241B84">
                  <w:pPr>
                    <w:spacing w:beforeLines="0" w:afterLines="0" w:line="160" w:lineRule="exact"/>
                    <w:rPr>
                      <w:rFonts w:hint="default"/>
                      <w:sz w:val="24"/>
                      <w:szCs w:val="24"/>
                    </w:rPr>
                  </w:pPr>
                </w:p>
              </w:tc>
              <w:tc>
                <w:tcPr>
                  <w:tcW w:w="467" w:type="dxa"/>
                  <w:gridSpan w:val="2"/>
                  <w:vMerge w:val="restart"/>
                  <w:tcBorders>
                    <w:tl2br w:val="nil"/>
                    <w:tr2bl w:val="nil"/>
                  </w:tcBorders>
                  <w:noWrap w:val="0"/>
                  <w:vAlign w:val="top"/>
                </w:tcPr>
                <w:p w14:paraId="32CB1214">
                  <w:pPr>
                    <w:spacing w:beforeLines="0" w:afterLines="0"/>
                    <w:rPr>
                      <w:rFonts w:hint="default"/>
                      <w:sz w:val="24"/>
                      <w:szCs w:val="24"/>
                    </w:rPr>
                  </w:pPr>
                </w:p>
              </w:tc>
            </w:tr>
            <w:tr w14:paraId="36271E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1" w:type="dxa"/>
                  <w:vMerge w:val="continue"/>
                  <w:tcBorders>
                    <w:tl2br w:val="nil"/>
                    <w:tr2bl w:val="nil"/>
                  </w:tcBorders>
                  <w:noWrap w:val="0"/>
                  <w:vAlign w:val="center"/>
                </w:tcPr>
                <w:p w14:paraId="4982BCDD">
                  <w:pPr>
                    <w:adjustRightInd w:val="0"/>
                    <w:snapToGrid w:val="0"/>
                    <w:jc w:val="center"/>
                    <w:rPr>
                      <w:rFonts w:hint="default" w:ascii="Times New Roman" w:hAnsi="Times New Roman" w:eastAsia="宋体" w:cs="Times New Roman"/>
                      <w:bCs/>
                      <w:sz w:val="24"/>
                      <w:szCs w:val="24"/>
                      <w:lang w:val="en-US" w:eastAsia="zh-CN"/>
                    </w:rPr>
                  </w:pPr>
                </w:p>
              </w:tc>
              <w:tc>
                <w:tcPr>
                  <w:tcW w:w="1936" w:type="dxa"/>
                  <w:vMerge w:val="continue"/>
                  <w:tcBorders>
                    <w:tl2br w:val="nil"/>
                    <w:tr2bl w:val="nil"/>
                  </w:tcBorders>
                  <w:noWrap w:val="0"/>
                  <w:vAlign w:val="center"/>
                </w:tcPr>
                <w:p w14:paraId="5D4075A5">
                  <w:pPr>
                    <w:adjustRightInd w:val="0"/>
                    <w:snapToGrid w:val="0"/>
                    <w:jc w:val="center"/>
                    <w:rPr>
                      <w:rFonts w:hint="default" w:ascii="Times New Roman" w:hAnsi="Times New Roman" w:eastAsia="宋体" w:cs="Times New Roman"/>
                      <w:bCs/>
                      <w:sz w:val="24"/>
                      <w:szCs w:val="24"/>
                      <w:lang w:val="en-US" w:eastAsia="zh-CN"/>
                    </w:rPr>
                  </w:pPr>
                </w:p>
              </w:tc>
              <w:tc>
                <w:tcPr>
                  <w:tcW w:w="383" w:type="dxa"/>
                  <w:vMerge w:val="continue"/>
                  <w:tcBorders>
                    <w:tl2br w:val="nil"/>
                    <w:tr2bl w:val="nil"/>
                  </w:tcBorders>
                  <w:noWrap w:val="0"/>
                  <w:vAlign w:val="top"/>
                </w:tcPr>
                <w:p w14:paraId="1FAA1EA7">
                  <w:pPr>
                    <w:spacing w:beforeLines="0" w:afterLines="0"/>
                    <w:rPr>
                      <w:rFonts w:hint="default"/>
                      <w:sz w:val="24"/>
                      <w:szCs w:val="24"/>
                    </w:rPr>
                  </w:pPr>
                </w:p>
              </w:tc>
              <w:tc>
                <w:tcPr>
                  <w:tcW w:w="381" w:type="dxa"/>
                  <w:vMerge w:val="continue"/>
                  <w:tcBorders>
                    <w:tl2br w:val="nil"/>
                    <w:tr2bl w:val="nil"/>
                  </w:tcBorders>
                  <w:noWrap w:val="0"/>
                  <w:vAlign w:val="top"/>
                </w:tcPr>
                <w:p w14:paraId="1852EE8D">
                  <w:pPr>
                    <w:spacing w:beforeLines="0" w:afterLines="0"/>
                    <w:rPr>
                      <w:rFonts w:hint="default"/>
                      <w:sz w:val="24"/>
                      <w:szCs w:val="24"/>
                    </w:rPr>
                  </w:pPr>
                </w:p>
              </w:tc>
              <w:tc>
                <w:tcPr>
                  <w:tcW w:w="383" w:type="dxa"/>
                  <w:vMerge w:val="continue"/>
                  <w:tcBorders>
                    <w:tl2br w:val="nil"/>
                    <w:tr2bl w:val="nil"/>
                  </w:tcBorders>
                  <w:noWrap w:val="0"/>
                  <w:vAlign w:val="top"/>
                </w:tcPr>
                <w:p w14:paraId="6CDFCB34">
                  <w:pPr>
                    <w:spacing w:beforeLines="0" w:afterLines="0"/>
                    <w:rPr>
                      <w:rFonts w:hint="default"/>
                      <w:sz w:val="24"/>
                      <w:szCs w:val="24"/>
                    </w:rPr>
                  </w:pPr>
                </w:p>
              </w:tc>
              <w:tc>
                <w:tcPr>
                  <w:tcW w:w="381" w:type="dxa"/>
                  <w:vMerge w:val="continue"/>
                  <w:tcBorders>
                    <w:tl2br w:val="nil"/>
                    <w:tr2bl w:val="nil"/>
                  </w:tcBorders>
                  <w:noWrap w:val="0"/>
                  <w:vAlign w:val="top"/>
                </w:tcPr>
                <w:p w14:paraId="7B2CB1BB">
                  <w:pPr>
                    <w:spacing w:beforeLines="0" w:afterLines="0"/>
                    <w:rPr>
                      <w:rFonts w:hint="default"/>
                      <w:sz w:val="24"/>
                      <w:szCs w:val="24"/>
                    </w:rPr>
                  </w:pPr>
                </w:p>
              </w:tc>
              <w:tc>
                <w:tcPr>
                  <w:tcW w:w="384" w:type="dxa"/>
                  <w:vMerge w:val="continue"/>
                  <w:tcBorders>
                    <w:tl2br w:val="nil"/>
                    <w:tr2bl w:val="nil"/>
                  </w:tcBorders>
                  <w:noWrap w:val="0"/>
                  <w:vAlign w:val="top"/>
                </w:tcPr>
                <w:p w14:paraId="34CF785A">
                  <w:pPr>
                    <w:spacing w:beforeLines="0" w:afterLines="0"/>
                    <w:rPr>
                      <w:rFonts w:hint="default"/>
                      <w:sz w:val="24"/>
                      <w:szCs w:val="24"/>
                    </w:rPr>
                  </w:pPr>
                </w:p>
              </w:tc>
              <w:tc>
                <w:tcPr>
                  <w:tcW w:w="394" w:type="dxa"/>
                  <w:vMerge w:val="continue"/>
                  <w:tcBorders>
                    <w:tl2br w:val="nil"/>
                    <w:tr2bl w:val="nil"/>
                  </w:tcBorders>
                  <w:noWrap w:val="0"/>
                  <w:vAlign w:val="top"/>
                </w:tcPr>
                <w:p w14:paraId="3E0231A0">
                  <w:pPr>
                    <w:spacing w:beforeLines="0" w:afterLines="0"/>
                    <w:rPr>
                      <w:rFonts w:hint="default"/>
                      <w:sz w:val="24"/>
                      <w:szCs w:val="24"/>
                    </w:rPr>
                  </w:pPr>
                </w:p>
              </w:tc>
              <w:tc>
                <w:tcPr>
                  <w:tcW w:w="371" w:type="dxa"/>
                  <w:vMerge w:val="continue"/>
                  <w:tcBorders>
                    <w:tl2br w:val="nil"/>
                    <w:tr2bl w:val="nil"/>
                  </w:tcBorders>
                  <w:noWrap w:val="0"/>
                  <w:vAlign w:val="top"/>
                </w:tcPr>
                <w:p w14:paraId="640F7759">
                  <w:pPr>
                    <w:spacing w:beforeLines="0" w:afterLines="0"/>
                    <w:rPr>
                      <w:rFonts w:hint="default"/>
                      <w:sz w:val="24"/>
                      <w:szCs w:val="24"/>
                    </w:rPr>
                  </w:pPr>
                </w:p>
              </w:tc>
              <w:tc>
                <w:tcPr>
                  <w:tcW w:w="389" w:type="dxa"/>
                  <w:vMerge w:val="continue"/>
                  <w:tcBorders>
                    <w:tl2br w:val="nil"/>
                    <w:tr2bl w:val="nil"/>
                  </w:tcBorders>
                  <w:noWrap w:val="0"/>
                  <w:vAlign w:val="top"/>
                </w:tcPr>
                <w:p w14:paraId="4F9D8789">
                  <w:pPr>
                    <w:spacing w:beforeLines="0" w:afterLines="0"/>
                    <w:rPr>
                      <w:rFonts w:hint="default"/>
                      <w:sz w:val="24"/>
                      <w:szCs w:val="24"/>
                    </w:rPr>
                  </w:pPr>
                </w:p>
              </w:tc>
              <w:tc>
                <w:tcPr>
                  <w:tcW w:w="376" w:type="dxa"/>
                  <w:vMerge w:val="continue"/>
                  <w:tcBorders>
                    <w:tl2br w:val="nil"/>
                    <w:tr2bl w:val="nil"/>
                  </w:tcBorders>
                  <w:noWrap w:val="0"/>
                  <w:vAlign w:val="top"/>
                </w:tcPr>
                <w:p w14:paraId="498A2444">
                  <w:pPr>
                    <w:spacing w:beforeLines="0" w:afterLines="0"/>
                    <w:rPr>
                      <w:rFonts w:hint="default"/>
                      <w:sz w:val="24"/>
                      <w:szCs w:val="24"/>
                    </w:rPr>
                  </w:pPr>
                </w:p>
              </w:tc>
              <w:tc>
                <w:tcPr>
                  <w:tcW w:w="427" w:type="dxa"/>
                  <w:vMerge w:val="continue"/>
                  <w:tcBorders>
                    <w:tl2br w:val="nil"/>
                    <w:tr2bl w:val="nil"/>
                  </w:tcBorders>
                  <w:noWrap w:val="0"/>
                  <w:vAlign w:val="top"/>
                </w:tcPr>
                <w:p w14:paraId="4FE46977">
                  <w:pPr>
                    <w:spacing w:beforeLines="0" w:afterLines="0"/>
                    <w:rPr>
                      <w:rFonts w:hint="default"/>
                      <w:sz w:val="24"/>
                      <w:szCs w:val="24"/>
                    </w:rPr>
                  </w:pPr>
                </w:p>
              </w:tc>
              <w:tc>
                <w:tcPr>
                  <w:tcW w:w="434" w:type="dxa"/>
                  <w:vMerge w:val="continue"/>
                  <w:tcBorders>
                    <w:tl2br w:val="nil"/>
                    <w:tr2bl w:val="nil"/>
                  </w:tcBorders>
                  <w:noWrap w:val="0"/>
                  <w:vAlign w:val="top"/>
                </w:tcPr>
                <w:p w14:paraId="1B39877B">
                  <w:pPr>
                    <w:spacing w:beforeLines="0" w:afterLines="0"/>
                    <w:rPr>
                      <w:rFonts w:hint="default"/>
                      <w:sz w:val="24"/>
                      <w:szCs w:val="24"/>
                    </w:rPr>
                  </w:pPr>
                </w:p>
              </w:tc>
              <w:tc>
                <w:tcPr>
                  <w:tcW w:w="432" w:type="dxa"/>
                  <w:vMerge w:val="continue"/>
                  <w:tcBorders>
                    <w:tl2br w:val="nil"/>
                    <w:tr2bl w:val="nil"/>
                  </w:tcBorders>
                  <w:noWrap w:val="0"/>
                  <w:vAlign w:val="top"/>
                </w:tcPr>
                <w:p w14:paraId="51304619">
                  <w:pPr>
                    <w:spacing w:beforeLines="0" w:afterLines="0"/>
                    <w:rPr>
                      <w:rFonts w:hint="default"/>
                      <w:sz w:val="24"/>
                      <w:szCs w:val="24"/>
                    </w:rPr>
                  </w:pPr>
                </w:p>
              </w:tc>
              <w:tc>
                <w:tcPr>
                  <w:tcW w:w="422" w:type="dxa"/>
                  <w:vMerge w:val="continue"/>
                  <w:tcBorders>
                    <w:tl2br w:val="nil"/>
                    <w:tr2bl w:val="nil"/>
                  </w:tcBorders>
                  <w:noWrap w:val="0"/>
                  <w:vAlign w:val="top"/>
                </w:tcPr>
                <w:p w14:paraId="75FDA675">
                  <w:pPr>
                    <w:spacing w:beforeLines="0" w:afterLines="0" w:line="149" w:lineRule="exact"/>
                    <w:rPr>
                      <w:rFonts w:hint="default"/>
                      <w:sz w:val="24"/>
                      <w:szCs w:val="24"/>
                    </w:rPr>
                  </w:pPr>
                </w:p>
              </w:tc>
              <w:tc>
                <w:tcPr>
                  <w:tcW w:w="432" w:type="dxa"/>
                  <w:vMerge w:val="continue"/>
                  <w:tcBorders>
                    <w:tl2br w:val="nil"/>
                    <w:tr2bl w:val="nil"/>
                  </w:tcBorders>
                  <w:noWrap w:val="0"/>
                  <w:vAlign w:val="top"/>
                </w:tcPr>
                <w:p w14:paraId="121F9F2C">
                  <w:pPr>
                    <w:spacing w:beforeLines="0" w:afterLines="0" w:line="149" w:lineRule="exact"/>
                    <w:rPr>
                      <w:rFonts w:hint="default"/>
                      <w:sz w:val="24"/>
                      <w:szCs w:val="24"/>
                    </w:rPr>
                  </w:pPr>
                </w:p>
              </w:tc>
              <w:tc>
                <w:tcPr>
                  <w:tcW w:w="399" w:type="dxa"/>
                  <w:vMerge w:val="continue"/>
                  <w:tcBorders>
                    <w:tl2br w:val="nil"/>
                    <w:tr2bl w:val="nil"/>
                  </w:tcBorders>
                  <w:noWrap w:val="0"/>
                  <w:vAlign w:val="top"/>
                </w:tcPr>
                <w:p w14:paraId="3BFAFEC1">
                  <w:pPr>
                    <w:spacing w:beforeLines="0" w:afterLines="0" w:line="149" w:lineRule="exact"/>
                    <w:rPr>
                      <w:rFonts w:hint="default"/>
                      <w:sz w:val="24"/>
                      <w:szCs w:val="24"/>
                    </w:rPr>
                  </w:pPr>
                </w:p>
              </w:tc>
              <w:tc>
                <w:tcPr>
                  <w:tcW w:w="467" w:type="dxa"/>
                  <w:gridSpan w:val="2"/>
                  <w:vMerge w:val="continue"/>
                  <w:tcBorders>
                    <w:tl2br w:val="nil"/>
                    <w:tr2bl w:val="nil"/>
                  </w:tcBorders>
                  <w:noWrap w:val="0"/>
                  <w:vAlign w:val="top"/>
                </w:tcPr>
                <w:p w14:paraId="784804E2">
                  <w:pPr>
                    <w:spacing w:beforeLines="0" w:afterLines="0"/>
                    <w:rPr>
                      <w:rFonts w:hint="default"/>
                      <w:sz w:val="24"/>
                      <w:szCs w:val="24"/>
                    </w:rPr>
                  </w:pPr>
                </w:p>
              </w:tc>
            </w:tr>
            <w:tr w14:paraId="3E8DD5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1" w:type="dxa"/>
                  <w:vMerge w:val="restart"/>
                  <w:tcBorders>
                    <w:tl2br w:val="nil"/>
                    <w:tr2bl w:val="nil"/>
                  </w:tcBorders>
                  <w:noWrap w:val="0"/>
                  <w:vAlign w:val="center"/>
                </w:tcPr>
                <w:p w14:paraId="75051151">
                  <w:pPr>
                    <w:adjustRightInd w:val="0"/>
                    <w:snapToGrid w:val="0"/>
                    <w:jc w:val="center"/>
                    <w:rPr>
                      <w:rFonts w:hint="eastAsia" w:ascii="Times New Roman" w:hAnsi="Times New Roman" w:eastAsia="宋体" w:cs="Times New Roman"/>
                      <w:bCs/>
                      <w:sz w:val="24"/>
                      <w:szCs w:val="24"/>
                      <w:lang w:val="en-US" w:eastAsia="zh-CN"/>
                    </w:rPr>
                  </w:pPr>
                  <w:r>
                    <w:rPr>
                      <w:rFonts w:hint="eastAsia" w:cs="Times New Roman"/>
                      <w:bCs/>
                      <w:sz w:val="24"/>
                      <w:szCs w:val="24"/>
                      <w:lang w:val="en-US" w:eastAsia="zh-CN"/>
                    </w:rPr>
                    <w:t>7</w:t>
                  </w:r>
                </w:p>
              </w:tc>
              <w:tc>
                <w:tcPr>
                  <w:tcW w:w="1936" w:type="dxa"/>
                  <w:vMerge w:val="restart"/>
                  <w:tcBorders>
                    <w:tl2br w:val="nil"/>
                    <w:tr2bl w:val="nil"/>
                  </w:tcBorders>
                  <w:noWrap w:val="0"/>
                  <w:vAlign w:val="center"/>
                </w:tcPr>
                <w:p w14:paraId="45B5DFDA">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疏浚</w:t>
                  </w:r>
                </w:p>
              </w:tc>
              <w:tc>
                <w:tcPr>
                  <w:tcW w:w="383" w:type="dxa"/>
                  <w:vMerge w:val="restart"/>
                  <w:tcBorders>
                    <w:tl2br w:val="nil"/>
                    <w:tr2bl w:val="nil"/>
                  </w:tcBorders>
                  <w:noWrap w:val="0"/>
                  <w:vAlign w:val="top"/>
                </w:tcPr>
                <w:p w14:paraId="09311527">
                  <w:pPr>
                    <w:spacing w:beforeLines="0" w:afterLines="0"/>
                    <w:rPr>
                      <w:rFonts w:hint="default"/>
                      <w:sz w:val="24"/>
                      <w:szCs w:val="24"/>
                    </w:rPr>
                  </w:pPr>
                </w:p>
              </w:tc>
              <w:tc>
                <w:tcPr>
                  <w:tcW w:w="381" w:type="dxa"/>
                  <w:vMerge w:val="restart"/>
                  <w:tcBorders>
                    <w:tl2br w:val="nil"/>
                    <w:tr2bl w:val="nil"/>
                  </w:tcBorders>
                  <w:noWrap w:val="0"/>
                  <w:vAlign w:val="top"/>
                </w:tcPr>
                <w:p w14:paraId="115D14DF">
                  <w:pPr>
                    <w:spacing w:beforeLines="0" w:afterLines="0"/>
                    <w:rPr>
                      <w:rFonts w:hint="default"/>
                      <w:sz w:val="24"/>
                      <w:szCs w:val="24"/>
                    </w:rPr>
                  </w:pPr>
                </w:p>
              </w:tc>
              <w:tc>
                <w:tcPr>
                  <w:tcW w:w="383" w:type="dxa"/>
                  <w:vMerge w:val="restart"/>
                  <w:tcBorders>
                    <w:tl2br w:val="nil"/>
                    <w:tr2bl w:val="nil"/>
                  </w:tcBorders>
                  <w:noWrap w:val="0"/>
                  <w:vAlign w:val="top"/>
                </w:tcPr>
                <w:p w14:paraId="07C57F8B">
                  <w:pPr>
                    <w:spacing w:beforeLines="0" w:afterLines="0"/>
                    <w:rPr>
                      <w:rFonts w:hint="default"/>
                      <w:sz w:val="24"/>
                      <w:szCs w:val="24"/>
                    </w:rPr>
                  </w:pPr>
                </w:p>
              </w:tc>
              <w:tc>
                <w:tcPr>
                  <w:tcW w:w="381" w:type="dxa"/>
                  <w:vMerge w:val="restart"/>
                  <w:tcBorders>
                    <w:tl2br w:val="nil"/>
                    <w:tr2bl w:val="nil"/>
                  </w:tcBorders>
                  <w:noWrap w:val="0"/>
                  <w:vAlign w:val="top"/>
                </w:tcPr>
                <w:p w14:paraId="564C29CC">
                  <w:pPr>
                    <w:spacing w:beforeLines="0" w:afterLines="0"/>
                    <w:rPr>
                      <w:rFonts w:hint="default"/>
                      <w:sz w:val="24"/>
                      <w:szCs w:val="24"/>
                    </w:rPr>
                  </w:pPr>
                </w:p>
              </w:tc>
              <w:tc>
                <w:tcPr>
                  <w:tcW w:w="384" w:type="dxa"/>
                  <w:vMerge w:val="restart"/>
                  <w:tcBorders>
                    <w:tl2br w:val="nil"/>
                    <w:tr2bl w:val="nil"/>
                  </w:tcBorders>
                  <w:noWrap w:val="0"/>
                  <w:vAlign w:val="top"/>
                </w:tcPr>
                <w:p w14:paraId="2EA3BD2B">
                  <w:pPr>
                    <w:spacing w:beforeLines="0" w:afterLines="0"/>
                    <w:rPr>
                      <w:rFonts w:hint="default"/>
                      <w:sz w:val="24"/>
                      <w:szCs w:val="24"/>
                    </w:rPr>
                  </w:pPr>
                </w:p>
              </w:tc>
              <w:tc>
                <w:tcPr>
                  <w:tcW w:w="394" w:type="dxa"/>
                  <w:vMerge w:val="restart"/>
                  <w:tcBorders>
                    <w:tl2br w:val="nil"/>
                    <w:tr2bl w:val="nil"/>
                  </w:tcBorders>
                  <w:noWrap w:val="0"/>
                  <w:vAlign w:val="top"/>
                </w:tcPr>
                <w:p w14:paraId="6592C5E5">
                  <w:pPr>
                    <w:spacing w:beforeLines="0" w:afterLines="0"/>
                    <w:rPr>
                      <w:rFonts w:hint="default"/>
                      <w:sz w:val="24"/>
                      <w:szCs w:val="24"/>
                    </w:rPr>
                  </w:pPr>
                </w:p>
              </w:tc>
              <w:tc>
                <w:tcPr>
                  <w:tcW w:w="371" w:type="dxa"/>
                  <w:vMerge w:val="restart"/>
                  <w:tcBorders>
                    <w:tl2br w:val="nil"/>
                    <w:tr2bl w:val="nil"/>
                  </w:tcBorders>
                  <w:noWrap w:val="0"/>
                  <w:vAlign w:val="top"/>
                </w:tcPr>
                <w:p w14:paraId="4C24E677">
                  <w:pPr>
                    <w:spacing w:beforeLines="0" w:afterLines="0"/>
                    <w:rPr>
                      <w:rFonts w:hint="default"/>
                      <w:sz w:val="24"/>
                      <w:szCs w:val="24"/>
                    </w:rPr>
                  </w:pPr>
                </w:p>
              </w:tc>
              <w:tc>
                <w:tcPr>
                  <w:tcW w:w="389" w:type="dxa"/>
                  <w:vMerge w:val="restart"/>
                  <w:tcBorders>
                    <w:tl2br w:val="nil"/>
                    <w:tr2bl w:val="nil"/>
                  </w:tcBorders>
                  <w:noWrap w:val="0"/>
                  <w:vAlign w:val="top"/>
                </w:tcPr>
                <w:p w14:paraId="49C00DAD">
                  <w:pPr>
                    <w:spacing w:beforeLines="0" w:afterLines="0"/>
                    <w:rPr>
                      <w:rFonts w:hint="default"/>
                      <w:sz w:val="24"/>
                      <w:szCs w:val="24"/>
                    </w:rPr>
                  </w:pPr>
                </w:p>
              </w:tc>
              <w:tc>
                <w:tcPr>
                  <w:tcW w:w="376" w:type="dxa"/>
                  <w:vMerge w:val="restart"/>
                  <w:tcBorders>
                    <w:tl2br w:val="nil"/>
                    <w:tr2bl w:val="nil"/>
                  </w:tcBorders>
                  <w:noWrap w:val="0"/>
                  <w:vAlign w:val="top"/>
                </w:tcPr>
                <w:p w14:paraId="6465C576">
                  <w:pPr>
                    <w:spacing w:beforeLines="0" w:afterLines="0"/>
                    <w:rPr>
                      <w:rFonts w:hint="default"/>
                      <w:sz w:val="24"/>
                      <w:szCs w:val="24"/>
                    </w:rPr>
                  </w:pPr>
                </w:p>
              </w:tc>
              <w:tc>
                <w:tcPr>
                  <w:tcW w:w="427" w:type="dxa"/>
                  <w:vMerge w:val="restart"/>
                  <w:tcBorders>
                    <w:tl2br w:val="nil"/>
                    <w:tr2bl w:val="nil"/>
                  </w:tcBorders>
                  <w:noWrap w:val="0"/>
                  <w:vAlign w:val="top"/>
                </w:tcPr>
                <w:p w14:paraId="7A5AE952">
                  <w:pPr>
                    <w:spacing w:beforeLines="0" w:afterLines="0"/>
                    <w:rPr>
                      <w:rFonts w:hint="default"/>
                      <w:sz w:val="24"/>
                      <w:szCs w:val="24"/>
                    </w:rPr>
                  </w:pPr>
                </w:p>
              </w:tc>
              <w:tc>
                <w:tcPr>
                  <w:tcW w:w="434" w:type="dxa"/>
                  <w:vMerge w:val="restart"/>
                  <w:tcBorders>
                    <w:tl2br w:val="nil"/>
                    <w:tr2bl w:val="nil"/>
                  </w:tcBorders>
                  <w:noWrap w:val="0"/>
                  <w:vAlign w:val="top"/>
                </w:tcPr>
                <w:p w14:paraId="0B954B0F">
                  <w:pPr>
                    <w:spacing w:beforeLines="0" w:afterLines="0"/>
                    <w:rPr>
                      <w:rFonts w:hint="default"/>
                      <w:sz w:val="24"/>
                      <w:szCs w:val="24"/>
                    </w:rPr>
                  </w:pPr>
                </w:p>
              </w:tc>
              <w:tc>
                <w:tcPr>
                  <w:tcW w:w="432" w:type="dxa"/>
                  <w:vMerge w:val="restart"/>
                  <w:tcBorders>
                    <w:tl2br w:val="nil"/>
                    <w:tr2bl w:val="nil"/>
                  </w:tcBorders>
                  <w:noWrap w:val="0"/>
                  <w:vAlign w:val="top"/>
                </w:tcPr>
                <w:p w14:paraId="59005E60">
                  <w:pPr>
                    <w:spacing w:beforeLines="0" w:afterLines="0"/>
                    <w:rPr>
                      <w:rFonts w:hint="default"/>
                      <w:sz w:val="24"/>
                      <w:szCs w:val="24"/>
                    </w:rPr>
                  </w:pPr>
                </w:p>
              </w:tc>
              <w:tc>
                <w:tcPr>
                  <w:tcW w:w="422" w:type="dxa"/>
                  <w:vMerge w:val="restart"/>
                  <w:tcBorders>
                    <w:tl2br w:val="nil"/>
                    <w:tr2bl w:val="nil"/>
                  </w:tcBorders>
                  <w:noWrap w:val="0"/>
                  <w:vAlign w:val="top"/>
                </w:tcPr>
                <w:p w14:paraId="2BEE35E1">
                  <w:pPr>
                    <w:spacing w:beforeLines="0" w:afterLines="0"/>
                    <w:rPr>
                      <w:rFonts w:hint="default"/>
                      <w:sz w:val="24"/>
                      <w:szCs w:val="24"/>
                    </w:rPr>
                  </w:pPr>
                </w:p>
              </w:tc>
              <w:tc>
                <w:tcPr>
                  <w:tcW w:w="432" w:type="dxa"/>
                  <w:vMerge w:val="restart"/>
                  <w:tcBorders>
                    <w:tl2br w:val="nil"/>
                    <w:tr2bl w:val="nil"/>
                  </w:tcBorders>
                  <w:noWrap w:val="0"/>
                  <w:vAlign w:val="top"/>
                </w:tcPr>
                <w:p w14:paraId="69EC4949">
                  <w:pPr>
                    <w:spacing w:beforeLines="0" w:afterLines="0" w:line="167" w:lineRule="exact"/>
                    <w:rPr>
                      <w:rFonts w:hint="default"/>
                      <w:sz w:val="24"/>
                      <w:szCs w:val="24"/>
                    </w:rPr>
                  </w:pPr>
                  <w:r>
                    <w:rPr>
                      <w:sz w:val="24"/>
                      <w:szCs w:val="24"/>
                    </w:rPr>
                    <mc:AlternateContent>
                      <mc:Choice Requires="wps">
                        <w:drawing>
                          <wp:anchor distT="0" distB="0" distL="114300" distR="114300" simplePos="0" relativeHeight="251666432" behindDoc="0" locked="0" layoutInCell="1" allowOverlap="1">
                            <wp:simplePos x="0" y="0"/>
                            <wp:positionH relativeFrom="column">
                              <wp:posOffset>1905</wp:posOffset>
                            </wp:positionH>
                            <wp:positionV relativeFrom="paragraph">
                              <wp:posOffset>260985</wp:posOffset>
                            </wp:positionV>
                            <wp:extent cx="531495" cy="1905"/>
                            <wp:effectExtent l="0" t="15875" r="1905" b="20320"/>
                            <wp:wrapNone/>
                            <wp:docPr id="71" name="直接连接符 71"/>
                            <wp:cNvGraphicFramePr/>
                            <a:graphic xmlns:a="http://schemas.openxmlformats.org/drawingml/2006/main">
                              <a:graphicData uri="http://schemas.microsoft.com/office/word/2010/wordprocessingShape">
                                <wps:wsp>
                                  <wps:cNvCnPr/>
                                  <wps:spPr>
                                    <a:xfrm>
                                      <a:off x="0" y="0"/>
                                      <a:ext cx="531495" cy="1905"/>
                                    </a:xfrm>
                                    <a:prstGeom prst="line">
                                      <a:avLst/>
                                    </a:prstGeom>
                                    <a:ln w="317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15pt;margin-top:20.55pt;height:0.15pt;width:41.85pt;z-index:251666432;mso-width-relative:page;mso-height-relative:page;" filled="f" stroked="t" coordsize="21600,21600" o:gfxdata="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WGYRdMAAAAF&#10;AQAADwAAAAAAAAABACAAAAAiAAAAZHJzL2Rvd25yZXYueG1sUEsBAhQAFAAAAAgAh07iQP6zwobo&#10;AQAAtgMAAA4AAAAAAAAAAQAgAAAAIgEAAGRycy9lMm9Eb2MueG1sUEsFBgAAAAAGAAYAWQEAAHwF&#10;AAAAAA==&#10;">
                            <v:fill on="f" focussize="0,0"/>
                            <v:stroke weight="2.5pt" color="#000000 [3213]" miterlimit="8" joinstyle="miter"/>
                            <v:imagedata o:title=""/>
                            <o:lock v:ext="edit" aspectratio="f"/>
                          </v:line>
                        </w:pict>
                      </mc:Fallback>
                    </mc:AlternateContent>
                  </w:r>
                </w:p>
              </w:tc>
              <w:tc>
                <w:tcPr>
                  <w:tcW w:w="399" w:type="dxa"/>
                  <w:vMerge w:val="restart"/>
                  <w:tcBorders>
                    <w:tl2br w:val="nil"/>
                    <w:tr2bl w:val="nil"/>
                  </w:tcBorders>
                  <w:noWrap w:val="0"/>
                  <w:vAlign w:val="top"/>
                </w:tcPr>
                <w:p w14:paraId="7049BA3B">
                  <w:pPr>
                    <w:spacing w:beforeLines="0" w:afterLines="0" w:line="167" w:lineRule="exact"/>
                    <w:rPr>
                      <w:rFonts w:hint="default"/>
                      <w:sz w:val="24"/>
                      <w:szCs w:val="24"/>
                    </w:rPr>
                  </w:pPr>
                </w:p>
              </w:tc>
              <w:tc>
                <w:tcPr>
                  <w:tcW w:w="467" w:type="dxa"/>
                  <w:gridSpan w:val="2"/>
                  <w:vMerge w:val="restart"/>
                  <w:tcBorders>
                    <w:tl2br w:val="nil"/>
                    <w:tr2bl w:val="nil"/>
                  </w:tcBorders>
                  <w:noWrap w:val="0"/>
                  <w:vAlign w:val="top"/>
                </w:tcPr>
                <w:p w14:paraId="266EC84F">
                  <w:pPr>
                    <w:spacing w:beforeLines="0" w:afterLines="0"/>
                    <w:rPr>
                      <w:rFonts w:hint="default"/>
                      <w:sz w:val="24"/>
                      <w:szCs w:val="24"/>
                    </w:rPr>
                  </w:pPr>
                </w:p>
              </w:tc>
            </w:tr>
            <w:tr w14:paraId="51C8EA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1" w:type="dxa"/>
                  <w:vMerge w:val="continue"/>
                  <w:tcBorders>
                    <w:tl2br w:val="nil"/>
                    <w:tr2bl w:val="nil"/>
                  </w:tcBorders>
                  <w:noWrap w:val="0"/>
                  <w:vAlign w:val="center"/>
                </w:tcPr>
                <w:p w14:paraId="3606BD2F">
                  <w:pPr>
                    <w:adjustRightInd w:val="0"/>
                    <w:snapToGrid w:val="0"/>
                    <w:jc w:val="center"/>
                    <w:rPr>
                      <w:rFonts w:hint="default" w:ascii="Times New Roman" w:hAnsi="Times New Roman" w:eastAsia="宋体" w:cs="Times New Roman"/>
                      <w:bCs/>
                      <w:sz w:val="24"/>
                      <w:szCs w:val="24"/>
                      <w:lang w:val="en-US" w:eastAsia="zh-CN"/>
                    </w:rPr>
                  </w:pPr>
                </w:p>
              </w:tc>
              <w:tc>
                <w:tcPr>
                  <w:tcW w:w="1936" w:type="dxa"/>
                  <w:vMerge w:val="continue"/>
                  <w:tcBorders>
                    <w:tl2br w:val="nil"/>
                    <w:tr2bl w:val="nil"/>
                  </w:tcBorders>
                  <w:noWrap w:val="0"/>
                  <w:vAlign w:val="center"/>
                </w:tcPr>
                <w:p w14:paraId="1BDD3651">
                  <w:pPr>
                    <w:adjustRightInd w:val="0"/>
                    <w:snapToGrid w:val="0"/>
                    <w:jc w:val="center"/>
                    <w:rPr>
                      <w:rFonts w:hint="default" w:ascii="Times New Roman" w:hAnsi="Times New Roman" w:eastAsia="宋体" w:cs="Times New Roman"/>
                      <w:bCs/>
                      <w:sz w:val="24"/>
                      <w:szCs w:val="24"/>
                      <w:lang w:val="en-US" w:eastAsia="zh-CN"/>
                    </w:rPr>
                  </w:pPr>
                </w:p>
              </w:tc>
              <w:tc>
                <w:tcPr>
                  <w:tcW w:w="383" w:type="dxa"/>
                  <w:vMerge w:val="continue"/>
                  <w:tcBorders>
                    <w:tl2br w:val="nil"/>
                    <w:tr2bl w:val="nil"/>
                  </w:tcBorders>
                  <w:noWrap w:val="0"/>
                  <w:vAlign w:val="top"/>
                </w:tcPr>
                <w:p w14:paraId="122BE634">
                  <w:pPr>
                    <w:spacing w:beforeLines="0" w:afterLines="0"/>
                    <w:rPr>
                      <w:rFonts w:hint="default"/>
                      <w:sz w:val="24"/>
                      <w:szCs w:val="24"/>
                    </w:rPr>
                  </w:pPr>
                </w:p>
              </w:tc>
              <w:tc>
                <w:tcPr>
                  <w:tcW w:w="381" w:type="dxa"/>
                  <w:vMerge w:val="continue"/>
                  <w:tcBorders>
                    <w:tl2br w:val="nil"/>
                    <w:tr2bl w:val="nil"/>
                  </w:tcBorders>
                  <w:noWrap w:val="0"/>
                  <w:vAlign w:val="top"/>
                </w:tcPr>
                <w:p w14:paraId="0C1E81BE">
                  <w:pPr>
                    <w:spacing w:beforeLines="0" w:afterLines="0"/>
                    <w:rPr>
                      <w:rFonts w:hint="default"/>
                      <w:sz w:val="24"/>
                      <w:szCs w:val="24"/>
                    </w:rPr>
                  </w:pPr>
                </w:p>
              </w:tc>
              <w:tc>
                <w:tcPr>
                  <w:tcW w:w="383" w:type="dxa"/>
                  <w:vMerge w:val="continue"/>
                  <w:tcBorders>
                    <w:tl2br w:val="nil"/>
                    <w:tr2bl w:val="nil"/>
                  </w:tcBorders>
                  <w:noWrap w:val="0"/>
                  <w:vAlign w:val="top"/>
                </w:tcPr>
                <w:p w14:paraId="4F538D05">
                  <w:pPr>
                    <w:spacing w:beforeLines="0" w:afterLines="0"/>
                    <w:rPr>
                      <w:rFonts w:hint="default"/>
                      <w:sz w:val="24"/>
                      <w:szCs w:val="24"/>
                    </w:rPr>
                  </w:pPr>
                </w:p>
              </w:tc>
              <w:tc>
                <w:tcPr>
                  <w:tcW w:w="381" w:type="dxa"/>
                  <w:vMerge w:val="continue"/>
                  <w:tcBorders>
                    <w:tl2br w:val="nil"/>
                    <w:tr2bl w:val="nil"/>
                  </w:tcBorders>
                  <w:noWrap w:val="0"/>
                  <w:vAlign w:val="top"/>
                </w:tcPr>
                <w:p w14:paraId="30962FBF">
                  <w:pPr>
                    <w:spacing w:beforeLines="0" w:afterLines="0"/>
                    <w:rPr>
                      <w:rFonts w:hint="default"/>
                      <w:sz w:val="24"/>
                      <w:szCs w:val="24"/>
                    </w:rPr>
                  </w:pPr>
                </w:p>
              </w:tc>
              <w:tc>
                <w:tcPr>
                  <w:tcW w:w="384" w:type="dxa"/>
                  <w:vMerge w:val="continue"/>
                  <w:tcBorders>
                    <w:tl2br w:val="nil"/>
                    <w:tr2bl w:val="nil"/>
                  </w:tcBorders>
                  <w:noWrap w:val="0"/>
                  <w:vAlign w:val="top"/>
                </w:tcPr>
                <w:p w14:paraId="493C7967">
                  <w:pPr>
                    <w:spacing w:beforeLines="0" w:afterLines="0"/>
                    <w:rPr>
                      <w:rFonts w:hint="default"/>
                      <w:sz w:val="24"/>
                      <w:szCs w:val="24"/>
                    </w:rPr>
                  </w:pPr>
                </w:p>
              </w:tc>
              <w:tc>
                <w:tcPr>
                  <w:tcW w:w="394" w:type="dxa"/>
                  <w:vMerge w:val="continue"/>
                  <w:tcBorders>
                    <w:tl2br w:val="nil"/>
                    <w:tr2bl w:val="nil"/>
                  </w:tcBorders>
                  <w:noWrap w:val="0"/>
                  <w:vAlign w:val="top"/>
                </w:tcPr>
                <w:p w14:paraId="7E542AEC">
                  <w:pPr>
                    <w:spacing w:beforeLines="0" w:afterLines="0"/>
                    <w:rPr>
                      <w:rFonts w:hint="default"/>
                      <w:sz w:val="24"/>
                      <w:szCs w:val="24"/>
                    </w:rPr>
                  </w:pPr>
                </w:p>
              </w:tc>
              <w:tc>
                <w:tcPr>
                  <w:tcW w:w="371" w:type="dxa"/>
                  <w:vMerge w:val="continue"/>
                  <w:tcBorders>
                    <w:tl2br w:val="nil"/>
                    <w:tr2bl w:val="nil"/>
                  </w:tcBorders>
                  <w:noWrap w:val="0"/>
                  <w:vAlign w:val="top"/>
                </w:tcPr>
                <w:p w14:paraId="45E151DD">
                  <w:pPr>
                    <w:spacing w:beforeLines="0" w:afterLines="0"/>
                    <w:rPr>
                      <w:rFonts w:hint="default"/>
                      <w:sz w:val="24"/>
                      <w:szCs w:val="24"/>
                    </w:rPr>
                  </w:pPr>
                </w:p>
              </w:tc>
              <w:tc>
                <w:tcPr>
                  <w:tcW w:w="389" w:type="dxa"/>
                  <w:vMerge w:val="continue"/>
                  <w:tcBorders>
                    <w:tl2br w:val="nil"/>
                    <w:tr2bl w:val="nil"/>
                  </w:tcBorders>
                  <w:noWrap w:val="0"/>
                  <w:vAlign w:val="top"/>
                </w:tcPr>
                <w:p w14:paraId="5EFFED7B">
                  <w:pPr>
                    <w:spacing w:beforeLines="0" w:afterLines="0"/>
                    <w:rPr>
                      <w:rFonts w:hint="default"/>
                      <w:sz w:val="24"/>
                      <w:szCs w:val="24"/>
                    </w:rPr>
                  </w:pPr>
                </w:p>
              </w:tc>
              <w:tc>
                <w:tcPr>
                  <w:tcW w:w="376" w:type="dxa"/>
                  <w:vMerge w:val="continue"/>
                  <w:tcBorders>
                    <w:tl2br w:val="nil"/>
                    <w:tr2bl w:val="nil"/>
                  </w:tcBorders>
                  <w:noWrap w:val="0"/>
                  <w:vAlign w:val="top"/>
                </w:tcPr>
                <w:p w14:paraId="5EEA5182">
                  <w:pPr>
                    <w:spacing w:beforeLines="0" w:afterLines="0"/>
                    <w:rPr>
                      <w:rFonts w:hint="default"/>
                      <w:sz w:val="24"/>
                      <w:szCs w:val="24"/>
                    </w:rPr>
                  </w:pPr>
                </w:p>
              </w:tc>
              <w:tc>
                <w:tcPr>
                  <w:tcW w:w="427" w:type="dxa"/>
                  <w:vMerge w:val="continue"/>
                  <w:tcBorders>
                    <w:tl2br w:val="nil"/>
                    <w:tr2bl w:val="nil"/>
                  </w:tcBorders>
                  <w:noWrap w:val="0"/>
                  <w:vAlign w:val="top"/>
                </w:tcPr>
                <w:p w14:paraId="2E458D5E">
                  <w:pPr>
                    <w:spacing w:beforeLines="0" w:afterLines="0"/>
                    <w:rPr>
                      <w:rFonts w:hint="default"/>
                      <w:sz w:val="24"/>
                      <w:szCs w:val="24"/>
                    </w:rPr>
                  </w:pPr>
                </w:p>
              </w:tc>
              <w:tc>
                <w:tcPr>
                  <w:tcW w:w="434" w:type="dxa"/>
                  <w:vMerge w:val="continue"/>
                  <w:tcBorders>
                    <w:tl2br w:val="nil"/>
                    <w:tr2bl w:val="nil"/>
                  </w:tcBorders>
                  <w:noWrap w:val="0"/>
                  <w:vAlign w:val="top"/>
                </w:tcPr>
                <w:p w14:paraId="443B5E6C">
                  <w:pPr>
                    <w:spacing w:beforeLines="0" w:afterLines="0"/>
                    <w:rPr>
                      <w:rFonts w:hint="default"/>
                      <w:sz w:val="24"/>
                      <w:szCs w:val="24"/>
                    </w:rPr>
                  </w:pPr>
                </w:p>
              </w:tc>
              <w:tc>
                <w:tcPr>
                  <w:tcW w:w="432" w:type="dxa"/>
                  <w:vMerge w:val="continue"/>
                  <w:tcBorders>
                    <w:tl2br w:val="nil"/>
                    <w:tr2bl w:val="nil"/>
                  </w:tcBorders>
                  <w:noWrap w:val="0"/>
                  <w:vAlign w:val="top"/>
                </w:tcPr>
                <w:p w14:paraId="68B9805B">
                  <w:pPr>
                    <w:spacing w:beforeLines="0" w:afterLines="0"/>
                    <w:rPr>
                      <w:rFonts w:hint="default"/>
                      <w:sz w:val="24"/>
                      <w:szCs w:val="24"/>
                    </w:rPr>
                  </w:pPr>
                </w:p>
              </w:tc>
              <w:tc>
                <w:tcPr>
                  <w:tcW w:w="422" w:type="dxa"/>
                  <w:vMerge w:val="continue"/>
                  <w:tcBorders>
                    <w:tl2br w:val="nil"/>
                    <w:tr2bl w:val="nil"/>
                  </w:tcBorders>
                  <w:noWrap w:val="0"/>
                  <w:vAlign w:val="top"/>
                </w:tcPr>
                <w:p w14:paraId="6D1A9C5F">
                  <w:pPr>
                    <w:spacing w:beforeLines="0" w:afterLines="0"/>
                    <w:rPr>
                      <w:rFonts w:hint="default"/>
                      <w:sz w:val="24"/>
                      <w:szCs w:val="24"/>
                    </w:rPr>
                  </w:pPr>
                </w:p>
              </w:tc>
              <w:tc>
                <w:tcPr>
                  <w:tcW w:w="432" w:type="dxa"/>
                  <w:vMerge w:val="continue"/>
                  <w:tcBorders>
                    <w:tl2br w:val="nil"/>
                    <w:tr2bl w:val="nil"/>
                  </w:tcBorders>
                  <w:noWrap w:val="0"/>
                  <w:vAlign w:val="top"/>
                </w:tcPr>
                <w:p w14:paraId="6970E136">
                  <w:pPr>
                    <w:spacing w:beforeLines="0" w:afterLines="0" w:line="135" w:lineRule="exact"/>
                    <w:rPr>
                      <w:rFonts w:hint="default"/>
                      <w:sz w:val="24"/>
                      <w:szCs w:val="24"/>
                    </w:rPr>
                  </w:pPr>
                </w:p>
              </w:tc>
              <w:tc>
                <w:tcPr>
                  <w:tcW w:w="399" w:type="dxa"/>
                  <w:vMerge w:val="continue"/>
                  <w:tcBorders>
                    <w:tl2br w:val="nil"/>
                    <w:tr2bl w:val="nil"/>
                  </w:tcBorders>
                  <w:noWrap w:val="0"/>
                  <w:vAlign w:val="top"/>
                </w:tcPr>
                <w:p w14:paraId="68C367BF">
                  <w:pPr>
                    <w:spacing w:beforeLines="0" w:afterLines="0" w:line="135" w:lineRule="exact"/>
                    <w:rPr>
                      <w:rFonts w:hint="default"/>
                      <w:sz w:val="24"/>
                      <w:szCs w:val="24"/>
                    </w:rPr>
                  </w:pPr>
                </w:p>
              </w:tc>
              <w:tc>
                <w:tcPr>
                  <w:tcW w:w="467" w:type="dxa"/>
                  <w:gridSpan w:val="2"/>
                  <w:vMerge w:val="continue"/>
                  <w:tcBorders>
                    <w:tl2br w:val="nil"/>
                    <w:tr2bl w:val="nil"/>
                  </w:tcBorders>
                  <w:noWrap w:val="0"/>
                  <w:vAlign w:val="top"/>
                </w:tcPr>
                <w:p w14:paraId="73489209">
                  <w:pPr>
                    <w:spacing w:beforeLines="0" w:afterLines="0"/>
                    <w:rPr>
                      <w:rFonts w:hint="default"/>
                      <w:sz w:val="24"/>
                      <w:szCs w:val="24"/>
                    </w:rPr>
                  </w:pPr>
                </w:p>
              </w:tc>
            </w:tr>
            <w:tr w14:paraId="763F5A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1" w:type="dxa"/>
                  <w:vMerge w:val="restart"/>
                  <w:tcBorders>
                    <w:tl2br w:val="nil"/>
                    <w:tr2bl w:val="nil"/>
                  </w:tcBorders>
                  <w:noWrap w:val="0"/>
                  <w:vAlign w:val="center"/>
                </w:tcPr>
                <w:p w14:paraId="3FF147D8">
                  <w:pPr>
                    <w:adjustRightInd w:val="0"/>
                    <w:snapToGrid w:val="0"/>
                    <w:jc w:val="center"/>
                    <w:rPr>
                      <w:rFonts w:hint="eastAsia" w:ascii="Times New Roman" w:hAnsi="Times New Roman" w:eastAsia="宋体" w:cs="Times New Roman"/>
                      <w:bCs/>
                      <w:sz w:val="24"/>
                      <w:szCs w:val="24"/>
                      <w:lang w:val="en-US" w:eastAsia="zh-CN"/>
                    </w:rPr>
                  </w:pPr>
                  <w:r>
                    <w:rPr>
                      <w:rFonts w:hint="eastAsia" w:cs="Times New Roman"/>
                      <w:bCs/>
                      <w:sz w:val="24"/>
                      <w:szCs w:val="24"/>
                      <w:lang w:val="en-US" w:eastAsia="zh-CN"/>
                    </w:rPr>
                    <w:t>8</w:t>
                  </w:r>
                </w:p>
              </w:tc>
              <w:tc>
                <w:tcPr>
                  <w:tcW w:w="1936" w:type="dxa"/>
                  <w:vMerge w:val="restart"/>
                  <w:tcBorders>
                    <w:tl2br w:val="nil"/>
                    <w:tr2bl w:val="nil"/>
                  </w:tcBorders>
                  <w:noWrap w:val="0"/>
                  <w:vAlign w:val="center"/>
                </w:tcPr>
                <w:p w14:paraId="6715A629">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附属设施</w:t>
                  </w:r>
                </w:p>
              </w:tc>
              <w:tc>
                <w:tcPr>
                  <w:tcW w:w="383" w:type="dxa"/>
                  <w:vMerge w:val="restart"/>
                  <w:tcBorders>
                    <w:tl2br w:val="nil"/>
                    <w:tr2bl w:val="nil"/>
                  </w:tcBorders>
                  <w:noWrap w:val="0"/>
                  <w:vAlign w:val="top"/>
                </w:tcPr>
                <w:p w14:paraId="591E414E">
                  <w:pPr>
                    <w:spacing w:beforeLines="0" w:afterLines="0"/>
                    <w:rPr>
                      <w:rFonts w:hint="default"/>
                      <w:sz w:val="24"/>
                      <w:szCs w:val="24"/>
                    </w:rPr>
                  </w:pPr>
                </w:p>
              </w:tc>
              <w:tc>
                <w:tcPr>
                  <w:tcW w:w="381" w:type="dxa"/>
                  <w:vMerge w:val="restart"/>
                  <w:tcBorders>
                    <w:tl2br w:val="nil"/>
                    <w:tr2bl w:val="nil"/>
                  </w:tcBorders>
                  <w:noWrap w:val="0"/>
                  <w:vAlign w:val="top"/>
                </w:tcPr>
                <w:p w14:paraId="78560866">
                  <w:pPr>
                    <w:spacing w:beforeLines="0" w:afterLines="0"/>
                    <w:rPr>
                      <w:rFonts w:hint="default"/>
                      <w:sz w:val="24"/>
                      <w:szCs w:val="24"/>
                    </w:rPr>
                  </w:pPr>
                </w:p>
              </w:tc>
              <w:tc>
                <w:tcPr>
                  <w:tcW w:w="383" w:type="dxa"/>
                  <w:vMerge w:val="restart"/>
                  <w:tcBorders>
                    <w:tl2br w:val="nil"/>
                    <w:tr2bl w:val="nil"/>
                  </w:tcBorders>
                  <w:noWrap w:val="0"/>
                  <w:vAlign w:val="top"/>
                </w:tcPr>
                <w:p w14:paraId="6001F21C">
                  <w:pPr>
                    <w:spacing w:beforeLines="0" w:afterLines="0"/>
                    <w:rPr>
                      <w:rFonts w:hint="default"/>
                      <w:sz w:val="24"/>
                      <w:szCs w:val="24"/>
                    </w:rPr>
                  </w:pPr>
                </w:p>
              </w:tc>
              <w:tc>
                <w:tcPr>
                  <w:tcW w:w="381" w:type="dxa"/>
                  <w:vMerge w:val="restart"/>
                  <w:tcBorders>
                    <w:tl2br w:val="nil"/>
                    <w:tr2bl w:val="nil"/>
                  </w:tcBorders>
                  <w:noWrap w:val="0"/>
                  <w:vAlign w:val="top"/>
                </w:tcPr>
                <w:p w14:paraId="0499A1F4">
                  <w:pPr>
                    <w:spacing w:beforeLines="0" w:afterLines="0"/>
                    <w:rPr>
                      <w:rFonts w:hint="default"/>
                      <w:sz w:val="24"/>
                      <w:szCs w:val="24"/>
                    </w:rPr>
                  </w:pPr>
                </w:p>
              </w:tc>
              <w:tc>
                <w:tcPr>
                  <w:tcW w:w="384" w:type="dxa"/>
                  <w:vMerge w:val="restart"/>
                  <w:tcBorders>
                    <w:tl2br w:val="nil"/>
                    <w:tr2bl w:val="nil"/>
                  </w:tcBorders>
                  <w:noWrap w:val="0"/>
                  <w:vAlign w:val="top"/>
                </w:tcPr>
                <w:p w14:paraId="68ADF5B0">
                  <w:pPr>
                    <w:spacing w:beforeLines="0" w:afterLines="0"/>
                    <w:rPr>
                      <w:rFonts w:hint="default"/>
                      <w:sz w:val="24"/>
                      <w:szCs w:val="24"/>
                    </w:rPr>
                  </w:pPr>
                </w:p>
              </w:tc>
              <w:tc>
                <w:tcPr>
                  <w:tcW w:w="394" w:type="dxa"/>
                  <w:vMerge w:val="restart"/>
                  <w:tcBorders>
                    <w:tl2br w:val="nil"/>
                    <w:tr2bl w:val="nil"/>
                  </w:tcBorders>
                  <w:noWrap w:val="0"/>
                  <w:vAlign w:val="top"/>
                </w:tcPr>
                <w:p w14:paraId="49AB4073">
                  <w:pPr>
                    <w:spacing w:beforeLines="0" w:afterLines="0"/>
                    <w:rPr>
                      <w:rFonts w:hint="default"/>
                      <w:sz w:val="24"/>
                      <w:szCs w:val="24"/>
                    </w:rPr>
                  </w:pPr>
                </w:p>
              </w:tc>
              <w:tc>
                <w:tcPr>
                  <w:tcW w:w="371" w:type="dxa"/>
                  <w:vMerge w:val="restart"/>
                  <w:tcBorders>
                    <w:tl2br w:val="nil"/>
                    <w:tr2bl w:val="nil"/>
                  </w:tcBorders>
                  <w:noWrap w:val="0"/>
                  <w:vAlign w:val="top"/>
                </w:tcPr>
                <w:p w14:paraId="67A1929B">
                  <w:pPr>
                    <w:spacing w:beforeLines="0" w:afterLines="0"/>
                    <w:rPr>
                      <w:rFonts w:hint="default"/>
                      <w:sz w:val="24"/>
                      <w:szCs w:val="24"/>
                    </w:rPr>
                  </w:pPr>
                </w:p>
              </w:tc>
              <w:tc>
                <w:tcPr>
                  <w:tcW w:w="389" w:type="dxa"/>
                  <w:vMerge w:val="restart"/>
                  <w:tcBorders>
                    <w:tl2br w:val="nil"/>
                    <w:tr2bl w:val="nil"/>
                  </w:tcBorders>
                  <w:noWrap w:val="0"/>
                  <w:vAlign w:val="top"/>
                </w:tcPr>
                <w:p w14:paraId="513590B6">
                  <w:pPr>
                    <w:spacing w:beforeLines="0" w:afterLines="0"/>
                    <w:rPr>
                      <w:rFonts w:hint="default"/>
                      <w:sz w:val="24"/>
                      <w:szCs w:val="24"/>
                    </w:rPr>
                  </w:pPr>
                </w:p>
              </w:tc>
              <w:tc>
                <w:tcPr>
                  <w:tcW w:w="376" w:type="dxa"/>
                  <w:vMerge w:val="restart"/>
                  <w:tcBorders>
                    <w:tl2br w:val="nil"/>
                    <w:tr2bl w:val="nil"/>
                  </w:tcBorders>
                  <w:noWrap w:val="0"/>
                  <w:vAlign w:val="top"/>
                </w:tcPr>
                <w:p w14:paraId="112DF6C1">
                  <w:pPr>
                    <w:spacing w:beforeLines="0" w:afterLines="0"/>
                    <w:rPr>
                      <w:rFonts w:hint="default"/>
                      <w:sz w:val="24"/>
                      <w:szCs w:val="24"/>
                    </w:rPr>
                  </w:pPr>
                </w:p>
              </w:tc>
              <w:tc>
                <w:tcPr>
                  <w:tcW w:w="427" w:type="dxa"/>
                  <w:vMerge w:val="restart"/>
                  <w:tcBorders>
                    <w:tl2br w:val="nil"/>
                    <w:tr2bl w:val="nil"/>
                  </w:tcBorders>
                  <w:noWrap w:val="0"/>
                  <w:vAlign w:val="top"/>
                </w:tcPr>
                <w:p w14:paraId="42A534B7">
                  <w:pPr>
                    <w:spacing w:beforeLines="0" w:afterLines="0"/>
                    <w:rPr>
                      <w:rFonts w:hint="default"/>
                      <w:sz w:val="24"/>
                      <w:szCs w:val="24"/>
                    </w:rPr>
                  </w:pPr>
                </w:p>
              </w:tc>
              <w:tc>
                <w:tcPr>
                  <w:tcW w:w="434" w:type="dxa"/>
                  <w:vMerge w:val="restart"/>
                  <w:tcBorders>
                    <w:tl2br w:val="nil"/>
                    <w:tr2bl w:val="nil"/>
                  </w:tcBorders>
                  <w:noWrap w:val="0"/>
                  <w:vAlign w:val="top"/>
                </w:tcPr>
                <w:p w14:paraId="7095A189">
                  <w:pPr>
                    <w:spacing w:beforeLines="0" w:afterLines="0"/>
                    <w:rPr>
                      <w:rFonts w:hint="default"/>
                      <w:sz w:val="24"/>
                      <w:szCs w:val="24"/>
                    </w:rPr>
                  </w:pPr>
                </w:p>
              </w:tc>
              <w:tc>
                <w:tcPr>
                  <w:tcW w:w="432" w:type="dxa"/>
                  <w:vMerge w:val="restart"/>
                  <w:tcBorders>
                    <w:tl2br w:val="nil"/>
                    <w:tr2bl w:val="nil"/>
                  </w:tcBorders>
                  <w:noWrap w:val="0"/>
                  <w:vAlign w:val="top"/>
                </w:tcPr>
                <w:p w14:paraId="7707E472">
                  <w:pPr>
                    <w:spacing w:beforeLines="0" w:afterLines="0"/>
                    <w:rPr>
                      <w:rFonts w:hint="default"/>
                      <w:sz w:val="24"/>
                      <w:szCs w:val="24"/>
                    </w:rPr>
                  </w:pPr>
                </w:p>
              </w:tc>
              <w:tc>
                <w:tcPr>
                  <w:tcW w:w="422" w:type="dxa"/>
                  <w:vMerge w:val="restart"/>
                  <w:tcBorders>
                    <w:tl2br w:val="nil"/>
                    <w:tr2bl w:val="nil"/>
                  </w:tcBorders>
                  <w:noWrap w:val="0"/>
                  <w:vAlign w:val="top"/>
                </w:tcPr>
                <w:p w14:paraId="11CDC286">
                  <w:pPr>
                    <w:spacing w:beforeLines="0" w:afterLines="0"/>
                    <w:rPr>
                      <w:rFonts w:hint="default"/>
                      <w:sz w:val="24"/>
                      <w:szCs w:val="24"/>
                    </w:rPr>
                  </w:pPr>
                  <w:r>
                    <w:rPr>
                      <w:sz w:val="24"/>
                      <w:szCs w:val="24"/>
                    </w:rPr>
                    <mc:AlternateContent>
                      <mc:Choice Requires="wps">
                        <w:drawing>
                          <wp:anchor distT="0" distB="0" distL="114300" distR="114300" simplePos="0" relativeHeight="251667456" behindDoc="0" locked="0" layoutInCell="1" allowOverlap="1">
                            <wp:simplePos x="0" y="0"/>
                            <wp:positionH relativeFrom="column">
                              <wp:posOffset>125730</wp:posOffset>
                            </wp:positionH>
                            <wp:positionV relativeFrom="paragraph">
                              <wp:posOffset>274320</wp:posOffset>
                            </wp:positionV>
                            <wp:extent cx="683895" cy="8255"/>
                            <wp:effectExtent l="0" t="15875" r="1905" b="33020"/>
                            <wp:wrapNone/>
                            <wp:docPr id="79" name="直接连接符 79"/>
                            <wp:cNvGraphicFramePr/>
                            <a:graphic xmlns:a="http://schemas.openxmlformats.org/drawingml/2006/main">
                              <a:graphicData uri="http://schemas.microsoft.com/office/word/2010/wordprocessingShape">
                                <wps:wsp>
                                  <wps:cNvCnPr/>
                                  <wps:spPr>
                                    <a:xfrm>
                                      <a:off x="0" y="0"/>
                                      <a:ext cx="683895" cy="8255"/>
                                    </a:xfrm>
                                    <a:prstGeom prst="line">
                                      <a:avLst/>
                                    </a:prstGeom>
                                    <a:ln w="317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9pt;margin-top:21.6pt;height:0.65pt;width:53.85pt;z-index:251667456;mso-width-relative:page;mso-height-relative:page;" filled="f" stroked="t" coordsize="21600,21600" o:gfxdata="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I71hNYA&#10;AAAIAQAADwAAAAAAAAABACAAAAAiAAAAZHJzL2Rvd25yZXYueG1sUEsBAhQAFAAAAAgAh07iQIQz&#10;xg3oAQAAtgMAAA4AAAAAAAAAAQAgAAAAJQEAAGRycy9lMm9Eb2MueG1sUEsFBgAAAAAGAAYAWQEA&#10;AH8FAAAAAA==&#10;">
                            <v:fill on="f" focussize="0,0"/>
                            <v:stroke weight="2.5pt" color="#000000 [3213]" miterlimit="8" joinstyle="miter"/>
                            <v:imagedata o:title=""/>
                            <o:lock v:ext="edit" aspectratio="f"/>
                          </v:line>
                        </w:pict>
                      </mc:Fallback>
                    </mc:AlternateContent>
                  </w:r>
                </w:p>
              </w:tc>
              <w:tc>
                <w:tcPr>
                  <w:tcW w:w="432" w:type="dxa"/>
                  <w:vMerge w:val="restart"/>
                  <w:tcBorders>
                    <w:tl2br w:val="nil"/>
                    <w:tr2bl w:val="nil"/>
                  </w:tcBorders>
                  <w:noWrap w:val="0"/>
                  <w:vAlign w:val="top"/>
                </w:tcPr>
                <w:p w14:paraId="1059ACE0">
                  <w:pPr>
                    <w:spacing w:beforeLines="0" w:afterLines="0" w:line="170" w:lineRule="exact"/>
                    <w:rPr>
                      <w:rFonts w:hint="default"/>
                      <w:sz w:val="24"/>
                      <w:szCs w:val="24"/>
                    </w:rPr>
                  </w:pPr>
                </w:p>
              </w:tc>
              <w:tc>
                <w:tcPr>
                  <w:tcW w:w="399" w:type="dxa"/>
                  <w:vMerge w:val="restart"/>
                  <w:tcBorders>
                    <w:tl2br w:val="nil"/>
                    <w:tr2bl w:val="nil"/>
                  </w:tcBorders>
                  <w:noWrap w:val="0"/>
                  <w:vAlign w:val="top"/>
                </w:tcPr>
                <w:p w14:paraId="3489BC50">
                  <w:pPr>
                    <w:spacing w:beforeLines="0" w:afterLines="0" w:line="170" w:lineRule="exact"/>
                    <w:rPr>
                      <w:rFonts w:hint="default"/>
                      <w:sz w:val="24"/>
                      <w:szCs w:val="24"/>
                    </w:rPr>
                  </w:pPr>
                </w:p>
              </w:tc>
              <w:tc>
                <w:tcPr>
                  <w:tcW w:w="467" w:type="dxa"/>
                  <w:gridSpan w:val="2"/>
                  <w:vMerge w:val="restart"/>
                  <w:tcBorders>
                    <w:tl2br w:val="nil"/>
                    <w:tr2bl w:val="nil"/>
                  </w:tcBorders>
                  <w:noWrap w:val="0"/>
                  <w:vAlign w:val="top"/>
                </w:tcPr>
                <w:p w14:paraId="3E94FF36">
                  <w:pPr>
                    <w:spacing w:beforeLines="0" w:afterLines="0"/>
                    <w:rPr>
                      <w:rFonts w:hint="default"/>
                      <w:sz w:val="24"/>
                      <w:szCs w:val="24"/>
                    </w:rPr>
                  </w:pPr>
                </w:p>
              </w:tc>
            </w:tr>
            <w:tr w14:paraId="5E4640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1" w:type="dxa"/>
                  <w:vMerge w:val="continue"/>
                  <w:tcBorders>
                    <w:tl2br w:val="nil"/>
                    <w:tr2bl w:val="nil"/>
                  </w:tcBorders>
                  <w:noWrap w:val="0"/>
                  <w:vAlign w:val="center"/>
                </w:tcPr>
                <w:p w14:paraId="42C12FB0">
                  <w:pPr>
                    <w:adjustRightInd w:val="0"/>
                    <w:snapToGrid w:val="0"/>
                    <w:jc w:val="center"/>
                    <w:rPr>
                      <w:rFonts w:hint="default" w:ascii="Times New Roman" w:hAnsi="Times New Roman" w:eastAsia="宋体" w:cs="Times New Roman"/>
                      <w:bCs/>
                      <w:sz w:val="24"/>
                      <w:szCs w:val="24"/>
                      <w:lang w:val="en-US" w:eastAsia="zh-CN"/>
                    </w:rPr>
                  </w:pPr>
                </w:p>
              </w:tc>
              <w:tc>
                <w:tcPr>
                  <w:tcW w:w="1936" w:type="dxa"/>
                  <w:vMerge w:val="continue"/>
                  <w:tcBorders>
                    <w:tl2br w:val="nil"/>
                    <w:tr2bl w:val="nil"/>
                  </w:tcBorders>
                  <w:noWrap w:val="0"/>
                  <w:vAlign w:val="center"/>
                </w:tcPr>
                <w:p w14:paraId="27915025">
                  <w:pPr>
                    <w:adjustRightInd w:val="0"/>
                    <w:snapToGrid w:val="0"/>
                    <w:jc w:val="center"/>
                    <w:rPr>
                      <w:rFonts w:hint="default" w:ascii="Times New Roman" w:hAnsi="Times New Roman" w:eastAsia="宋体" w:cs="Times New Roman"/>
                      <w:bCs/>
                      <w:sz w:val="24"/>
                      <w:szCs w:val="24"/>
                      <w:lang w:val="en-US" w:eastAsia="zh-CN"/>
                    </w:rPr>
                  </w:pPr>
                </w:p>
              </w:tc>
              <w:tc>
                <w:tcPr>
                  <w:tcW w:w="383" w:type="dxa"/>
                  <w:vMerge w:val="continue"/>
                  <w:tcBorders>
                    <w:tl2br w:val="nil"/>
                    <w:tr2bl w:val="nil"/>
                  </w:tcBorders>
                  <w:noWrap w:val="0"/>
                  <w:vAlign w:val="top"/>
                </w:tcPr>
                <w:p w14:paraId="127CDD55">
                  <w:pPr>
                    <w:spacing w:beforeLines="0" w:afterLines="0"/>
                    <w:rPr>
                      <w:rFonts w:hint="default"/>
                      <w:sz w:val="24"/>
                      <w:szCs w:val="24"/>
                    </w:rPr>
                  </w:pPr>
                </w:p>
              </w:tc>
              <w:tc>
                <w:tcPr>
                  <w:tcW w:w="381" w:type="dxa"/>
                  <w:vMerge w:val="continue"/>
                  <w:tcBorders>
                    <w:tl2br w:val="nil"/>
                    <w:tr2bl w:val="nil"/>
                  </w:tcBorders>
                  <w:noWrap w:val="0"/>
                  <w:vAlign w:val="top"/>
                </w:tcPr>
                <w:p w14:paraId="08041E47">
                  <w:pPr>
                    <w:spacing w:beforeLines="0" w:afterLines="0"/>
                    <w:rPr>
                      <w:rFonts w:hint="default"/>
                      <w:sz w:val="24"/>
                      <w:szCs w:val="24"/>
                    </w:rPr>
                  </w:pPr>
                </w:p>
              </w:tc>
              <w:tc>
                <w:tcPr>
                  <w:tcW w:w="383" w:type="dxa"/>
                  <w:vMerge w:val="continue"/>
                  <w:tcBorders>
                    <w:tl2br w:val="nil"/>
                    <w:tr2bl w:val="nil"/>
                  </w:tcBorders>
                  <w:noWrap w:val="0"/>
                  <w:vAlign w:val="top"/>
                </w:tcPr>
                <w:p w14:paraId="7F53F50A">
                  <w:pPr>
                    <w:spacing w:beforeLines="0" w:afterLines="0"/>
                    <w:rPr>
                      <w:rFonts w:hint="default"/>
                      <w:sz w:val="24"/>
                      <w:szCs w:val="24"/>
                    </w:rPr>
                  </w:pPr>
                </w:p>
              </w:tc>
              <w:tc>
                <w:tcPr>
                  <w:tcW w:w="381" w:type="dxa"/>
                  <w:vMerge w:val="continue"/>
                  <w:tcBorders>
                    <w:tl2br w:val="nil"/>
                    <w:tr2bl w:val="nil"/>
                  </w:tcBorders>
                  <w:noWrap w:val="0"/>
                  <w:vAlign w:val="top"/>
                </w:tcPr>
                <w:p w14:paraId="34C3DA4F">
                  <w:pPr>
                    <w:spacing w:beforeLines="0" w:afterLines="0"/>
                    <w:rPr>
                      <w:rFonts w:hint="default"/>
                      <w:sz w:val="24"/>
                      <w:szCs w:val="24"/>
                    </w:rPr>
                  </w:pPr>
                </w:p>
              </w:tc>
              <w:tc>
                <w:tcPr>
                  <w:tcW w:w="384" w:type="dxa"/>
                  <w:vMerge w:val="continue"/>
                  <w:tcBorders>
                    <w:tl2br w:val="nil"/>
                    <w:tr2bl w:val="nil"/>
                  </w:tcBorders>
                  <w:noWrap w:val="0"/>
                  <w:vAlign w:val="top"/>
                </w:tcPr>
                <w:p w14:paraId="64F0B94A">
                  <w:pPr>
                    <w:spacing w:beforeLines="0" w:afterLines="0"/>
                    <w:rPr>
                      <w:rFonts w:hint="default"/>
                      <w:sz w:val="24"/>
                      <w:szCs w:val="24"/>
                    </w:rPr>
                  </w:pPr>
                </w:p>
              </w:tc>
              <w:tc>
                <w:tcPr>
                  <w:tcW w:w="394" w:type="dxa"/>
                  <w:vMerge w:val="continue"/>
                  <w:tcBorders>
                    <w:tl2br w:val="nil"/>
                    <w:tr2bl w:val="nil"/>
                  </w:tcBorders>
                  <w:noWrap w:val="0"/>
                  <w:vAlign w:val="top"/>
                </w:tcPr>
                <w:p w14:paraId="0E0F6B38">
                  <w:pPr>
                    <w:spacing w:beforeLines="0" w:afterLines="0"/>
                    <w:rPr>
                      <w:rFonts w:hint="default"/>
                      <w:sz w:val="24"/>
                      <w:szCs w:val="24"/>
                    </w:rPr>
                  </w:pPr>
                </w:p>
              </w:tc>
              <w:tc>
                <w:tcPr>
                  <w:tcW w:w="371" w:type="dxa"/>
                  <w:vMerge w:val="continue"/>
                  <w:tcBorders>
                    <w:tl2br w:val="nil"/>
                    <w:tr2bl w:val="nil"/>
                  </w:tcBorders>
                  <w:noWrap w:val="0"/>
                  <w:vAlign w:val="top"/>
                </w:tcPr>
                <w:p w14:paraId="4B1643AF">
                  <w:pPr>
                    <w:spacing w:beforeLines="0" w:afterLines="0"/>
                    <w:rPr>
                      <w:rFonts w:hint="default"/>
                      <w:sz w:val="24"/>
                      <w:szCs w:val="24"/>
                    </w:rPr>
                  </w:pPr>
                </w:p>
              </w:tc>
              <w:tc>
                <w:tcPr>
                  <w:tcW w:w="389" w:type="dxa"/>
                  <w:vMerge w:val="continue"/>
                  <w:tcBorders>
                    <w:tl2br w:val="nil"/>
                    <w:tr2bl w:val="nil"/>
                  </w:tcBorders>
                  <w:noWrap w:val="0"/>
                  <w:vAlign w:val="top"/>
                </w:tcPr>
                <w:p w14:paraId="7FF97944">
                  <w:pPr>
                    <w:spacing w:beforeLines="0" w:afterLines="0"/>
                    <w:rPr>
                      <w:rFonts w:hint="default"/>
                      <w:sz w:val="24"/>
                      <w:szCs w:val="24"/>
                    </w:rPr>
                  </w:pPr>
                </w:p>
              </w:tc>
              <w:tc>
                <w:tcPr>
                  <w:tcW w:w="376" w:type="dxa"/>
                  <w:vMerge w:val="continue"/>
                  <w:tcBorders>
                    <w:tl2br w:val="nil"/>
                    <w:tr2bl w:val="nil"/>
                  </w:tcBorders>
                  <w:noWrap w:val="0"/>
                  <w:vAlign w:val="top"/>
                </w:tcPr>
                <w:p w14:paraId="589A7D7B">
                  <w:pPr>
                    <w:spacing w:beforeLines="0" w:afterLines="0"/>
                    <w:rPr>
                      <w:rFonts w:hint="default"/>
                      <w:sz w:val="24"/>
                      <w:szCs w:val="24"/>
                    </w:rPr>
                  </w:pPr>
                </w:p>
              </w:tc>
              <w:tc>
                <w:tcPr>
                  <w:tcW w:w="427" w:type="dxa"/>
                  <w:vMerge w:val="continue"/>
                  <w:tcBorders>
                    <w:tl2br w:val="nil"/>
                    <w:tr2bl w:val="nil"/>
                  </w:tcBorders>
                  <w:noWrap w:val="0"/>
                  <w:vAlign w:val="top"/>
                </w:tcPr>
                <w:p w14:paraId="0226A3E1">
                  <w:pPr>
                    <w:spacing w:beforeLines="0" w:afterLines="0"/>
                    <w:rPr>
                      <w:rFonts w:hint="default"/>
                      <w:sz w:val="24"/>
                      <w:szCs w:val="24"/>
                    </w:rPr>
                  </w:pPr>
                </w:p>
              </w:tc>
              <w:tc>
                <w:tcPr>
                  <w:tcW w:w="434" w:type="dxa"/>
                  <w:vMerge w:val="continue"/>
                  <w:tcBorders>
                    <w:tl2br w:val="nil"/>
                    <w:tr2bl w:val="nil"/>
                  </w:tcBorders>
                  <w:noWrap w:val="0"/>
                  <w:vAlign w:val="top"/>
                </w:tcPr>
                <w:p w14:paraId="72BE1207">
                  <w:pPr>
                    <w:spacing w:beforeLines="0" w:afterLines="0"/>
                    <w:rPr>
                      <w:rFonts w:hint="default"/>
                      <w:sz w:val="24"/>
                      <w:szCs w:val="24"/>
                    </w:rPr>
                  </w:pPr>
                </w:p>
              </w:tc>
              <w:tc>
                <w:tcPr>
                  <w:tcW w:w="432" w:type="dxa"/>
                  <w:vMerge w:val="continue"/>
                  <w:tcBorders>
                    <w:tl2br w:val="nil"/>
                    <w:tr2bl w:val="nil"/>
                  </w:tcBorders>
                  <w:noWrap w:val="0"/>
                  <w:vAlign w:val="top"/>
                </w:tcPr>
                <w:p w14:paraId="42C45CB4">
                  <w:pPr>
                    <w:spacing w:beforeLines="0" w:afterLines="0"/>
                    <w:rPr>
                      <w:rFonts w:hint="default"/>
                      <w:sz w:val="24"/>
                      <w:szCs w:val="24"/>
                    </w:rPr>
                  </w:pPr>
                </w:p>
              </w:tc>
              <w:tc>
                <w:tcPr>
                  <w:tcW w:w="422" w:type="dxa"/>
                  <w:vMerge w:val="continue"/>
                  <w:tcBorders>
                    <w:tl2br w:val="nil"/>
                    <w:tr2bl w:val="nil"/>
                  </w:tcBorders>
                  <w:noWrap w:val="0"/>
                  <w:vAlign w:val="top"/>
                </w:tcPr>
                <w:p w14:paraId="7C2DCD4F">
                  <w:pPr>
                    <w:spacing w:beforeLines="0" w:afterLines="0"/>
                    <w:rPr>
                      <w:rFonts w:hint="default"/>
                      <w:sz w:val="24"/>
                      <w:szCs w:val="24"/>
                    </w:rPr>
                  </w:pPr>
                </w:p>
              </w:tc>
              <w:tc>
                <w:tcPr>
                  <w:tcW w:w="432" w:type="dxa"/>
                  <w:vMerge w:val="continue"/>
                  <w:tcBorders>
                    <w:tl2br w:val="nil"/>
                    <w:tr2bl w:val="nil"/>
                  </w:tcBorders>
                  <w:noWrap w:val="0"/>
                  <w:vAlign w:val="top"/>
                </w:tcPr>
                <w:p w14:paraId="025B15CC">
                  <w:pPr>
                    <w:spacing w:beforeLines="0" w:afterLines="0" w:line="140" w:lineRule="exact"/>
                    <w:rPr>
                      <w:rFonts w:hint="default"/>
                      <w:sz w:val="24"/>
                      <w:szCs w:val="24"/>
                    </w:rPr>
                  </w:pPr>
                </w:p>
              </w:tc>
              <w:tc>
                <w:tcPr>
                  <w:tcW w:w="399" w:type="dxa"/>
                  <w:vMerge w:val="continue"/>
                  <w:tcBorders>
                    <w:tl2br w:val="nil"/>
                    <w:tr2bl w:val="nil"/>
                  </w:tcBorders>
                  <w:noWrap w:val="0"/>
                  <w:vAlign w:val="top"/>
                </w:tcPr>
                <w:p w14:paraId="29E92D0F">
                  <w:pPr>
                    <w:spacing w:beforeLines="0" w:afterLines="0" w:line="140" w:lineRule="exact"/>
                    <w:rPr>
                      <w:rFonts w:hint="default"/>
                      <w:sz w:val="24"/>
                      <w:szCs w:val="24"/>
                    </w:rPr>
                  </w:pPr>
                </w:p>
              </w:tc>
              <w:tc>
                <w:tcPr>
                  <w:tcW w:w="467" w:type="dxa"/>
                  <w:gridSpan w:val="2"/>
                  <w:vMerge w:val="continue"/>
                  <w:tcBorders>
                    <w:tl2br w:val="nil"/>
                    <w:tr2bl w:val="nil"/>
                  </w:tcBorders>
                  <w:noWrap w:val="0"/>
                  <w:vAlign w:val="top"/>
                </w:tcPr>
                <w:p w14:paraId="39D86C97">
                  <w:pPr>
                    <w:spacing w:beforeLines="0" w:afterLines="0"/>
                    <w:rPr>
                      <w:rFonts w:hint="default"/>
                      <w:sz w:val="24"/>
                      <w:szCs w:val="24"/>
                    </w:rPr>
                  </w:pPr>
                </w:p>
              </w:tc>
            </w:tr>
            <w:tr w14:paraId="3130F5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41" w:type="dxa"/>
                  <w:tcBorders>
                    <w:tl2br w:val="nil"/>
                    <w:tr2bl w:val="nil"/>
                  </w:tcBorders>
                  <w:noWrap w:val="0"/>
                  <w:vAlign w:val="center"/>
                </w:tcPr>
                <w:p w14:paraId="5786E728">
                  <w:pPr>
                    <w:adjustRightInd w:val="0"/>
                    <w:snapToGrid w:val="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9</w:t>
                  </w:r>
                </w:p>
              </w:tc>
              <w:tc>
                <w:tcPr>
                  <w:tcW w:w="1936" w:type="dxa"/>
                  <w:tcBorders>
                    <w:tl2br w:val="nil"/>
                    <w:tr2bl w:val="nil"/>
                  </w:tcBorders>
                  <w:noWrap w:val="0"/>
                  <w:vAlign w:val="center"/>
                </w:tcPr>
                <w:p w14:paraId="43DC4B9E">
                  <w:pPr>
                    <w:adjustRightInd w:val="0"/>
                    <w:snapToGrid w:val="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竣工、验收、投产</w:t>
                  </w:r>
                </w:p>
              </w:tc>
              <w:tc>
                <w:tcPr>
                  <w:tcW w:w="383" w:type="dxa"/>
                  <w:tcBorders>
                    <w:tl2br w:val="nil"/>
                    <w:tr2bl w:val="nil"/>
                  </w:tcBorders>
                  <w:noWrap w:val="0"/>
                  <w:vAlign w:val="top"/>
                </w:tcPr>
                <w:p w14:paraId="060DABBD">
                  <w:pPr>
                    <w:spacing w:beforeLines="0" w:afterLines="0"/>
                    <w:rPr>
                      <w:rFonts w:hint="default"/>
                      <w:sz w:val="24"/>
                      <w:szCs w:val="24"/>
                    </w:rPr>
                  </w:pPr>
                </w:p>
              </w:tc>
              <w:tc>
                <w:tcPr>
                  <w:tcW w:w="381" w:type="dxa"/>
                  <w:tcBorders>
                    <w:tl2br w:val="nil"/>
                    <w:tr2bl w:val="nil"/>
                  </w:tcBorders>
                  <w:noWrap w:val="0"/>
                  <w:vAlign w:val="top"/>
                </w:tcPr>
                <w:p w14:paraId="792F18D9">
                  <w:pPr>
                    <w:spacing w:beforeLines="0" w:afterLines="0"/>
                    <w:rPr>
                      <w:rFonts w:hint="default"/>
                      <w:sz w:val="24"/>
                      <w:szCs w:val="24"/>
                    </w:rPr>
                  </w:pPr>
                </w:p>
              </w:tc>
              <w:tc>
                <w:tcPr>
                  <w:tcW w:w="383" w:type="dxa"/>
                  <w:tcBorders>
                    <w:tl2br w:val="nil"/>
                    <w:tr2bl w:val="nil"/>
                  </w:tcBorders>
                  <w:noWrap w:val="0"/>
                  <w:vAlign w:val="top"/>
                </w:tcPr>
                <w:p w14:paraId="1A33E1BD">
                  <w:pPr>
                    <w:spacing w:beforeLines="0" w:afterLines="0"/>
                    <w:rPr>
                      <w:rFonts w:hint="default"/>
                      <w:sz w:val="24"/>
                      <w:szCs w:val="24"/>
                    </w:rPr>
                  </w:pPr>
                </w:p>
              </w:tc>
              <w:tc>
                <w:tcPr>
                  <w:tcW w:w="381" w:type="dxa"/>
                  <w:tcBorders>
                    <w:tl2br w:val="nil"/>
                    <w:tr2bl w:val="nil"/>
                  </w:tcBorders>
                  <w:noWrap w:val="0"/>
                  <w:vAlign w:val="top"/>
                </w:tcPr>
                <w:p w14:paraId="4413856C">
                  <w:pPr>
                    <w:spacing w:beforeLines="0" w:afterLines="0"/>
                    <w:rPr>
                      <w:rFonts w:hint="default"/>
                      <w:sz w:val="24"/>
                      <w:szCs w:val="24"/>
                    </w:rPr>
                  </w:pPr>
                </w:p>
              </w:tc>
              <w:tc>
                <w:tcPr>
                  <w:tcW w:w="384" w:type="dxa"/>
                  <w:tcBorders>
                    <w:tl2br w:val="nil"/>
                    <w:tr2bl w:val="nil"/>
                  </w:tcBorders>
                  <w:noWrap w:val="0"/>
                  <w:vAlign w:val="top"/>
                </w:tcPr>
                <w:p w14:paraId="7CE2DA65">
                  <w:pPr>
                    <w:spacing w:beforeLines="0" w:afterLines="0"/>
                    <w:rPr>
                      <w:rFonts w:hint="default"/>
                      <w:sz w:val="24"/>
                      <w:szCs w:val="24"/>
                    </w:rPr>
                  </w:pPr>
                </w:p>
              </w:tc>
              <w:tc>
                <w:tcPr>
                  <w:tcW w:w="394" w:type="dxa"/>
                  <w:tcBorders>
                    <w:tl2br w:val="nil"/>
                    <w:tr2bl w:val="nil"/>
                  </w:tcBorders>
                  <w:noWrap w:val="0"/>
                  <w:vAlign w:val="top"/>
                </w:tcPr>
                <w:p w14:paraId="3783DA46">
                  <w:pPr>
                    <w:spacing w:beforeLines="0" w:afterLines="0"/>
                    <w:rPr>
                      <w:rFonts w:hint="default"/>
                      <w:sz w:val="24"/>
                      <w:szCs w:val="24"/>
                    </w:rPr>
                  </w:pPr>
                </w:p>
              </w:tc>
              <w:tc>
                <w:tcPr>
                  <w:tcW w:w="371" w:type="dxa"/>
                  <w:tcBorders>
                    <w:tl2br w:val="nil"/>
                    <w:tr2bl w:val="nil"/>
                  </w:tcBorders>
                  <w:noWrap w:val="0"/>
                  <w:vAlign w:val="top"/>
                </w:tcPr>
                <w:p w14:paraId="1B08C490">
                  <w:pPr>
                    <w:spacing w:beforeLines="0" w:afterLines="0"/>
                    <w:rPr>
                      <w:rFonts w:hint="default"/>
                      <w:sz w:val="24"/>
                      <w:szCs w:val="24"/>
                    </w:rPr>
                  </w:pPr>
                </w:p>
              </w:tc>
              <w:tc>
                <w:tcPr>
                  <w:tcW w:w="389" w:type="dxa"/>
                  <w:tcBorders>
                    <w:tl2br w:val="nil"/>
                    <w:tr2bl w:val="nil"/>
                  </w:tcBorders>
                  <w:noWrap w:val="0"/>
                  <w:vAlign w:val="top"/>
                </w:tcPr>
                <w:p w14:paraId="7622D8C2">
                  <w:pPr>
                    <w:spacing w:beforeLines="0" w:afterLines="0"/>
                    <w:rPr>
                      <w:rFonts w:hint="default"/>
                      <w:sz w:val="24"/>
                      <w:szCs w:val="24"/>
                    </w:rPr>
                  </w:pPr>
                </w:p>
              </w:tc>
              <w:tc>
                <w:tcPr>
                  <w:tcW w:w="376" w:type="dxa"/>
                  <w:tcBorders>
                    <w:tl2br w:val="nil"/>
                    <w:tr2bl w:val="nil"/>
                  </w:tcBorders>
                  <w:noWrap w:val="0"/>
                  <w:vAlign w:val="top"/>
                </w:tcPr>
                <w:p w14:paraId="48BABE8F">
                  <w:pPr>
                    <w:spacing w:beforeLines="0" w:afterLines="0"/>
                    <w:rPr>
                      <w:rFonts w:hint="default"/>
                      <w:sz w:val="24"/>
                      <w:szCs w:val="24"/>
                    </w:rPr>
                  </w:pPr>
                </w:p>
              </w:tc>
              <w:tc>
                <w:tcPr>
                  <w:tcW w:w="427" w:type="dxa"/>
                  <w:tcBorders>
                    <w:tl2br w:val="nil"/>
                    <w:tr2bl w:val="nil"/>
                  </w:tcBorders>
                  <w:noWrap w:val="0"/>
                  <w:vAlign w:val="top"/>
                </w:tcPr>
                <w:p w14:paraId="71D44DCB">
                  <w:pPr>
                    <w:spacing w:beforeLines="0" w:afterLines="0"/>
                    <w:rPr>
                      <w:rFonts w:hint="default"/>
                      <w:sz w:val="24"/>
                      <w:szCs w:val="24"/>
                    </w:rPr>
                  </w:pPr>
                </w:p>
              </w:tc>
              <w:tc>
                <w:tcPr>
                  <w:tcW w:w="434" w:type="dxa"/>
                  <w:tcBorders>
                    <w:tl2br w:val="nil"/>
                    <w:tr2bl w:val="nil"/>
                  </w:tcBorders>
                  <w:noWrap w:val="0"/>
                  <w:vAlign w:val="top"/>
                </w:tcPr>
                <w:p w14:paraId="2BAE1E39">
                  <w:pPr>
                    <w:spacing w:beforeLines="0" w:afterLines="0"/>
                    <w:rPr>
                      <w:rFonts w:hint="default"/>
                      <w:sz w:val="24"/>
                      <w:szCs w:val="24"/>
                    </w:rPr>
                  </w:pPr>
                </w:p>
              </w:tc>
              <w:tc>
                <w:tcPr>
                  <w:tcW w:w="432" w:type="dxa"/>
                  <w:tcBorders>
                    <w:tl2br w:val="nil"/>
                    <w:tr2bl w:val="nil"/>
                  </w:tcBorders>
                  <w:noWrap w:val="0"/>
                  <w:vAlign w:val="top"/>
                </w:tcPr>
                <w:p w14:paraId="52E98579">
                  <w:pPr>
                    <w:spacing w:beforeLines="0" w:afterLines="0"/>
                    <w:rPr>
                      <w:rFonts w:hint="default"/>
                      <w:sz w:val="24"/>
                      <w:szCs w:val="24"/>
                    </w:rPr>
                  </w:pPr>
                </w:p>
              </w:tc>
              <w:tc>
                <w:tcPr>
                  <w:tcW w:w="422" w:type="dxa"/>
                  <w:tcBorders>
                    <w:tl2br w:val="nil"/>
                    <w:tr2bl w:val="nil"/>
                  </w:tcBorders>
                  <w:noWrap w:val="0"/>
                  <w:vAlign w:val="top"/>
                </w:tcPr>
                <w:p w14:paraId="61AF3FBC">
                  <w:pPr>
                    <w:spacing w:beforeLines="0" w:afterLines="0"/>
                    <w:rPr>
                      <w:rFonts w:hint="default"/>
                      <w:sz w:val="24"/>
                      <w:szCs w:val="24"/>
                    </w:rPr>
                  </w:pPr>
                </w:p>
              </w:tc>
              <w:tc>
                <w:tcPr>
                  <w:tcW w:w="432" w:type="dxa"/>
                  <w:tcBorders>
                    <w:tl2br w:val="nil"/>
                    <w:tr2bl w:val="nil"/>
                  </w:tcBorders>
                  <w:noWrap w:val="0"/>
                  <w:vAlign w:val="top"/>
                </w:tcPr>
                <w:p w14:paraId="4BF28643">
                  <w:pPr>
                    <w:spacing w:beforeLines="0" w:afterLines="0"/>
                    <w:rPr>
                      <w:rFonts w:hint="default"/>
                      <w:sz w:val="24"/>
                      <w:szCs w:val="24"/>
                    </w:rPr>
                  </w:pPr>
                </w:p>
              </w:tc>
              <w:tc>
                <w:tcPr>
                  <w:tcW w:w="404" w:type="dxa"/>
                  <w:gridSpan w:val="2"/>
                  <w:tcBorders>
                    <w:tl2br w:val="nil"/>
                    <w:tr2bl w:val="nil"/>
                  </w:tcBorders>
                  <w:noWrap w:val="0"/>
                  <w:vAlign w:val="top"/>
                </w:tcPr>
                <w:p w14:paraId="1FA1719B">
                  <w:pPr>
                    <w:spacing w:beforeLines="0" w:afterLines="0"/>
                    <w:rPr>
                      <w:rFonts w:hint="default"/>
                      <w:sz w:val="24"/>
                      <w:szCs w:val="24"/>
                    </w:rPr>
                  </w:pPr>
                  <w:r>
                    <w:rPr>
                      <w:sz w:val="24"/>
                      <w:szCs w:val="24"/>
                    </w:rPr>
                    <mc:AlternateContent>
                      <mc:Choice Requires="wps">
                        <w:drawing>
                          <wp:anchor distT="0" distB="0" distL="114300" distR="114300" simplePos="0" relativeHeight="251668480" behindDoc="0" locked="0" layoutInCell="1" allowOverlap="1">
                            <wp:simplePos x="0" y="0"/>
                            <wp:positionH relativeFrom="column">
                              <wp:posOffset>116205</wp:posOffset>
                            </wp:positionH>
                            <wp:positionV relativeFrom="paragraph">
                              <wp:posOffset>155575</wp:posOffset>
                            </wp:positionV>
                            <wp:extent cx="428625" cy="3810"/>
                            <wp:effectExtent l="0" t="15875" r="9525" b="18415"/>
                            <wp:wrapNone/>
                            <wp:docPr id="81" name="直接连接符 81"/>
                            <wp:cNvGraphicFramePr/>
                            <a:graphic xmlns:a="http://schemas.openxmlformats.org/drawingml/2006/main">
                              <a:graphicData uri="http://schemas.microsoft.com/office/word/2010/wordprocessingShape">
                                <wps:wsp>
                                  <wps:cNvCnPr/>
                                  <wps:spPr>
                                    <a:xfrm>
                                      <a:off x="0" y="0"/>
                                      <a:ext cx="428625" cy="3810"/>
                                    </a:xfrm>
                                    <a:prstGeom prst="line">
                                      <a:avLst/>
                                    </a:prstGeom>
                                    <a:ln w="317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15pt;margin-top:12.25pt;height:0.3pt;width:33.75pt;z-index:251668480;mso-width-relative:page;mso-height-relative:page;" filled="f" stroked="t" coordsize="21600,21600" o:gfxdata="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ASeLJ1AAAAAcB&#10;AAAPAAAAAAAAAAEAIAAAACIAAABkcnMvZG93bnJldi54bWxQSwECFAAUAAAACACHTuJANp5U1eYB&#10;AAC2AwAADgAAAAAAAAABACAAAAAjAQAAZHJzL2Uyb0RvYy54bWxQSwUGAAAAAAYABgBZAQAAewUA&#10;AAAA&#10;">
                            <v:fill on="f" focussize="0,0"/>
                            <v:stroke weight="2.5pt" color="#000000 [3213]" miterlimit="8" joinstyle="miter"/>
                            <v:imagedata o:title=""/>
                            <o:lock v:ext="edit" aspectratio="f"/>
                          </v:line>
                        </w:pict>
                      </mc:Fallback>
                    </mc:AlternateContent>
                  </w:r>
                </w:p>
              </w:tc>
              <w:tc>
                <w:tcPr>
                  <w:tcW w:w="462" w:type="dxa"/>
                  <w:tcBorders>
                    <w:tl2br w:val="nil"/>
                    <w:tr2bl w:val="nil"/>
                  </w:tcBorders>
                  <w:noWrap w:val="0"/>
                  <w:vAlign w:val="top"/>
                </w:tcPr>
                <w:p w14:paraId="11978CEA">
                  <w:pPr>
                    <w:spacing w:beforeLines="0" w:afterLines="0"/>
                    <w:rPr>
                      <w:rFonts w:hint="default"/>
                      <w:sz w:val="24"/>
                      <w:szCs w:val="24"/>
                    </w:rPr>
                  </w:pPr>
                </w:p>
              </w:tc>
            </w:tr>
          </w:tbl>
          <w:p w14:paraId="58220601">
            <w:pPr>
              <w:spacing w:line="460" w:lineRule="exact"/>
              <w:ind w:firstLine="480" w:firstLineChars="200"/>
              <w:rPr>
                <w:rFonts w:hint="default" w:ascii="Times New Roman" w:hAnsi="Times New Roman" w:eastAsia="宋体" w:cs="Times New Roman"/>
                <w:sz w:val="24"/>
                <w:szCs w:val="24"/>
              </w:rPr>
            </w:pPr>
          </w:p>
        </w:tc>
      </w:tr>
      <w:tr w14:paraId="763FB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77" w:type="dxa"/>
            <w:vAlign w:val="center"/>
          </w:tcPr>
          <w:p w14:paraId="5C76D807">
            <w:pPr>
              <w:pStyle w:val="82"/>
              <w:adjustRightInd w:val="0"/>
              <w:snapToGrid w:val="0"/>
              <w:spacing w:before="0" w:beforeAutospacing="0" w:after="0" w:afterAutospacing="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其他</w:t>
            </w:r>
          </w:p>
        </w:tc>
        <w:tc>
          <w:tcPr>
            <w:tcW w:w="7745" w:type="dxa"/>
            <w:vAlign w:val="center"/>
          </w:tcPr>
          <w:p w14:paraId="70A445EB">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w:t>
            </w:r>
          </w:p>
        </w:tc>
      </w:tr>
    </w:tbl>
    <w:p w14:paraId="12B2694F">
      <w:pPr>
        <w:rPr>
          <w:rFonts w:hint="default" w:ascii="Times New Roman" w:hAnsi="Times New Roman" w:eastAsia="宋体" w:cs="Times New Roman"/>
          <w:szCs w:val="21"/>
        </w:rPr>
        <w:sectPr>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pPr>
    </w:p>
    <w:p w14:paraId="5E53C085">
      <w:pPr>
        <w:pStyle w:val="82"/>
        <w:jc w:val="center"/>
        <w:outlineLvl w:val="0"/>
        <w:rPr>
          <w:rFonts w:hint="default" w:ascii="Times New Roman" w:hAnsi="Times New Roman" w:eastAsia="宋体" w:cs="Times New Roman"/>
          <w:b/>
          <w:snapToGrid w:val="0"/>
          <w:sz w:val="30"/>
          <w:szCs w:val="30"/>
        </w:rPr>
      </w:pPr>
      <w:bookmarkStart w:id="4" w:name="_Toc19199"/>
      <w:r>
        <w:rPr>
          <w:rFonts w:hint="default" w:ascii="Times New Roman" w:hAnsi="Times New Roman" w:eastAsia="宋体" w:cs="Times New Roman"/>
          <w:b/>
          <w:snapToGrid w:val="0"/>
          <w:sz w:val="30"/>
          <w:szCs w:val="30"/>
        </w:rPr>
        <w:t>三、生态环境现状、保护目标及评价标准</w:t>
      </w:r>
      <w:bookmarkEnd w:id="4"/>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9465"/>
      </w:tblGrid>
      <w:tr w14:paraId="129C5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00" w:type="dxa"/>
            <w:vAlign w:val="center"/>
          </w:tcPr>
          <w:p w14:paraId="037B50B6">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生态</w:t>
            </w:r>
          </w:p>
          <w:p w14:paraId="135AD6F0">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环境</w:t>
            </w:r>
          </w:p>
          <w:p w14:paraId="696A7392">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现状</w:t>
            </w:r>
          </w:p>
        </w:tc>
        <w:tc>
          <w:tcPr>
            <w:tcW w:w="8122" w:type="dxa"/>
          </w:tcPr>
          <w:p w14:paraId="71DBD6DA">
            <w:pPr>
              <w:adjustRightInd w:val="0"/>
              <w:snapToGrid w:val="0"/>
              <w:spacing w:line="460" w:lineRule="exact"/>
              <w:ind w:firstLine="482" w:firstLineChars="200"/>
              <w:rPr>
                <w:rFonts w:hint="default" w:cs="Times New Roman"/>
                <w:b/>
                <w:bCs/>
                <w:kern w:val="0"/>
                <w:sz w:val="24"/>
                <w:szCs w:val="24"/>
                <w:lang w:val="en-US" w:eastAsia="zh-CN"/>
              </w:rPr>
            </w:pPr>
            <w:r>
              <w:rPr>
                <w:rFonts w:hint="eastAsia" w:cs="Times New Roman"/>
                <w:b/>
                <w:bCs/>
                <w:kern w:val="0"/>
                <w:sz w:val="24"/>
                <w:szCs w:val="24"/>
                <w:lang w:val="en-US" w:eastAsia="zh-CN"/>
              </w:rPr>
              <w:t>3.1生态功能区划分</w:t>
            </w:r>
          </w:p>
          <w:p w14:paraId="55AFB63C">
            <w:pPr>
              <w:adjustRightInd w:val="0"/>
              <w:snapToGrid w:val="0"/>
              <w:spacing w:line="460" w:lineRule="exact"/>
              <w:ind w:firstLine="482" w:firstLineChars="200"/>
              <w:rPr>
                <w:rFonts w:hint="default" w:ascii="Times New Roman" w:hAnsi="Times New Roman" w:eastAsia="宋体" w:cs="Times New Roman"/>
                <w:b/>
                <w:bCs/>
                <w:kern w:val="0"/>
                <w:sz w:val="24"/>
                <w:szCs w:val="24"/>
                <w:lang w:val="en-US" w:eastAsia="zh-CN"/>
              </w:rPr>
            </w:pPr>
            <w:r>
              <w:rPr>
                <w:rFonts w:hint="eastAsia" w:cs="Times New Roman"/>
                <w:b/>
                <w:bCs/>
                <w:kern w:val="0"/>
                <w:sz w:val="24"/>
                <w:szCs w:val="24"/>
                <w:lang w:val="en-US" w:eastAsia="zh-CN"/>
              </w:rPr>
              <w:t>3.1.1主体功能区划</w:t>
            </w:r>
          </w:p>
          <w:p w14:paraId="53B88531">
            <w:pPr>
              <w:adjustRightInd w:val="0"/>
              <w:snapToGrid w:val="0"/>
              <w:spacing w:line="460" w:lineRule="exact"/>
              <w:ind w:firstLine="480" w:firstLineChars="200"/>
              <w:rPr>
                <w:rFonts w:hint="eastAsia" w:ascii="Times New Roman" w:hAnsi="Times New Roman" w:eastAsia="宋体" w:cs="Times New Roman"/>
                <w:b w:val="0"/>
                <w:bCs w:val="0"/>
                <w:kern w:val="2"/>
                <w:sz w:val="24"/>
                <w:szCs w:val="24"/>
                <w:lang w:val="en-US" w:eastAsia="zh-CN"/>
              </w:rPr>
            </w:pPr>
            <w:r>
              <w:rPr>
                <w:rFonts w:hint="default" w:ascii="Times New Roman" w:hAnsi="Times New Roman" w:eastAsia="宋体" w:cs="Times New Roman"/>
                <w:b w:val="0"/>
                <w:bCs w:val="0"/>
                <w:kern w:val="2"/>
                <w:sz w:val="24"/>
                <w:szCs w:val="24"/>
                <w:lang w:val="en-US" w:eastAsia="zh-CN"/>
              </w:rPr>
              <w:t>根据</w:t>
            </w:r>
            <w:r>
              <w:rPr>
                <w:rFonts w:ascii="Times New Roman" w:hAnsi="Times New Roman" w:eastAsia="宋体" w:cs="Times New Roman"/>
                <w:i w:val="0"/>
                <w:iCs w:val="0"/>
                <w:caps w:val="0"/>
                <w:spacing w:val="0"/>
                <w:sz w:val="24"/>
                <w:szCs w:val="24"/>
                <w:shd w:val="clear"/>
              </w:rPr>
              <w:t>《江苏省国土空间规划（2021—2035年）》</w:t>
            </w:r>
            <w:r>
              <w:rPr>
                <w:rFonts w:hint="eastAsia" w:ascii="Times New Roman" w:hAnsi="Times New Roman" w:eastAsia="宋体" w:cs="Times New Roman"/>
                <w:i w:val="0"/>
                <w:iCs w:val="0"/>
                <w:caps w:val="0"/>
                <w:spacing w:val="0"/>
                <w:sz w:val="24"/>
                <w:szCs w:val="24"/>
                <w:shd w:val="clear"/>
                <w:lang w:eastAsia="zh-CN"/>
              </w:rPr>
              <w:t>，</w:t>
            </w:r>
            <w:r>
              <w:rPr>
                <w:rFonts w:hint="eastAsia" w:ascii="Times New Roman" w:hAnsi="Times New Roman" w:eastAsia="宋体" w:cs="Times New Roman"/>
                <w:i w:val="0"/>
                <w:iCs w:val="0"/>
                <w:caps w:val="0"/>
                <w:spacing w:val="0"/>
                <w:sz w:val="24"/>
                <w:szCs w:val="24"/>
                <w:shd w:val="clear"/>
                <w:lang w:val="en-US" w:eastAsia="zh-CN"/>
              </w:rPr>
              <w:t>淮安区和清江浦区的功能定位为省级</w:t>
            </w:r>
            <w:r>
              <w:rPr>
                <w:rFonts w:ascii="Arial" w:hAnsi="Arial" w:eastAsia="宋体" w:cs="Arial"/>
                <w:i w:val="0"/>
                <w:iCs w:val="0"/>
                <w:caps w:val="0"/>
                <w:color w:val="1E1F24"/>
                <w:spacing w:val="0"/>
                <w:sz w:val="25"/>
                <w:szCs w:val="25"/>
                <w:shd w:val="clear" w:fill="FFFFFF"/>
              </w:rPr>
              <w:t>城市化地区</w:t>
            </w:r>
            <w:r>
              <w:rPr>
                <w:rFonts w:hint="eastAsia" w:ascii="Arial" w:hAnsi="Arial" w:eastAsia="宋体" w:cs="Arial"/>
                <w:i w:val="0"/>
                <w:iCs w:val="0"/>
                <w:caps w:val="0"/>
                <w:color w:val="1E1F24"/>
                <w:spacing w:val="0"/>
                <w:sz w:val="25"/>
                <w:szCs w:val="25"/>
                <w:shd w:val="clear" w:fill="FFFFFF"/>
                <w:lang w:eastAsia="zh-CN"/>
              </w:rPr>
              <w:t>，</w:t>
            </w:r>
            <w:r>
              <w:rPr>
                <w:rFonts w:ascii="Times New Roman" w:hAnsi="Times New Roman" w:eastAsia="宋体" w:cs="Times New Roman"/>
                <w:i w:val="0"/>
                <w:iCs w:val="0"/>
                <w:caps w:val="0"/>
                <w:spacing w:val="0"/>
                <w:sz w:val="24"/>
                <w:szCs w:val="24"/>
                <w:shd w:val="clear"/>
              </w:rPr>
              <w:t>统筹城市空间资源配置，畅通区域联动的空间网络，确定城镇、产业开发的重点区域、轴带和重要节点，依托基础设施支撑体系，促进大中小城市和小城镇协调发展</w:t>
            </w:r>
            <w:r>
              <w:rPr>
                <w:rFonts w:hint="eastAsia" w:ascii="Times New Roman" w:hAnsi="Times New Roman" w:eastAsia="宋体" w:cs="Times New Roman"/>
                <w:i w:val="0"/>
                <w:iCs w:val="0"/>
                <w:caps w:val="0"/>
                <w:spacing w:val="0"/>
                <w:sz w:val="24"/>
                <w:szCs w:val="24"/>
                <w:shd w:val="clear"/>
                <w:lang w:eastAsia="zh-CN"/>
              </w:rPr>
              <w:t>，</w:t>
            </w:r>
            <w:r>
              <w:rPr>
                <w:rFonts w:ascii="Times New Roman" w:hAnsi="Times New Roman" w:eastAsia="宋体" w:cs="Times New Roman"/>
                <w:i w:val="0"/>
                <w:iCs w:val="0"/>
                <w:caps w:val="0"/>
                <w:spacing w:val="0"/>
                <w:sz w:val="24"/>
                <w:szCs w:val="24"/>
                <w:shd w:val="clear"/>
              </w:rPr>
              <w:t>形成多中心网络化开放式集约型的省域国土空间开发格局。</w:t>
            </w:r>
          </w:p>
          <w:p w14:paraId="54A89998">
            <w:pPr>
              <w:numPr>
                <w:ilvl w:val="0"/>
                <w:numId w:val="0"/>
              </w:numPr>
              <w:adjustRightInd w:val="0"/>
              <w:snapToGrid w:val="0"/>
              <w:spacing w:line="460" w:lineRule="exact"/>
              <w:ind w:firstLine="482" w:firstLineChars="200"/>
              <w:rPr>
                <w:rFonts w:hint="eastAsia" w:cs="Times New Roman"/>
                <w:b/>
                <w:bCs/>
                <w:kern w:val="0"/>
                <w:sz w:val="24"/>
                <w:szCs w:val="24"/>
                <w:lang w:val="en-US" w:eastAsia="zh-CN"/>
              </w:rPr>
            </w:pPr>
            <w:r>
              <w:rPr>
                <w:rFonts w:hint="eastAsia" w:cs="Times New Roman"/>
                <w:b/>
                <w:bCs/>
                <w:kern w:val="0"/>
                <w:sz w:val="24"/>
                <w:szCs w:val="24"/>
                <w:lang w:val="en-US" w:eastAsia="zh-CN"/>
              </w:rPr>
              <w:t>3.1.2生态功能区划</w:t>
            </w:r>
          </w:p>
          <w:p w14:paraId="74C87314">
            <w:pPr>
              <w:adjustRightInd w:val="0"/>
              <w:snapToGrid w:val="0"/>
              <w:spacing w:line="460" w:lineRule="exact"/>
              <w:ind w:firstLine="480" w:firstLineChars="200"/>
              <w:rPr>
                <w:rFonts w:ascii="Times New Roman" w:hAnsi="Times New Roman" w:eastAsia="宋体" w:cs="Times New Roman"/>
                <w:sz w:val="24"/>
              </w:rPr>
            </w:pPr>
            <w:r>
              <w:rPr>
                <w:rFonts w:hint="default" w:ascii="Times New Roman" w:hAnsi="Times New Roman" w:eastAsia="宋体" w:cs="Times New Roman"/>
                <w:kern w:val="2"/>
                <w:sz w:val="24"/>
              </w:rPr>
              <w:t>根据江苏省生态功能区划，本工程所在区域位于“</w:t>
            </w:r>
            <w:r>
              <w:rPr>
                <w:rFonts w:ascii="Times New Roman" w:hAnsi="Times New Roman" w:eastAsia="宋体" w:cs="Times New Roman"/>
                <w:kern w:val="2"/>
                <w:sz w:val="24"/>
              </w:rPr>
              <w:t>I</w:t>
            </w:r>
            <w:r>
              <w:rPr>
                <w:rFonts w:hint="default" w:ascii="Times New Roman" w:hAnsi="Times New Roman" w:eastAsia="宋体" w:cs="Times New Roman"/>
                <w:kern w:val="2"/>
                <w:sz w:val="24"/>
              </w:rPr>
              <w:t>黄淮平原</w:t>
            </w:r>
            <w:r>
              <w:rPr>
                <w:rFonts w:hint="default" w:ascii="Times New Roman" w:hAnsi="Times New Roman" w:eastAsia="宋体" w:cs="Times New Roman"/>
                <w:kern w:val="2"/>
                <w:sz w:val="24"/>
                <w:lang w:val="en-US" w:eastAsia="zh-CN"/>
              </w:rPr>
              <w:t>农业</w:t>
            </w:r>
            <w:r>
              <w:rPr>
                <w:rFonts w:hint="default" w:ascii="Times New Roman" w:hAnsi="Times New Roman" w:eastAsia="宋体" w:cs="Times New Roman"/>
                <w:kern w:val="2"/>
                <w:sz w:val="24"/>
              </w:rPr>
              <w:t>生态区—</w:t>
            </w:r>
            <w:r>
              <w:rPr>
                <w:rFonts w:ascii="Times New Roman" w:hAnsi="Times New Roman" w:eastAsia="宋体" w:cs="Times New Roman"/>
                <w:kern w:val="2"/>
                <w:sz w:val="24"/>
              </w:rPr>
              <w:t>I2</w:t>
            </w:r>
            <w:r>
              <w:rPr>
                <w:rFonts w:hint="default" w:ascii="Times New Roman" w:hAnsi="Times New Roman" w:eastAsia="宋体" w:cs="Times New Roman"/>
                <w:kern w:val="2"/>
                <w:sz w:val="24"/>
              </w:rPr>
              <w:t>淮河下游平原</w:t>
            </w:r>
            <w:r>
              <w:rPr>
                <w:rFonts w:hint="default" w:ascii="Times New Roman" w:hAnsi="Times New Roman" w:eastAsia="宋体" w:cs="Times New Roman"/>
                <w:kern w:val="2"/>
                <w:sz w:val="24"/>
                <w:lang w:val="en-US" w:eastAsia="zh-CN"/>
              </w:rPr>
              <w:t>农业与湿地</w:t>
            </w:r>
            <w:r>
              <w:rPr>
                <w:rFonts w:hint="default" w:ascii="Times New Roman" w:hAnsi="Times New Roman" w:eastAsia="宋体" w:cs="Times New Roman"/>
                <w:kern w:val="2"/>
                <w:sz w:val="24"/>
              </w:rPr>
              <w:t>生态亚区—</w:t>
            </w:r>
            <w:r>
              <w:rPr>
                <w:rFonts w:ascii="Times New Roman" w:hAnsi="Times New Roman" w:eastAsia="宋体" w:cs="Times New Roman"/>
                <w:kern w:val="2"/>
                <w:sz w:val="24"/>
              </w:rPr>
              <w:t>I2-</w:t>
            </w:r>
            <w:r>
              <w:rPr>
                <w:rFonts w:hint="default" w:ascii="Times New Roman" w:hAnsi="Times New Roman" w:eastAsia="宋体" w:cs="Times New Roman"/>
                <w:kern w:val="2"/>
                <w:sz w:val="24"/>
                <w:lang w:val="en-US" w:eastAsia="zh-CN"/>
              </w:rPr>
              <w:t>1洪泽湖水文调蓄与生物多样性保护生态功能区</w:t>
            </w:r>
            <w:r>
              <w:rPr>
                <w:rFonts w:hint="default" w:ascii="Times New Roman" w:hAnsi="Times New Roman" w:eastAsia="宋体" w:cs="Times New Roman"/>
                <w:kern w:val="2"/>
                <w:sz w:val="24"/>
              </w:rPr>
              <w:t>”。</w:t>
            </w:r>
          </w:p>
          <w:p w14:paraId="1868D36E">
            <w:pPr>
              <w:tabs>
                <w:tab w:val="left" w:pos="1095"/>
              </w:tabs>
              <w:adjustRightInd w:val="0"/>
              <w:snapToGrid w:val="0"/>
              <w:jc w:val="center"/>
              <w:rPr>
                <w:sz w:val="24"/>
              </w:rPr>
            </w:pPr>
            <w:r>
              <mc:AlternateContent>
                <mc:Choice Requires="wps">
                  <w:drawing>
                    <wp:anchor distT="0" distB="0" distL="114300" distR="114300" simplePos="0" relativeHeight="251669504" behindDoc="0" locked="0" layoutInCell="1" allowOverlap="1">
                      <wp:simplePos x="0" y="0"/>
                      <wp:positionH relativeFrom="column">
                        <wp:posOffset>1913255</wp:posOffset>
                      </wp:positionH>
                      <wp:positionV relativeFrom="paragraph">
                        <wp:posOffset>1100455</wp:posOffset>
                      </wp:positionV>
                      <wp:extent cx="609600" cy="278765"/>
                      <wp:effectExtent l="4445" t="4445" r="243205" b="173990"/>
                      <wp:wrapNone/>
                      <wp:docPr id="1" name="矩形标注 1"/>
                      <wp:cNvGraphicFramePr/>
                      <a:graphic xmlns:a="http://schemas.openxmlformats.org/drawingml/2006/main">
                        <a:graphicData uri="http://schemas.microsoft.com/office/word/2010/wordprocessingShape">
                          <wps:wsp>
                            <wps:cNvSpPr/>
                            <wps:spPr>
                              <a:xfrm>
                                <a:off x="0" y="0"/>
                                <a:ext cx="609600" cy="278765"/>
                              </a:xfrm>
                              <a:prstGeom prst="wedgeRectCallout">
                                <a:avLst>
                                  <a:gd name="adj1" fmla="val 81565"/>
                                  <a:gd name="adj2" fmla="val 104671"/>
                                </a:avLst>
                              </a:prstGeom>
                              <a:solidFill>
                                <a:srgbClr val="FFFFFF"/>
                              </a:solidFill>
                              <a:ln w="3175" cap="flat" cmpd="sng">
                                <a:solidFill>
                                  <a:srgbClr val="385D8A"/>
                                </a:solidFill>
                                <a:prstDash val="solid"/>
                                <a:miter/>
                                <a:headEnd type="none" w="med" len="med"/>
                                <a:tailEnd type="none" w="med" len="med"/>
                              </a:ln>
                            </wps:spPr>
                            <wps:txbx>
                              <w:txbxContent>
                                <w:p w14:paraId="2BD95EF9">
                                  <w:pPr>
                                    <w:jc w:val="center"/>
                                    <w:rPr>
                                      <w:b/>
                                      <w:color w:val="0000FF"/>
                                    </w:rPr>
                                  </w:pPr>
                                  <w:r>
                                    <w:rPr>
                                      <w:rFonts w:hint="eastAsia"/>
                                      <w:b/>
                                      <w:color w:val="0000FF"/>
                                    </w:rPr>
                                    <w:t>本项目</w:t>
                                  </w:r>
                                </w:p>
                              </w:txbxContent>
                            </wps:txbx>
                            <wps:bodyPr anchor="ctr" anchorCtr="0" upright="1"/>
                          </wps:wsp>
                        </a:graphicData>
                      </a:graphic>
                    </wp:anchor>
                  </w:drawing>
                </mc:Choice>
                <mc:Fallback>
                  <w:pict>
                    <v:shape id="_x0000_s1026" o:spid="_x0000_s1026" o:spt="61" type="#_x0000_t61" style="position:absolute;left:0pt;margin-left:150.65pt;margin-top:86.65pt;height:21.95pt;width:48pt;z-index:251669504;v-text-anchor:middle;mso-width-relative:page;mso-height-relative:page;" fillcolor="#FFFFFF" filled="t" stroked="t" coordsize="21600,21600" o:gfxdata="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HWFsNYAAAALAQAADwAAAAAAAAABACAA&#10;AAAiAAAAZHJzL2Rvd25yZXYueG1sUEsBAhQAFAAAAAgAh07iQAaEBKNIAgAApwQAAA4AAAAAAAAA&#10;AQAgAAAAJQEAAGRycy9lMm9Eb2MueG1sUEsFBgAAAAAGAAYAWQEAAN8FAAAAAA==&#10;" adj="28418,33409">
                      <v:fill on="t" focussize="0,0"/>
                      <v:stroke weight="0.25pt" color="#385D8A" joinstyle="miter"/>
                      <v:imagedata o:title=""/>
                      <o:lock v:ext="edit" aspectratio="f"/>
                      <v:textbox>
                        <w:txbxContent>
                          <w:p w14:paraId="2BD95EF9">
                            <w:pPr>
                              <w:jc w:val="center"/>
                              <w:rPr>
                                <w:b/>
                                <w:color w:val="0000FF"/>
                              </w:rPr>
                            </w:pPr>
                            <w:r>
                              <w:rPr>
                                <w:rFonts w:hint="eastAsia"/>
                                <w:b/>
                                <w:color w:val="0000FF"/>
                              </w:rPr>
                              <w:t>本项目</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2656205</wp:posOffset>
                      </wp:positionH>
                      <wp:positionV relativeFrom="paragraph">
                        <wp:posOffset>1457960</wp:posOffset>
                      </wp:positionV>
                      <wp:extent cx="137160" cy="137160"/>
                      <wp:effectExtent l="12700" t="12700" r="21590" b="21590"/>
                      <wp:wrapNone/>
                      <wp:docPr id="4" name="五角星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 cy="137160"/>
                              </a:xfrm>
                              <a:prstGeom prst="star5">
                                <a:avLst/>
                              </a:prstGeom>
                              <a:solidFill>
                                <a:srgbClr val="4F81BD"/>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9.15pt;margin-top:114.8pt;height:10.8pt;width:10.8pt;z-index:251670528;v-text-anchor:middle;mso-width-relative:page;mso-height-relative:page;" fillcolor="#4F81BD" filled="t" stroked="t" coordsize="137160,137160" o:gfxdata="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Bj9AB3AAAAAsBAAAP&#10;AAAAAAAAAAEAIAAAACIAAABkcnMvZG93bnJldi54bWxQSwECFAAUAAAACACHTuJAUxhYRIYCAAAa&#10;BQAADgAAAAAAAAABACAAAAArAQAAZHJzL2Uyb0RvYy54bWxQSwUGAAAAAAYABgBZAQAAIwYAAAAA&#10;" path="m0,52390l52390,52390,68580,0,84769,52390,137159,52390,94774,84769,110964,137159,68580,104780,26195,137159,42385,84769xe">
                      <v:path o:connectlocs="68580,0;0,52390;26195,137159;110964,137159;137159,52390" o:connectangles="247,164,82,82,0"/>
                      <v:fill on="t" focussize="0,0"/>
                      <v:stroke weight="2pt" color="#0000FF" joinstyle="round"/>
                      <v:imagedata o:title=""/>
                      <o:lock v:ext="edit" aspectratio="t"/>
                    </v:shape>
                  </w:pict>
                </mc:Fallback>
              </mc:AlternateContent>
            </w:r>
            <w:r>
              <w:drawing>
                <wp:inline distT="0" distB="0" distL="114300" distR="114300">
                  <wp:extent cx="5442585" cy="4154170"/>
                  <wp:effectExtent l="0" t="0" r="5715" b="17780"/>
                  <wp:docPr id="72" name="图片 3" descr="江苏省生态功能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descr="江苏省生态功能区"/>
                          <pic:cNvPicPr>
                            <a:picLocks noChangeAspect="1"/>
                          </pic:cNvPicPr>
                        </pic:nvPicPr>
                        <pic:blipFill>
                          <a:blip r:embed="rId16"/>
                          <a:stretch>
                            <a:fillRect/>
                          </a:stretch>
                        </pic:blipFill>
                        <pic:spPr>
                          <a:xfrm>
                            <a:off x="0" y="0"/>
                            <a:ext cx="5442585" cy="4154170"/>
                          </a:xfrm>
                          <a:prstGeom prst="rect">
                            <a:avLst/>
                          </a:prstGeom>
                          <a:noFill/>
                          <a:ln>
                            <a:noFill/>
                          </a:ln>
                        </pic:spPr>
                      </pic:pic>
                    </a:graphicData>
                  </a:graphic>
                </wp:inline>
              </w:drawing>
            </w:r>
          </w:p>
          <w:p w14:paraId="1EA237CB">
            <w:pPr>
              <w:tabs>
                <w:tab w:val="left" w:pos="1095"/>
              </w:tabs>
              <w:adjustRightInd w:val="0"/>
              <w:snapToGrid w:val="0"/>
              <w:spacing w:line="480" w:lineRule="exact"/>
              <w:jc w:val="center"/>
              <w:rPr>
                <w:sz w:val="24"/>
              </w:rPr>
            </w:pPr>
            <w:r>
              <w:rPr>
                <w:rFonts w:hint="default" w:ascii="Times New Roman" w:hAnsi="Times New Roman" w:eastAsia="宋体" w:cs="Times New Roman"/>
                <w:b/>
                <w:bCs/>
                <w:sz w:val="24"/>
              </w:rPr>
              <w:t>图3</w:t>
            </w:r>
            <w:r>
              <w:rPr>
                <w:rFonts w:hint="default" w:ascii="Times New Roman" w:hAnsi="Times New Roman" w:eastAsia="宋体" w:cs="Times New Roman"/>
                <w:b/>
                <w:bCs/>
                <w:sz w:val="24"/>
                <w:lang w:val="en-US" w:eastAsia="zh-CN"/>
              </w:rPr>
              <w:t>.1</w:t>
            </w:r>
            <w:r>
              <w:rPr>
                <w:rFonts w:hint="default" w:ascii="Times New Roman" w:hAnsi="Times New Roman" w:eastAsia="宋体" w:cs="Times New Roman"/>
                <w:b/>
                <w:bCs/>
                <w:sz w:val="24"/>
              </w:rPr>
              <w:t>-1  拟建</w:t>
            </w:r>
            <w:r>
              <w:rPr>
                <w:rFonts w:hint="default" w:ascii="Times New Roman" w:hAnsi="Times New Roman" w:eastAsia="宋体" w:cs="Times New Roman"/>
                <w:b/>
                <w:bCs/>
                <w:sz w:val="24"/>
                <w:lang w:val="en-US" w:eastAsia="zh-CN"/>
              </w:rPr>
              <w:t>项目</w:t>
            </w:r>
            <w:r>
              <w:rPr>
                <w:rFonts w:hint="default" w:ascii="Times New Roman" w:hAnsi="Times New Roman" w:eastAsia="宋体" w:cs="Times New Roman"/>
                <w:b/>
                <w:bCs/>
                <w:sz w:val="24"/>
              </w:rPr>
              <w:t>在江苏省生态功能区划中的位置</w:t>
            </w:r>
          </w:p>
          <w:p w14:paraId="435A426C">
            <w:pPr>
              <w:adjustRightInd w:val="0"/>
              <w:snapToGrid w:val="0"/>
              <w:spacing w:line="480" w:lineRule="exact"/>
              <w:ind w:firstLine="482" w:firstLineChars="200"/>
              <w:rPr>
                <w:b/>
                <w:kern w:val="0"/>
                <w:sz w:val="24"/>
                <w:szCs w:val="21"/>
              </w:rPr>
            </w:pPr>
            <w:r>
              <w:rPr>
                <w:b/>
                <w:kern w:val="0"/>
                <w:sz w:val="24"/>
                <w:szCs w:val="21"/>
              </w:rPr>
              <w:t>3.</w:t>
            </w:r>
            <w:r>
              <w:rPr>
                <w:rFonts w:hint="eastAsia"/>
                <w:b/>
                <w:kern w:val="0"/>
                <w:sz w:val="24"/>
                <w:szCs w:val="21"/>
                <w:lang w:val="en-US" w:eastAsia="zh-CN"/>
              </w:rPr>
              <w:t>2</w:t>
            </w:r>
            <w:r>
              <w:rPr>
                <w:b/>
                <w:kern w:val="0"/>
                <w:sz w:val="24"/>
                <w:szCs w:val="21"/>
              </w:rPr>
              <w:t>环境质量现状</w:t>
            </w:r>
          </w:p>
          <w:p w14:paraId="0658BD78">
            <w:pPr>
              <w:adjustRightInd w:val="0"/>
              <w:snapToGrid w:val="0"/>
              <w:spacing w:line="460" w:lineRule="exact"/>
              <w:ind w:firstLine="482" w:firstLineChars="200"/>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3.2.1大气环境质量现状</w:t>
            </w:r>
          </w:p>
          <w:p w14:paraId="527591BC">
            <w:pPr>
              <w:adjustRightInd w:val="0"/>
              <w:snapToGrid w:val="0"/>
              <w:spacing w:line="460" w:lineRule="exact"/>
              <w:ind w:firstLine="480" w:firstLineChars="20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color w:val="auto"/>
                <w:sz w:val="24"/>
                <w:szCs w:val="24"/>
                <w:highlight w:val="none"/>
                <w:lang w:val="en-US" w:eastAsia="zh-CN"/>
              </w:rPr>
              <w:t>根据《202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年淮安市生态环境状况公报》，2023年淮安市空气质量等级优良290天</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扣除沙尘影响异常超标天），优良率为81.3%。与2022年相比，空气质量为优的天数增加22天。全市细颗粒物（PM</w:t>
            </w:r>
            <w:r>
              <w:rPr>
                <w:rFonts w:hint="eastAsia" w:cs="Times New Roman"/>
                <w:color w:val="auto"/>
                <w:sz w:val="24"/>
                <w:szCs w:val="24"/>
                <w:highlight w:val="none"/>
                <w:vertAlign w:val="subscript"/>
                <w:lang w:val="en-US" w:eastAsia="zh-CN"/>
              </w:rPr>
              <w:t>2.5</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、可吸入颗粒物（PM</w:t>
            </w:r>
            <w:r>
              <w:rPr>
                <w:rFonts w:hint="eastAsia" w:cs="Times New Roman"/>
                <w:color w:val="auto"/>
                <w:sz w:val="24"/>
                <w:szCs w:val="24"/>
                <w:highlight w:val="none"/>
                <w:vertAlign w:val="subscript"/>
                <w:lang w:val="en-US" w:eastAsia="zh-CN"/>
              </w:rPr>
              <w:t>10</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、二氧化硫（SO</w:t>
            </w:r>
            <w:r>
              <w:rPr>
                <w:rFonts w:hint="default" w:ascii="Times New Roman" w:hAnsi="Times New Roman" w:eastAsia="宋体" w:cs="Times New Roman"/>
                <w:color w:val="auto"/>
                <w:sz w:val="24"/>
                <w:szCs w:val="24"/>
                <w:highlight w:val="none"/>
                <w:vertAlign w:val="sub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、二氧化氮（NO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)、一氧化碳（CO）和臭氧（O</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浓度年均浓度分别为36微克/立方米、58微克/立方米、8微克/立方米、25微克/立方米、1.0毫克/立方米、158微克/立方米。与2022年相比，O</w:t>
            </w:r>
            <w:r>
              <w:rPr>
                <w:rFonts w:hint="eastAsia"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污染有所改善，O</w:t>
            </w:r>
            <w:r>
              <w:rPr>
                <w:rFonts w:hint="eastAsia"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为首要污染物的超标天减少3天，PM</w:t>
            </w:r>
            <w:r>
              <w:rPr>
                <w:rFonts w:hint="default" w:ascii="Times New Roman" w:hAnsi="Times New Roman" w:eastAsia="宋体" w:cs="Times New Roman"/>
                <w:color w:val="auto"/>
                <w:sz w:val="24"/>
                <w:szCs w:val="24"/>
                <w:highlight w:val="none"/>
                <w:vertAlign w:val="subscript"/>
                <w:lang w:val="en-US" w:eastAsia="zh-CN"/>
              </w:rPr>
              <w:t>2.</w:t>
            </w:r>
            <w:r>
              <w:rPr>
                <w:rFonts w:hint="eastAsia"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浓度有所反弹，PM</w:t>
            </w:r>
            <w:r>
              <w:rPr>
                <w:rFonts w:hint="eastAsia"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为首要污染物的超标天增加7天。PM</w:t>
            </w:r>
            <w:r>
              <w:rPr>
                <w:rFonts w:hint="eastAsia"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、O</w:t>
            </w:r>
            <w:r>
              <w:rPr>
                <w:rFonts w:hint="eastAsia"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降幅分别为3.3%、11.1%、0.6%</w:t>
            </w:r>
            <w:r>
              <w:rPr>
                <w:rFonts w:hint="eastAsia" w:cs="Times New Roman"/>
                <w:color w:val="auto"/>
                <w:sz w:val="24"/>
                <w:szCs w:val="24"/>
                <w:highlight w:val="none"/>
                <w:lang w:val="en-US" w:eastAsia="zh-CN"/>
              </w:rPr>
              <w:t>。可吸入颗粒物（</w:t>
            </w:r>
            <w:r>
              <w:rPr>
                <w:rFonts w:hint="default" w:ascii="Times New Roman" w:hAnsi="Times New Roman" w:eastAsia="宋体" w:cs="Times New Roman"/>
                <w:color w:val="auto"/>
                <w:sz w:val="24"/>
                <w:szCs w:val="24"/>
                <w:highlight w:val="none"/>
                <w:lang w:val="en-US" w:eastAsia="zh-CN"/>
              </w:rPr>
              <w:t>PM</w:t>
            </w:r>
            <w:r>
              <w:rPr>
                <w:rFonts w:hint="eastAsia" w:cs="Times New Roman"/>
                <w:color w:val="auto"/>
                <w:sz w:val="24"/>
                <w:szCs w:val="24"/>
                <w:highlight w:val="none"/>
                <w:vertAlign w:val="subscript"/>
                <w:lang w:val="en-US" w:eastAsia="zh-CN"/>
              </w:rPr>
              <w:t>10</w:t>
            </w:r>
            <w:r>
              <w:rPr>
                <w:rFonts w:hint="eastAsia"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二氧化硫（SO</w:t>
            </w:r>
            <w:r>
              <w:rPr>
                <w:rFonts w:hint="default" w:ascii="Times New Roman" w:hAnsi="Times New Roman" w:eastAsia="宋体" w:cs="Times New Roman"/>
                <w:color w:val="auto"/>
                <w:sz w:val="24"/>
                <w:szCs w:val="24"/>
                <w:highlight w:val="none"/>
                <w:vertAlign w:val="sub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、二氧化氮（NO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)、一氧化碳（CO）和臭氧（O</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浓度达到国家二级标准限值。</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所在区域为环境空气达标区。</w:t>
            </w:r>
          </w:p>
          <w:p w14:paraId="3188DA0C">
            <w:pPr>
              <w:adjustRightInd w:val="0"/>
              <w:snapToGrid w:val="0"/>
              <w:spacing w:line="460" w:lineRule="exact"/>
              <w:ind w:firstLine="482" w:firstLineChars="200"/>
              <w:rPr>
                <w:rFonts w:hint="eastAsia" w:ascii="Times New Roman" w:hAnsi="Times New Roman" w:eastAsia="宋体" w:cs="Times New Roman"/>
                <w:b/>
                <w:bCs/>
                <w:kern w:val="0"/>
                <w:sz w:val="24"/>
                <w:szCs w:val="24"/>
                <w:highlight w:val="none"/>
                <w:lang w:val="en-US" w:eastAsia="zh-CN"/>
              </w:rPr>
            </w:pPr>
            <w:r>
              <w:rPr>
                <w:rFonts w:hint="eastAsia" w:ascii="Times New Roman" w:hAnsi="Times New Roman" w:eastAsia="宋体" w:cs="Times New Roman"/>
                <w:b/>
                <w:bCs/>
                <w:kern w:val="0"/>
                <w:sz w:val="24"/>
                <w:szCs w:val="24"/>
                <w:highlight w:val="none"/>
                <w:lang w:val="en-US" w:eastAsia="zh-CN"/>
              </w:rPr>
              <w:t>3.2.2地表水环境质量现状</w:t>
            </w:r>
          </w:p>
          <w:p w14:paraId="54D2492E">
            <w:pPr>
              <w:adjustRightInd w:val="0"/>
              <w:snapToGrid w:val="0"/>
              <w:spacing w:line="460" w:lineRule="exact"/>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（1）区域水环境质量现状</w:t>
            </w:r>
          </w:p>
          <w:p w14:paraId="06009D7E">
            <w:pPr>
              <w:adjustRightInd w:val="0"/>
              <w:snapToGrid w:val="0"/>
              <w:spacing w:line="460" w:lineRule="exact"/>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根据《202</w:t>
            </w:r>
            <w:r>
              <w:rPr>
                <w:rFonts w:hint="eastAsia"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年淮安市生态环境状况公报》，纳入“十四五”国家地表水环境质量考核的11个国考断面中，年均水质达到或好于Ⅲ类标准的断面9个（Ⅱ类断面4个</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，优Ⅲ比例81.8%，达标率100%，无V类和劣V类断面。纳入江苏省“十四五”水环境质量目标考核的57个断面中水质达到或好于Ⅲ类标准的断面有53个，优Ⅲ比例93%，达标率100%，无V类和劣V类断面。</w:t>
            </w:r>
          </w:p>
          <w:p w14:paraId="59F1677A">
            <w:pPr>
              <w:adjustRightInd w:val="0"/>
              <w:snapToGrid w:val="0"/>
              <w:spacing w:line="46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全市城镇饮用水以集中式供水为主。淮安市集中式饮用水水源地取水总量28301万吨，主要取水水源为古淮河、二河。12个集中式饮用水水源地水质状况稳定，均达到地表水IⅢ类标准，达标率为100%。</w:t>
            </w:r>
          </w:p>
          <w:p w14:paraId="1FF5BA8D">
            <w:pPr>
              <w:adjustRightInd w:val="0"/>
              <w:snapToGrid w:val="0"/>
              <w:spacing w:line="46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（2）地表水环境质量现状监测</w:t>
            </w:r>
          </w:p>
          <w:p w14:paraId="36E003E3">
            <w:pPr>
              <w:adjustRightInd w:val="0"/>
              <w:snapToGrid w:val="0"/>
              <w:spacing w:line="46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引用《淮安港区市区港区</w:t>
            </w:r>
            <w:r>
              <w:rPr>
                <w:rFonts w:hint="default" w:ascii="Times New Roman" w:hAnsi="Times New Roman" w:eastAsia="宋体" w:cs="Times New Roman"/>
                <w:color w:val="auto"/>
                <w:sz w:val="24"/>
                <w:szCs w:val="24"/>
                <w:lang w:val="en-US" w:eastAsia="zh-CN"/>
              </w:rPr>
              <w:t>黄码作业区码头工程环境影响报告书》中地表水现状监测数据，具体监测方案和检测结果见表</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-1和</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-2。</w:t>
            </w:r>
          </w:p>
          <w:p w14:paraId="204F9BFF">
            <w:pPr>
              <w:adjustRightInd w:val="0"/>
              <w:snapToGrid w:val="0"/>
              <w:spacing w:line="460" w:lineRule="exact"/>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-1  地表水现状监测断面表（引用）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11"/>
              <w:gridCol w:w="1116"/>
              <w:gridCol w:w="2706"/>
              <w:gridCol w:w="2053"/>
              <w:gridCol w:w="1664"/>
              <w:gridCol w:w="1099"/>
            </w:tblGrid>
            <w:tr w14:paraId="09206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tblHeader/>
                <w:jc w:val="center"/>
              </w:trPr>
              <w:tc>
                <w:tcPr>
                  <w:tcW w:w="330" w:type="pct"/>
                  <w:tcBorders>
                    <w:tl2br w:val="nil"/>
                    <w:tr2bl w:val="nil"/>
                  </w:tcBorders>
                  <w:vAlign w:val="center"/>
                </w:tcPr>
                <w:p w14:paraId="2FC9986D">
                  <w:pPr>
                    <w:widowControl/>
                    <w:snapToGrid w:val="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编号</w:t>
                  </w:r>
                </w:p>
              </w:tc>
              <w:tc>
                <w:tcPr>
                  <w:tcW w:w="603" w:type="pct"/>
                  <w:tcBorders>
                    <w:tl2br w:val="nil"/>
                    <w:tr2bl w:val="nil"/>
                  </w:tcBorders>
                  <w:vAlign w:val="center"/>
                </w:tcPr>
                <w:p w14:paraId="6F34AAB1">
                  <w:pPr>
                    <w:widowControl/>
                    <w:snapToGrid w:val="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监测水系</w:t>
                  </w:r>
                </w:p>
              </w:tc>
              <w:tc>
                <w:tcPr>
                  <w:tcW w:w="1462" w:type="pct"/>
                  <w:tcBorders>
                    <w:tl2br w:val="nil"/>
                    <w:tr2bl w:val="nil"/>
                  </w:tcBorders>
                  <w:vAlign w:val="center"/>
                </w:tcPr>
                <w:p w14:paraId="20EE1DA6">
                  <w:pPr>
                    <w:widowControl/>
                    <w:snapToGrid w:val="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监测断面布设位置</w:t>
                  </w:r>
                </w:p>
              </w:tc>
              <w:tc>
                <w:tcPr>
                  <w:tcW w:w="1109" w:type="pct"/>
                  <w:tcBorders>
                    <w:tl2br w:val="nil"/>
                    <w:tr2bl w:val="nil"/>
                  </w:tcBorders>
                  <w:vAlign w:val="center"/>
                </w:tcPr>
                <w:p w14:paraId="585ABADE">
                  <w:pPr>
                    <w:widowControl/>
                    <w:snapToGrid w:val="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监测因子</w:t>
                  </w:r>
                </w:p>
              </w:tc>
              <w:tc>
                <w:tcPr>
                  <w:tcW w:w="899" w:type="pct"/>
                  <w:tcBorders>
                    <w:tl2br w:val="nil"/>
                    <w:tr2bl w:val="nil"/>
                  </w:tcBorders>
                </w:tcPr>
                <w:p w14:paraId="1224D182">
                  <w:pPr>
                    <w:widowControl/>
                    <w:snapToGrid w:val="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监测时间及</w:t>
                  </w:r>
                </w:p>
                <w:p w14:paraId="34917C55">
                  <w:pPr>
                    <w:widowControl/>
                    <w:snapToGrid w:val="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监测频次</w:t>
                  </w:r>
                </w:p>
              </w:tc>
              <w:tc>
                <w:tcPr>
                  <w:tcW w:w="594" w:type="pct"/>
                  <w:tcBorders>
                    <w:tl2br w:val="nil"/>
                    <w:tr2bl w:val="nil"/>
                  </w:tcBorders>
                  <w:vAlign w:val="center"/>
                </w:tcPr>
                <w:p w14:paraId="456ECB13">
                  <w:pPr>
                    <w:widowControl/>
                    <w:snapToGrid w:val="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功能</w:t>
                  </w:r>
                </w:p>
              </w:tc>
            </w:tr>
            <w:tr w14:paraId="611F3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30" w:type="pct"/>
                  <w:tcBorders>
                    <w:tl2br w:val="nil"/>
                    <w:tr2bl w:val="nil"/>
                  </w:tcBorders>
                  <w:vAlign w:val="center"/>
                </w:tcPr>
                <w:p w14:paraId="044214D5">
                  <w:pPr>
                    <w:widowControl/>
                    <w:snapToGrid w:val="0"/>
                    <w:jc w:val="center"/>
                    <w:rPr>
                      <w:rFonts w:hint="default" w:ascii="Times New Roman" w:hAnsi="Times New Roman" w:eastAsia="宋体" w:cs="Times New Roman"/>
                      <w:color w:val="auto"/>
                      <w:kern w:val="0"/>
                      <w:sz w:val="21"/>
                      <w:szCs w:val="21"/>
                      <w:highlight w:val="none"/>
                    </w:rPr>
                  </w:pPr>
                  <w:r>
                    <w:rPr>
                      <w:color w:val="auto"/>
                      <w:kern w:val="2"/>
                      <w:sz w:val="21"/>
                      <w:szCs w:val="21"/>
                      <w:highlight w:val="none"/>
                    </w:rPr>
                    <w:t>W2</w:t>
                  </w:r>
                </w:p>
              </w:tc>
              <w:tc>
                <w:tcPr>
                  <w:tcW w:w="603" w:type="pct"/>
                  <w:tcBorders>
                    <w:tl2br w:val="nil"/>
                    <w:tr2bl w:val="nil"/>
                  </w:tcBorders>
                  <w:vAlign w:val="center"/>
                </w:tcPr>
                <w:p w14:paraId="26B7CA9B">
                  <w:pPr>
                    <w:jc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2"/>
                      <w:sz w:val="21"/>
                      <w:szCs w:val="21"/>
                      <w:highlight w:val="none"/>
                      <w:lang w:val="en-US" w:eastAsia="zh-CN"/>
                    </w:rPr>
                    <w:t>新</w:t>
                  </w:r>
                  <w:r>
                    <w:rPr>
                      <w:rFonts w:hint="eastAsia"/>
                      <w:color w:val="auto"/>
                      <w:kern w:val="2"/>
                      <w:sz w:val="21"/>
                      <w:szCs w:val="21"/>
                      <w:highlight w:val="none"/>
                    </w:rPr>
                    <w:t>柴米河</w:t>
                  </w:r>
                </w:p>
              </w:tc>
              <w:tc>
                <w:tcPr>
                  <w:tcW w:w="1462" w:type="pct"/>
                  <w:tcBorders>
                    <w:tl2br w:val="nil"/>
                    <w:tr2bl w:val="nil"/>
                  </w:tcBorders>
                  <w:vAlign w:val="center"/>
                </w:tcPr>
                <w:p w14:paraId="189E1E3C">
                  <w:pPr>
                    <w:adjustRightInd w:val="0"/>
                    <w:snapToGrid w:val="0"/>
                    <w:jc w:val="center"/>
                    <w:rPr>
                      <w:rFonts w:hint="default" w:ascii="Times New Roman" w:hAnsi="Times New Roman" w:eastAsia="宋体" w:cs="Times New Roman"/>
                      <w:color w:val="auto"/>
                      <w:kern w:val="0"/>
                      <w:sz w:val="21"/>
                      <w:szCs w:val="21"/>
                      <w:highlight w:val="none"/>
                    </w:rPr>
                  </w:pPr>
                  <w:r>
                    <w:rPr>
                      <w:rFonts w:hint="eastAsia"/>
                      <w:color w:val="auto"/>
                      <w:kern w:val="2"/>
                      <w:sz w:val="21"/>
                      <w:szCs w:val="21"/>
                      <w:highlight w:val="none"/>
                    </w:rPr>
                    <w:t>柴米河改道处</w:t>
                  </w:r>
                </w:p>
              </w:tc>
              <w:tc>
                <w:tcPr>
                  <w:tcW w:w="1109" w:type="pct"/>
                  <w:vMerge w:val="restart"/>
                  <w:tcBorders>
                    <w:tl2br w:val="nil"/>
                    <w:tr2bl w:val="nil"/>
                  </w:tcBorders>
                  <w:vAlign w:val="center"/>
                </w:tcPr>
                <w:p w14:paraId="19B8D0B9">
                  <w:pPr>
                    <w:widowControl/>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pH、COD、SS、氨氮、总磷、石油类及流速、河宽、水深、流向等</w:t>
                  </w:r>
                </w:p>
              </w:tc>
              <w:tc>
                <w:tcPr>
                  <w:tcW w:w="899" w:type="pct"/>
                  <w:vMerge w:val="restart"/>
                  <w:tcBorders>
                    <w:tl2br w:val="nil"/>
                    <w:tr2bl w:val="nil"/>
                  </w:tcBorders>
                  <w:vAlign w:val="center"/>
                </w:tcPr>
                <w:p w14:paraId="59D014C1">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2022.1.20-22，期间连续监测三天，上下午各一次</w:t>
                  </w:r>
                </w:p>
              </w:tc>
              <w:tc>
                <w:tcPr>
                  <w:tcW w:w="594" w:type="pct"/>
                  <w:tcBorders>
                    <w:tl2br w:val="nil"/>
                    <w:tr2bl w:val="nil"/>
                  </w:tcBorders>
                  <w:vAlign w:val="center"/>
                </w:tcPr>
                <w:p w14:paraId="656E6688">
                  <w:pPr>
                    <w:widowControl/>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w:t>
                  </w:r>
                </w:p>
              </w:tc>
            </w:tr>
            <w:tr w14:paraId="5DEFA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30" w:type="pct"/>
                  <w:tcBorders>
                    <w:tl2br w:val="nil"/>
                    <w:tr2bl w:val="nil"/>
                  </w:tcBorders>
                  <w:vAlign w:val="center"/>
                </w:tcPr>
                <w:p w14:paraId="3337E179">
                  <w:pPr>
                    <w:widowControl/>
                    <w:snapToGrid w:val="0"/>
                    <w:jc w:val="center"/>
                    <w:rPr>
                      <w:rFonts w:hint="default" w:ascii="Times New Roman" w:hAnsi="Times New Roman" w:eastAsia="宋体" w:cs="Times New Roman"/>
                      <w:color w:val="auto"/>
                      <w:kern w:val="0"/>
                      <w:sz w:val="21"/>
                      <w:szCs w:val="21"/>
                      <w:highlight w:val="none"/>
                    </w:rPr>
                  </w:pPr>
                  <w:r>
                    <w:rPr>
                      <w:color w:val="auto"/>
                      <w:kern w:val="2"/>
                      <w:sz w:val="21"/>
                      <w:szCs w:val="21"/>
                      <w:highlight w:val="none"/>
                    </w:rPr>
                    <w:t>W3</w:t>
                  </w:r>
                </w:p>
              </w:tc>
              <w:tc>
                <w:tcPr>
                  <w:tcW w:w="603" w:type="pct"/>
                  <w:tcBorders>
                    <w:tl2br w:val="nil"/>
                    <w:tr2bl w:val="nil"/>
                  </w:tcBorders>
                  <w:vAlign w:val="center"/>
                </w:tcPr>
                <w:p w14:paraId="4E10C7FB">
                  <w:pPr>
                    <w:widowControl/>
                    <w:snapToGrid w:val="0"/>
                    <w:jc w:val="center"/>
                    <w:rPr>
                      <w:rFonts w:hint="default" w:ascii="Times New Roman" w:hAnsi="Times New Roman" w:eastAsia="宋体" w:cs="Times New Roman"/>
                      <w:color w:val="auto"/>
                      <w:kern w:val="0"/>
                      <w:sz w:val="21"/>
                      <w:szCs w:val="21"/>
                      <w:highlight w:val="none"/>
                    </w:rPr>
                  </w:pPr>
                  <w:r>
                    <w:rPr>
                      <w:rFonts w:hint="eastAsia"/>
                      <w:color w:val="auto"/>
                      <w:kern w:val="2"/>
                      <w:sz w:val="21"/>
                      <w:szCs w:val="21"/>
                      <w:highlight w:val="none"/>
                    </w:rPr>
                    <w:t>团结河</w:t>
                  </w:r>
                </w:p>
              </w:tc>
              <w:tc>
                <w:tcPr>
                  <w:tcW w:w="1462" w:type="pct"/>
                  <w:tcBorders>
                    <w:tl2br w:val="nil"/>
                    <w:tr2bl w:val="nil"/>
                  </w:tcBorders>
                  <w:vAlign w:val="center"/>
                </w:tcPr>
                <w:p w14:paraId="7247F520">
                  <w:pPr>
                    <w:adjustRightInd w:val="0"/>
                    <w:snapToGrid w:val="0"/>
                    <w:jc w:val="center"/>
                    <w:rPr>
                      <w:rFonts w:hint="default" w:ascii="Times New Roman" w:hAnsi="Times New Roman" w:eastAsia="宋体" w:cs="Times New Roman"/>
                      <w:color w:val="auto"/>
                      <w:kern w:val="0"/>
                      <w:sz w:val="21"/>
                      <w:szCs w:val="21"/>
                      <w:highlight w:val="none"/>
                    </w:rPr>
                  </w:pPr>
                  <w:r>
                    <w:rPr>
                      <w:rFonts w:hint="eastAsia"/>
                      <w:color w:val="auto"/>
                      <w:kern w:val="2"/>
                      <w:sz w:val="21"/>
                      <w:szCs w:val="21"/>
                      <w:highlight w:val="none"/>
                    </w:rPr>
                    <w:t>团结河和古盐河交汇处</w:t>
                  </w:r>
                </w:p>
              </w:tc>
              <w:tc>
                <w:tcPr>
                  <w:tcW w:w="1109" w:type="pct"/>
                  <w:vMerge w:val="continue"/>
                  <w:tcBorders>
                    <w:tl2br w:val="nil"/>
                    <w:tr2bl w:val="nil"/>
                  </w:tcBorders>
                  <w:vAlign w:val="center"/>
                </w:tcPr>
                <w:p w14:paraId="0145EC90">
                  <w:pPr>
                    <w:widowControl/>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899" w:type="pct"/>
                  <w:vMerge w:val="continue"/>
                  <w:tcBorders>
                    <w:tl2br w:val="nil"/>
                    <w:tr2bl w:val="nil"/>
                  </w:tcBorders>
                  <w:vAlign w:val="center"/>
                </w:tcPr>
                <w:p w14:paraId="0015BAC0">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p>
              </w:tc>
              <w:tc>
                <w:tcPr>
                  <w:tcW w:w="594" w:type="pct"/>
                  <w:vMerge w:val="restart"/>
                  <w:tcBorders>
                    <w:tl2br w:val="nil"/>
                    <w:tr2bl w:val="nil"/>
                  </w:tcBorders>
                  <w:vAlign w:val="center"/>
                </w:tcPr>
                <w:p w14:paraId="1A50F6BB">
                  <w:pPr>
                    <w:widowControl/>
                    <w:snapToGrid w:val="0"/>
                    <w:jc w:val="center"/>
                    <w:rPr>
                      <w:rFonts w:hint="default" w:ascii="Times New Roman" w:hAnsi="Times New Roman" w:eastAsia="宋体" w:cs="Times New Roman"/>
                      <w:color w:val="auto"/>
                      <w:kern w:val="2"/>
                      <w:sz w:val="21"/>
                      <w:szCs w:val="21"/>
                      <w:highlight w:val="none"/>
                    </w:rPr>
                  </w:pPr>
                  <w:r>
                    <w:rPr>
                      <w:rFonts w:hint="eastAsia" w:cs="Times New Roman"/>
                      <w:color w:val="auto"/>
                      <w:kern w:val="2"/>
                      <w:sz w:val="21"/>
                      <w:szCs w:val="21"/>
                      <w:highlight w:val="none"/>
                      <w:lang w:val="en-US" w:eastAsia="zh-CN"/>
                    </w:rPr>
                    <w:t>农业用水区</w:t>
                  </w:r>
                </w:p>
              </w:tc>
            </w:tr>
            <w:tr w14:paraId="3670D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30" w:type="pct"/>
                  <w:tcBorders>
                    <w:tl2br w:val="nil"/>
                    <w:tr2bl w:val="nil"/>
                  </w:tcBorders>
                  <w:vAlign w:val="center"/>
                </w:tcPr>
                <w:p w14:paraId="63A796AF">
                  <w:pPr>
                    <w:widowControl/>
                    <w:snapToGrid w:val="0"/>
                    <w:jc w:val="center"/>
                    <w:rPr>
                      <w:rFonts w:hint="default" w:ascii="Times New Roman" w:hAnsi="Times New Roman" w:eastAsia="宋体" w:cs="Times New Roman"/>
                      <w:color w:val="auto"/>
                      <w:kern w:val="0"/>
                      <w:sz w:val="21"/>
                      <w:szCs w:val="21"/>
                      <w:highlight w:val="none"/>
                    </w:rPr>
                  </w:pPr>
                  <w:r>
                    <w:rPr>
                      <w:color w:val="auto"/>
                      <w:kern w:val="2"/>
                      <w:sz w:val="21"/>
                      <w:szCs w:val="21"/>
                      <w:highlight w:val="none"/>
                    </w:rPr>
                    <w:t>W4</w:t>
                  </w:r>
                </w:p>
              </w:tc>
              <w:tc>
                <w:tcPr>
                  <w:tcW w:w="603" w:type="pct"/>
                  <w:tcBorders>
                    <w:tl2br w:val="nil"/>
                    <w:tr2bl w:val="nil"/>
                  </w:tcBorders>
                  <w:vAlign w:val="center"/>
                </w:tcPr>
                <w:p w14:paraId="79A14AB8">
                  <w:pPr>
                    <w:widowControl/>
                    <w:snapToGrid w:val="0"/>
                    <w:jc w:val="center"/>
                    <w:rPr>
                      <w:rFonts w:hint="default" w:ascii="Times New Roman" w:hAnsi="Times New Roman" w:eastAsia="宋体" w:cs="Times New Roman"/>
                      <w:color w:val="auto"/>
                      <w:kern w:val="0"/>
                      <w:sz w:val="21"/>
                      <w:szCs w:val="21"/>
                      <w:highlight w:val="none"/>
                    </w:rPr>
                  </w:pPr>
                  <w:r>
                    <w:rPr>
                      <w:rFonts w:hint="eastAsia"/>
                      <w:color w:val="auto"/>
                      <w:kern w:val="2"/>
                      <w:sz w:val="21"/>
                      <w:szCs w:val="21"/>
                      <w:highlight w:val="none"/>
                    </w:rPr>
                    <w:t>淮河入海水道</w:t>
                  </w:r>
                </w:p>
              </w:tc>
              <w:tc>
                <w:tcPr>
                  <w:tcW w:w="1462" w:type="pct"/>
                  <w:tcBorders>
                    <w:tl2br w:val="nil"/>
                    <w:tr2bl w:val="nil"/>
                  </w:tcBorders>
                  <w:vAlign w:val="center"/>
                </w:tcPr>
                <w:p w14:paraId="0E2FEAEA">
                  <w:pPr>
                    <w:adjustRightInd w:val="0"/>
                    <w:snapToGrid w:val="0"/>
                    <w:jc w:val="center"/>
                    <w:rPr>
                      <w:rFonts w:hint="default" w:ascii="Times New Roman" w:hAnsi="Times New Roman" w:eastAsia="宋体" w:cs="Times New Roman"/>
                      <w:color w:val="auto"/>
                      <w:kern w:val="0"/>
                      <w:sz w:val="21"/>
                      <w:szCs w:val="21"/>
                      <w:highlight w:val="none"/>
                    </w:rPr>
                  </w:pPr>
                  <w:r>
                    <w:rPr>
                      <w:rFonts w:hint="eastAsia"/>
                      <w:color w:val="auto"/>
                      <w:kern w:val="2"/>
                      <w:sz w:val="21"/>
                      <w:szCs w:val="21"/>
                      <w:highlight w:val="none"/>
                    </w:rPr>
                    <w:t>古盐河和淮河入海水道交汇处</w:t>
                  </w:r>
                </w:p>
              </w:tc>
              <w:tc>
                <w:tcPr>
                  <w:tcW w:w="1109" w:type="pct"/>
                  <w:vMerge w:val="continue"/>
                  <w:tcBorders>
                    <w:tl2br w:val="nil"/>
                    <w:tr2bl w:val="nil"/>
                  </w:tcBorders>
                  <w:vAlign w:val="center"/>
                </w:tcPr>
                <w:p w14:paraId="07E1A3A1">
                  <w:pPr>
                    <w:widowControl/>
                    <w:jc w:val="left"/>
                    <w:rPr>
                      <w:rFonts w:hint="default" w:ascii="Times New Roman" w:hAnsi="Times New Roman" w:eastAsia="宋体" w:cs="Times New Roman"/>
                      <w:color w:val="auto"/>
                      <w:kern w:val="2"/>
                      <w:sz w:val="21"/>
                      <w:szCs w:val="21"/>
                      <w:highlight w:val="none"/>
                    </w:rPr>
                  </w:pPr>
                </w:p>
              </w:tc>
              <w:tc>
                <w:tcPr>
                  <w:tcW w:w="899" w:type="pct"/>
                  <w:vMerge w:val="continue"/>
                  <w:tcBorders>
                    <w:tl2br w:val="nil"/>
                    <w:tr2bl w:val="nil"/>
                  </w:tcBorders>
                  <w:vAlign w:val="center"/>
                </w:tcPr>
                <w:p w14:paraId="23960EB0">
                  <w:pPr>
                    <w:widowControl/>
                    <w:snapToGrid w:val="0"/>
                    <w:jc w:val="center"/>
                    <w:rPr>
                      <w:rFonts w:hint="default" w:ascii="Times New Roman" w:hAnsi="Times New Roman" w:eastAsia="宋体" w:cs="Times New Roman"/>
                      <w:color w:val="auto"/>
                      <w:kern w:val="2"/>
                      <w:sz w:val="21"/>
                      <w:szCs w:val="21"/>
                      <w:highlight w:val="none"/>
                    </w:rPr>
                  </w:pPr>
                </w:p>
              </w:tc>
              <w:tc>
                <w:tcPr>
                  <w:tcW w:w="594" w:type="pct"/>
                  <w:vMerge w:val="continue"/>
                  <w:tcBorders>
                    <w:tl2br w:val="nil"/>
                    <w:tr2bl w:val="nil"/>
                  </w:tcBorders>
                  <w:vAlign w:val="center"/>
                </w:tcPr>
                <w:p w14:paraId="7E852BB3">
                  <w:pPr>
                    <w:widowControl/>
                    <w:snapToGrid w:val="0"/>
                    <w:jc w:val="center"/>
                    <w:rPr>
                      <w:rFonts w:hint="default" w:ascii="Times New Roman" w:hAnsi="Times New Roman" w:eastAsia="宋体" w:cs="Times New Roman"/>
                      <w:color w:val="auto"/>
                      <w:kern w:val="2"/>
                      <w:sz w:val="21"/>
                      <w:szCs w:val="21"/>
                      <w:highlight w:val="none"/>
                    </w:rPr>
                  </w:pPr>
                </w:p>
              </w:tc>
            </w:tr>
            <w:tr w14:paraId="08C2C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30" w:type="pct"/>
                  <w:tcBorders>
                    <w:tl2br w:val="nil"/>
                    <w:tr2bl w:val="nil"/>
                  </w:tcBorders>
                  <w:vAlign w:val="center"/>
                </w:tcPr>
                <w:p w14:paraId="1C348443">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W5</w:t>
                  </w:r>
                </w:p>
              </w:tc>
              <w:tc>
                <w:tcPr>
                  <w:tcW w:w="603" w:type="pct"/>
                  <w:vMerge w:val="restart"/>
                  <w:tcBorders>
                    <w:tl2br w:val="nil"/>
                    <w:tr2bl w:val="nil"/>
                  </w:tcBorders>
                  <w:vAlign w:val="center"/>
                </w:tcPr>
                <w:p w14:paraId="0B7AEB6E">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京杭运河</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里运河）</w:t>
                  </w:r>
                </w:p>
              </w:tc>
              <w:tc>
                <w:tcPr>
                  <w:tcW w:w="1462" w:type="pct"/>
                  <w:tcBorders>
                    <w:tl2br w:val="nil"/>
                    <w:tr2bl w:val="nil"/>
                  </w:tcBorders>
                  <w:vAlign w:val="center"/>
                </w:tcPr>
                <w:p w14:paraId="6AA0BFDA">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项目所在地上游500m</w:t>
                  </w:r>
                </w:p>
              </w:tc>
              <w:tc>
                <w:tcPr>
                  <w:tcW w:w="1109" w:type="pct"/>
                  <w:vMerge w:val="continue"/>
                  <w:tcBorders>
                    <w:tl2br w:val="nil"/>
                    <w:tr2bl w:val="nil"/>
                  </w:tcBorders>
                  <w:vAlign w:val="center"/>
                </w:tcPr>
                <w:p w14:paraId="53FE8017">
                  <w:pPr>
                    <w:widowControl/>
                    <w:jc w:val="left"/>
                    <w:rPr>
                      <w:rFonts w:hint="default" w:ascii="Times New Roman" w:hAnsi="Times New Roman" w:eastAsia="宋体" w:cs="Times New Roman"/>
                      <w:color w:val="auto"/>
                      <w:kern w:val="2"/>
                      <w:sz w:val="21"/>
                      <w:szCs w:val="21"/>
                      <w:highlight w:val="none"/>
                    </w:rPr>
                  </w:pPr>
                </w:p>
              </w:tc>
              <w:tc>
                <w:tcPr>
                  <w:tcW w:w="899" w:type="pct"/>
                  <w:vMerge w:val="continue"/>
                  <w:tcBorders>
                    <w:tl2br w:val="nil"/>
                    <w:tr2bl w:val="nil"/>
                  </w:tcBorders>
                  <w:vAlign w:val="center"/>
                </w:tcPr>
                <w:p w14:paraId="57B46000">
                  <w:pPr>
                    <w:widowControl/>
                    <w:snapToGrid w:val="0"/>
                    <w:jc w:val="center"/>
                    <w:rPr>
                      <w:rFonts w:hint="default" w:ascii="Times New Roman" w:hAnsi="Times New Roman" w:eastAsia="宋体" w:cs="Times New Roman"/>
                      <w:color w:val="auto"/>
                      <w:kern w:val="2"/>
                      <w:sz w:val="21"/>
                      <w:szCs w:val="21"/>
                      <w:highlight w:val="none"/>
                    </w:rPr>
                  </w:pPr>
                </w:p>
              </w:tc>
              <w:tc>
                <w:tcPr>
                  <w:tcW w:w="594" w:type="pct"/>
                  <w:vMerge w:val="restart"/>
                  <w:tcBorders>
                    <w:tl2br w:val="nil"/>
                    <w:tr2bl w:val="nil"/>
                  </w:tcBorders>
                  <w:vAlign w:val="center"/>
                </w:tcPr>
                <w:p w14:paraId="0E32B347">
                  <w:pPr>
                    <w:widowControl/>
                    <w:snapToGrid w:val="0"/>
                    <w:jc w:val="center"/>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0"/>
                      <w:sz w:val="21"/>
                      <w:szCs w:val="21"/>
                      <w:highlight w:val="none"/>
                      <w:lang w:val="en-US" w:eastAsia="zh-CN"/>
                    </w:rPr>
                    <w:t>工业用水区</w:t>
                  </w:r>
                </w:p>
              </w:tc>
            </w:tr>
            <w:tr w14:paraId="48705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30" w:type="pct"/>
                  <w:tcBorders>
                    <w:tl2br w:val="nil"/>
                    <w:tr2bl w:val="nil"/>
                  </w:tcBorders>
                  <w:vAlign w:val="center"/>
                </w:tcPr>
                <w:p w14:paraId="4466ED33">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W6</w:t>
                  </w:r>
                </w:p>
              </w:tc>
              <w:tc>
                <w:tcPr>
                  <w:tcW w:w="603" w:type="pct"/>
                  <w:vMerge w:val="continue"/>
                  <w:tcBorders>
                    <w:tl2br w:val="nil"/>
                    <w:tr2bl w:val="nil"/>
                  </w:tcBorders>
                  <w:vAlign w:val="center"/>
                </w:tcPr>
                <w:p w14:paraId="0E9085A6">
                  <w:pPr>
                    <w:widowControl/>
                    <w:adjustRightInd w:val="0"/>
                    <w:snapToGrid w:val="0"/>
                    <w:jc w:val="center"/>
                    <w:rPr>
                      <w:rFonts w:hint="default" w:ascii="Times New Roman" w:hAnsi="Times New Roman" w:eastAsia="宋体" w:cs="Times New Roman"/>
                      <w:color w:val="auto"/>
                      <w:kern w:val="0"/>
                      <w:sz w:val="21"/>
                      <w:szCs w:val="21"/>
                    </w:rPr>
                  </w:pPr>
                </w:p>
              </w:tc>
              <w:tc>
                <w:tcPr>
                  <w:tcW w:w="1462" w:type="pct"/>
                  <w:tcBorders>
                    <w:tl2br w:val="nil"/>
                    <w:tr2bl w:val="nil"/>
                  </w:tcBorders>
                  <w:vAlign w:val="center"/>
                </w:tcPr>
                <w:p w14:paraId="24AC7DD0">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项目所在地</w:t>
                  </w:r>
                </w:p>
              </w:tc>
              <w:tc>
                <w:tcPr>
                  <w:tcW w:w="1109" w:type="pct"/>
                  <w:vMerge w:val="continue"/>
                  <w:tcBorders>
                    <w:tl2br w:val="nil"/>
                    <w:tr2bl w:val="nil"/>
                  </w:tcBorders>
                  <w:vAlign w:val="center"/>
                </w:tcPr>
                <w:p w14:paraId="7ED395A2">
                  <w:pPr>
                    <w:widowControl/>
                    <w:jc w:val="left"/>
                    <w:rPr>
                      <w:rFonts w:hint="default" w:ascii="Times New Roman" w:hAnsi="Times New Roman" w:eastAsia="宋体" w:cs="Times New Roman"/>
                      <w:color w:val="auto"/>
                      <w:kern w:val="2"/>
                      <w:sz w:val="21"/>
                      <w:szCs w:val="21"/>
                    </w:rPr>
                  </w:pPr>
                </w:p>
              </w:tc>
              <w:tc>
                <w:tcPr>
                  <w:tcW w:w="899" w:type="pct"/>
                  <w:vMerge w:val="continue"/>
                  <w:tcBorders>
                    <w:tl2br w:val="nil"/>
                    <w:tr2bl w:val="nil"/>
                  </w:tcBorders>
                  <w:vAlign w:val="center"/>
                </w:tcPr>
                <w:p w14:paraId="6418B47F">
                  <w:pPr>
                    <w:widowControl/>
                    <w:snapToGrid w:val="0"/>
                    <w:jc w:val="center"/>
                    <w:rPr>
                      <w:rFonts w:hint="default" w:ascii="Times New Roman" w:hAnsi="Times New Roman" w:eastAsia="宋体" w:cs="Times New Roman"/>
                      <w:color w:val="auto"/>
                      <w:kern w:val="2"/>
                      <w:sz w:val="21"/>
                      <w:szCs w:val="21"/>
                    </w:rPr>
                  </w:pPr>
                </w:p>
              </w:tc>
              <w:tc>
                <w:tcPr>
                  <w:tcW w:w="594" w:type="pct"/>
                  <w:vMerge w:val="continue"/>
                  <w:tcBorders>
                    <w:tl2br w:val="nil"/>
                    <w:tr2bl w:val="nil"/>
                  </w:tcBorders>
                  <w:vAlign w:val="center"/>
                </w:tcPr>
                <w:p w14:paraId="47A88B69">
                  <w:pPr>
                    <w:widowControl/>
                    <w:snapToGrid w:val="0"/>
                    <w:jc w:val="center"/>
                    <w:rPr>
                      <w:rFonts w:hint="default" w:ascii="Times New Roman" w:hAnsi="Times New Roman" w:eastAsia="宋体" w:cs="Times New Roman"/>
                      <w:color w:val="auto"/>
                      <w:kern w:val="2"/>
                      <w:sz w:val="21"/>
                      <w:szCs w:val="21"/>
                    </w:rPr>
                  </w:pPr>
                </w:p>
              </w:tc>
            </w:tr>
            <w:tr w14:paraId="26D62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30" w:type="pct"/>
                  <w:tcBorders>
                    <w:tl2br w:val="nil"/>
                    <w:tr2bl w:val="nil"/>
                  </w:tcBorders>
                  <w:vAlign w:val="center"/>
                </w:tcPr>
                <w:p w14:paraId="27311577">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W7</w:t>
                  </w:r>
                </w:p>
              </w:tc>
              <w:tc>
                <w:tcPr>
                  <w:tcW w:w="603" w:type="pct"/>
                  <w:vMerge w:val="continue"/>
                  <w:tcBorders>
                    <w:tl2br w:val="nil"/>
                    <w:tr2bl w:val="nil"/>
                  </w:tcBorders>
                  <w:vAlign w:val="center"/>
                </w:tcPr>
                <w:p w14:paraId="655DA510">
                  <w:pPr>
                    <w:widowControl/>
                    <w:adjustRightInd w:val="0"/>
                    <w:snapToGrid w:val="0"/>
                    <w:jc w:val="center"/>
                    <w:rPr>
                      <w:rFonts w:hint="default" w:ascii="Times New Roman" w:hAnsi="Times New Roman" w:eastAsia="宋体" w:cs="Times New Roman"/>
                      <w:color w:val="auto"/>
                      <w:kern w:val="0"/>
                      <w:sz w:val="21"/>
                      <w:szCs w:val="21"/>
                    </w:rPr>
                  </w:pPr>
                </w:p>
              </w:tc>
              <w:tc>
                <w:tcPr>
                  <w:tcW w:w="1462" w:type="pct"/>
                  <w:tcBorders>
                    <w:tl2br w:val="nil"/>
                    <w:tr2bl w:val="nil"/>
                  </w:tcBorders>
                  <w:vAlign w:val="center"/>
                </w:tcPr>
                <w:p w14:paraId="5545AFFE">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项目所在地下游1500m</w:t>
                  </w:r>
                </w:p>
              </w:tc>
              <w:tc>
                <w:tcPr>
                  <w:tcW w:w="1109" w:type="pct"/>
                  <w:vMerge w:val="continue"/>
                  <w:tcBorders>
                    <w:tl2br w:val="nil"/>
                    <w:tr2bl w:val="nil"/>
                  </w:tcBorders>
                  <w:vAlign w:val="center"/>
                </w:tcPr>
                <w:p w14:paraId="55B08B7B">
                  <w:pPr>
                    <w:widowControl/>
                    <w:jc w:val="left"/>
                    <w:rPr>
                      <w:rFonts w:hint="default" w:ascii="Times New Roman" w:hAnsi="Times New Roman" w:eastAsia="宋体" w:cs="Times New Roman"/>
                      <w:color w:val="auto"/>
                      <w:kern w:val="2"/>
                      <w:sz w:val="21"/>
                      <w:szCs w:val="21"/>
                    </w:rPr>
                  </w:pPr>
                </w:p>
              </w:tc>
              <w:tc>
                <w:tcPr>
                  <w:tcW w:w="899" w:type="pct"/>
                  <w:vMerge w:val="continue"/>
                  <w:tcBorders>
                    <w:tl2br w:val="nil"/>
                    <w:tr2bl w:val="nil"/>
                  </w:tcBorders>
                  <w:vAlign w:val="center"/>
                </w:tcPr>
                <w:p w14:paraId="64E232C0">
                  <w:pPr>
                    <w:widowControl/>
                    <w:snapToGrid w:val="0"/>
                    <w:jc w:val="center"/>
                    <w:rPr>
                      <w:rFonts w:hint="default" w:ascii="Times New Roman" w:hAnsi="Times New Roman" w:eastAsia="宋体" w:cs="Times New Roman"/>
                      <w:color w:val="auto"/>
                      <w:kern w:val="2"/>
                      <w:sz w:val="21"/>
                      <w:szCs w:val="21"/>
                    </w:rPr>
                  </w:pPr>
                </w:p>
              </w:tc>
              <w:tc>
                <w:tcPr>
                  <w:tcW w:w="594" w:type="pct"/>
                  <w:vMerge w:val="continue"/>
                  <w:tcBorders>
                    <w:tl2br w:val="nil"/>
                    <w:tr2bl w:val="nil"/>
                  </w:tcBorders>
                  <w:vAlign w:val="center"/>
                </w:tcPr>
                <w:p w14:paraId="1B43FB7D">
                  <w:pPr>
                    <w:widowControl/>
                    <w:snapToGrid w:val="0"/>
                    <w:jc w:val="center"/>
                    <w:rPr>
                      <w:rFonts w:hint="default" w:ascii="Times New Roman" w:hAnsi="Times New Roman" w:eastAsia="宋体" w:cs="Times New Roman"/>
                      <w:color w:val="auto"/>
                      <w:kern w:val="2"/>
                      <w:sz w:val="21"/>
                      <w:szCs w:val="21"/>
                    </w:rPr>
                  </w:pPr>
                </w:p>
              </w:tc>
            </w:tr>
          </w:tbl>
          <w:p w14:paraId="7C1E5F71">
            <w:pPr>
              <w:widowControl/>
              <w:adjustRightInd w:val="0"/>
              <w:snapToGrid w:val="0"/>
              <w:spacing w:line="240" w:lineRule="auto"/>
              <w:ind w:firstLine="420" w:firstLineChars="200"/>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注：里运河为京杭运河中段</w:t>
            </w:r>
          </w:p>
          <w:p w14:paraId="740E6BA1">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采用单项水质参数评价模式，在各项水质参数评价中，对某一水质参数的现状浓度采用多次监测的最大浓度值。单因子污染指数计算公式为：</w:t>
            </w:r>
          </w:p>
          <w:p w14:paraId="00377DEE">
            <w:pPr>
              <w:widowControl/>
              <w:adjustRightInd w:val="0"/>
              <w:snapToGrid w:val="0"/>
              <w:spacing w:line="500" w:lineRule="exact"/>
              <w:ind w:firstLine="482" w:firstLineChars="200"/>
              <w:jc w:val="center"/>
              <w:rPr>
                <w:rFonts w:hint="default" w:ascii="Times New Roman" w:hAnsi="Times New Roman" w:eastAsia="宋体" w:cs="Times New Roman"/>
                <w:b/>
                <w:i/>
                <w:color w:val="auto"/>
                <w:kern w:val="0"/>
                <w:sz w:val="24"/>
                <w:szCs w:val="24"/>
              </w:rPr>
            </w:pPr>
            <w:r>
              <w:rPr>
                <w:rFonts w:hint="default" w:ascii="Times New Roman" w:hAnsi="Times New Roman" w:eastAsia="宋体" w:cs="Times New Roman"/>
                <w:b/>
                <w:i/>
                <w:color w:val="auto"/>
                <w:kern w:val="0"/>
                <w:sz w:val="24"/>
                <w:szCs w:val="24"/>
              </w:rPr>
              <w:t>S</w:t>
            </w:r>
            <w:r>
              <w:rPr>
                <w:rFonts w:hint="default" w:ascii="Times New Roman" w:hAnsi="Times New Roman" w:eastAsia="宋体" w:cs="Times New Roman"/>
                <w:b/>
                <w:i/>
                <w:color w:val="auto"/>
                <w:kern w:val="0"/>
                <w:sz w:val="24"/>
                <w:szCs w:val="24"/>
                <w:vertAlign w:val="subscript"/>
              </w:rPr>
              <w:t>ij</w:t>
            </w:r>
            <w:r>
              <w:rPr>
                <w:rFonts w:hint="default" w:ascii="Times New Roman" w:hAnsi="Times New Roman" w:eastAsia="宋体" w:cs="Times New Roman"/>
                <w:b/>
                <w:i/>
                <w:color w:val="auto"/>
                <w:kern w:val="0"/>
                <w:sz w:val="24"/>
                <w:szCs w:val="24"/>
              </w:rPr>
              <w:t>=C</w:t>
            </w:r>
            <w:r>
              <w:rPr>
                <w:rFonts w:hint="default" w:ascii="Times New Roman" w:hAnsi="Times New Roman" w:eastAsia="宋体" w:cs="Times New Roman"/>
                <w:b/>
                <w:i/>
                <w:color w:val="auto"/>
                <w:kern w:val="0"/>
                <w:sz w:val="24"/>
                <w:szCs w:val="24"/>
                <w:vertAlign w:val="subscript"/>
              </w:rPr>
              <w:t>ij</w:t>
            </w:r>
            <w:r>
              <w:rPr>
                <w:rFonts w:hint="default" w:ascii="Times New Roman" w:hAnsi="Times New Roman" w:eastAsia="宋体" w:cs="Times New Roman"/>
                <w:b/>
                <w:i/>
                <w:color w:val="auto"/>
                <w:kern w:val="0"/>
                <w:sz w:val="24"/>
                <w:szCs w:val="24"/>
              </w:rPr>
              <w:t>/C</w:t>
            </w:r>
            <w:r>
              <w:rPr>
                <w:rFonts w:hint="default" w:ascii="Times New Roman" w:hAnsi="Times New Roman" w:eastAsia="宋体" w:cs="Times New Roman"/>
                <w:b/>
                <w:i/>
                <w:color w:val="auto"/>
                <w:kern w:val="0"/>
                <w:sz w:val="24"/>
                <w:szCs w:val="24"/>
                <w:vertAlign w:val="subscript"/>
              </w:rPr>
              <w:t>sj</w:t>
            </w:r>
          </w:p>
          <w:p w14:paraId="69204A5A">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w:t>
            </w:r>
            <w:r>
              <w:rPr>
                <w:rFonts w:hint="default" w:ascii="Times New Roman" w:hAnsi="Times New Roman" w:eastAsia="宋体" w:cs="Times New Roman"/>
                <w:b/>
                <w:i/>
                <w:color w:val="auto"/>
                <w:kern w:val="0"/>
                <w:sz w:val="24"/>
                <w:szCs w:val="24"/>
              </w:rPr>
              <w:t>S</w:t>
            </w:r>
            <w:r>
              <w:rPr>
                <w:rFonts w:hint="default" w:ascii="Times New Roman" w:hAnsi="Times New Roman" w:eastAsia="宋体" w:cs="Times New Roman"/>
                <w:b/>
                <w:i/>
                <w:color w:val="auto"/>
                <w:kern w:val="0"/>
                <w:sz w:val="24"/>
                <w:szCs w:val="24"/>
                <w:vertAlign w:val="subscript"/>
              </w:rPr>
              <w:t>ij</w:t>
            </w:r>
            <w:r>
              <w:rPr>
                <w:rFonts w:hint="default" w:ascii="Times New Roman" w:hAnsi="Times New Roman" w:eastAsia="宋体" w:cs="Times New Roman"/>
                <w:color w:val="auto"/>
                <w:kern w:val="0"/>
                <w:sz w:val="24"/>
                <w:szCs w:val="24"/>
              </w:rPr>
              <w:t>：第i种污染物在第j点的标准指数；</w:t>
            </w:r>
          </w:p>
          <w:p w14:paraId="470B2DB1">
            <w:pPr>
              <w:widowControl/>
              <w:adjustRightInd w:val="0"/>
              <w:snapToGrid w:val="0"/>
              <w:spacing w:line="500" w:lineRule="exact"/>
              <w:ind w:left="630" w:leftChars="30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i/>
                <w:color w:val="auto"/>
                <w:kern w:val="0"/>
                <w:sz w:val="24"/>
                <w:szCs w:val="24"/>
              </w:rPr>
              <w:t>C</w:t>
            </w:r>
            <w:r>
              <w:rPr>
                <w:rFonts w:hint="default" w:ascii="Times New Roman" w:hAnsi="Times New Roman" w:eastAsia="宋体" w:cs="Times New Roman"/>
                <w:b/>
                <w:i/>
                <w:color w:val="auto"/>
                <w:kern w:val="0"/>
                <w:sz w:val="24"/>
                <w:szCs w:val="24"/>
                <w:vertAlign w:val="subscript"/>
              </w:rPr>
              <w:t>ij</w:t>
            </w:r>
            <w:r>
              <w:rPr>
                <w:rFonts w:hint="default" w:ascii="Times New Roman" w:hAnsi="Times New Roman" w:eastAsia="宋体" w:cs="Times New Roman"/>
                <w:color w:val="auto"/>
                <w:kern w:val="0"/>
                <w:sz w:val="24"/>
                <w:szCs w:val="24"/>
              </w:rPr>
              <w:t>：第i种污染物在第j点的监测最大浓度值，mg/L；</w:t>
            </w:r>
          </w:p>
          <w:p w14:paraId="5226A6E6">
            <w:pPr>
              <w:widowControl/>
              <w:adjustRightInd w:val="0"/>
              <w:snapToGrid w:val="0"/>
              <w:spacing w:line="500" w:lineRule="exact"/>
              <w:ind w:left="630" w:leftChars="30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i/>
                <w:color w:val="auto"/>
                <w:kern w:val="0"/>
                <w:sz w:val="24"/>
                <w:szCs w:val="24"/>
              </w:rPr>
              <w:t>C</w:t>
            </w:r>
            <w:r>
              <w:rPr>
                <w:rFonts w:hint="default" w:ascii="Times New Roman" w:hAnsi="Times New Roman" w:eastAsia="宋体" w:cs="Times New Roman"/>
                <w:b/>
                <w:i/>
                <w:color w:val="auto"/>
                <w:kern w:val="0"/>
                <w:sz w:val="24"/>
                <w:szCs w:val="24"/>
                <w:vertAlign w:val="subscript"/>
              </w:rPr>
              <w:t>Sj</w:t>
            </w:r>
            <w:r>
              <w:rPr>
                <w:rFonts w:hint="default" w:ascii="Times New Roman" w:hAnsi="Times New Roman" w:eastAsia="宋体" w:cs="Times New Roman"/>
                <w:color w:val="auto"/>
                <w:kern w:val="0"/>
                <w:sz w:val="24"/>
                <w:szCs w:val="24"/>
              </w:rPr>
              <w:t>：第i种污染物的地表水水质标准值，mg/L；</w:t>
            </w:r>
          </w:p>
          <w:p w14:paraId="5CF44A98">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其中：pH为：</w:t>
            </w:r>
          </w:p>
          <w:p w14:paraId="1748D3F6">
            <w:pPr>
              <w:widowControl/>
              <w:adjustRightInd w:val="0"/>
              <w:snapToGrid w:val="0"/>
              <w:spacing w:line="312" w:lineRule="auto"/>
              <w:ind w:firstLine="480" w:firstLineChars="200"/>
              <w:jc w:val="center"/>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drawing>
                <wp:inline distT="0" distB="0" distL="0" distR="0">
                  <wp:extent cx="1272540" cy="556260"/>
                  <wp:effectExtent l="0" t="0" r="0" b="15875"/>
                  <wp:docPr id="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3"/>
                          <pic:cNvPicPr>
                            <a:picLocks noChangeAspect="1" noChangeArrowheads="1"/>
                          </pic:cNvPicPr>
                        </pic:nvPicPr>
                        <pic:blipFill>
                          <a:blip r:embed="rId17" cstate="print">
                            <a:extLst>
                              <a:ext uri="{28A0092B-C50C-407E-A947-70E740481C1C}">
                                <a14:useLocalDpi xmlns:a14="http://schemas.microsoft.com/office/drawing/2010/main" val="0"/>
                              </a:ext>
                            </a:extLst>
                          </a:blip>
                          <a:srcRect t="-21149"/>
                          <a:stretch>
                            <a:fillRect/>
                          </a:stretch>
                        </pic:blipFill>
                        <pic:spPr>
                          <a:xfrm>
                            <a:off x="0" y="0"/>
                            <a:ext cx="1272540" cy="55626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rPr>
              <w:t xml:space="preserve">    pH</w:t>
            </w:r>
            <w:r>
              <w:rPr>
                <w:rFonts w:hint="default" w:ascii="Times New Roman" w:hAnsi="Times New Roman" w:eastAsia="宋体" w:cs="Times New Roman"/>
                <w:color w:val="auto"/>
                <w:kern w:val="0"/>
                <w:sz w:val="24"/>
                <w:szCs w:val="24"/>
                <w:vertAlign w:val="subscript"/>
              </w:rPr>
              <w:t>j</w:t>
            </w:r>
            <w:r>
              <w:rPr>
                <w:rFonts w:hint="default" w:ascii="Times New Roman" w:hAnsi="Times New Roman" w:eastAsia="宋体" w:cs="Times New Roman"/>
                <w:color w:val="auto"/>
                <w:kern w:val="0"/>
                <w:sz w:val="24"/>
                <w:szCs w:val="24"/>
              </w:rPr>
              <w:t>≤7.0</w:t>
            </w:r>
          </w:p>
          <w:p w14:paraId="2A86F631">
            <w:pPr>
              <w:widowControl/>
              <w:adjustRightInd w:val="0"/>
              <w:snapToGrid w:val="0"/>
              <w:spacing w:line="312" w:lineRule="auto"/>
              <w:ind w:firstLine="480" w:firstLineChars="200"/>
              <w:jc w:val="center"/>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drawing>
                <wp:inline distT="0" distB="0" distL="0" distR="0">
                  <wp:extent cx="1188720" cy="556260"/>
                  <wp:effectExtent l="0" t="0" r="11430" b="15875"/>
                  <wp:docPr id="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2"/>
                          <pic:cNvPicPr>
                            <a:picLocks noChangeAspect="1" noChangeArrowheads="1"/>
                          </pic:cNvPicPr>
                        </pic:nvPicPr>
                        <pic:blipFill>
                          <a:blip r:embed="rId18" cstate="print">
                            <a:extLst>
                              <a:ext uri="{28A0092B-C50C-407E-A947-70E740481C1C}">
                                <a14:useLocalDpi xmlns:a14="http://schemas.microsoft.com/office/drawing/2010/main" val="0"/>
                              </a:ext>
                            </a:extLst>
                          </a:blip>
                          <a:srcRect t="-21008"/>
                          <a:stretch>
                            <a:fillRect/>
                          </a:stretch>
                        </pic:blipFill>
                        <pic:spPr>
                          <a:xfrm>
                            <a:off x="0" y="0"/>
                            <a:ext cx="1188720" cy="55626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rPr>
              <w:t xml:space="preserve">    pH</w:t>
            </w:r>
            <w:r>
              <w:rPr>
                <w:rFonts w:hint="default" w:ascii="Times New Roman" w:hAnsi="Times New Roman" w:eastAsia="宋体" w:cs="Times New Roman"/>
                <w:color w:val="auto"/>
                <w:kern w:val="0"/>
                <w:sz w:val="24"/>
                <w:szCs w:val="24"/>
                <w:vertAlign w:val="subscript"/>
              </w:rPr>
              <w:t>j</w:t>
            </w:r>
            <w:r>
              <w:rPr>
                <w:rFonts w:hint="default" w:ascii="Times New Roman" w:hAnsi="Times New Roman" w:eastAsia="宋体" w:cs="Times New Roman"/>
                <w:color w:val="auto"/>
                <w:kern w:val="0"/>
                <w:sz w:val="24"/>
                <w:szCs w:val="24"/>
              </w:rPr>
              <w:t>＞7.0</w:t>
            </w:r>
          </w:p>
          <w:p w14:paraId="358C54DE">
            <w:pPr>
              <w:widowControl/>
              <w:adjustRightInd w:val="0"/>
              <w:snapToGrid w:val="0"/>
              <w:spacing w:line="50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w:t>
            </w:r>
            <w:r>
              <w:rPr>
                <w:rFonts w:hint="default" w:ascii="Times New Roman" w:hAnsi="Times New Roman" w:eastAsia="宋体" w:cs="Times New Roman"/>
                <w:b/>
                <w:i/>
                <w:color w:val="auto"/>
                <w:kern w:val="0"/>
                <w:sz w:val="24"/>
                <w:szCs w:val="24"/>
              </w:rPr>
              <w:t>S</w:t>
            </w:r>
            <w:r>
              <w:rPr>
                <w:rFonts w:hint="default" w:ascii="Times New Roman" w:hAnsi="Times New Roman" w:eastAsia="宋体" w:cs="Times New Roman"/>
                <w:b/>
                <w:i/>
                <w:color w:val="auto"/>
                <w:kern w:val="0"/>
                <w:sz w:val="24"/>
                <w:szCs w:val="24"/>
                <w:vertAlign w:val="subscript"/>
              </w:rPr>
              <w:t>pH，j</w:t>
            </w:r>
            <w:r>
              <w:rPr>
                <w:rFonts w:hint="default" w:ascii="Times New Roman" w:hAnsi="Times New Roman" w:eastAsia="宋体" w:cs="Times New Roman"/>
                <w:color w:val="auto"/>
                <w:kern w:val="0"/>
                <w:sz w:val="24"/>
                <w:szCs w:val="24"/>
              </w:rPr>
              <w:t>：为水质参数pH在j点的标准指数；</w:t>
            </w:r>
          </w:p>
          <w:p w14:paraId="63BE03C1">
            <w:pPr>
              <w:widowControl/>
              <w:adjustRightInd w:val="0"/>
              <w:snapToGrid w:val="0"/>
              <w:spacing w:line="500" w:lineRule="exact"/>
              <w:ind w:firstLine="1205"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i/>
                <w:color w:val="auto"/>
                <w:kern w:val="0"/>
                <w:sz w:val="24"/>
                <w:szCs w:val="24"/>
              </w:rPr>
              <w:t>pH</w:t>
            </w:r>
            <w:r>
              <w:rPr>
                <w:rFonts w:hint="default" w:ascii="Times New Roman" w:hAnsi="Times New Roman" w:eastAsia="宋体" w:cs="Times New Roman"/>
                <w:b/>
                <w:i/>
                <w:color w:val="auto"/>
                <w:kern w:val="0"/>
                <w:sz w:val="24"/>
                <w:szCs w:val="24"/>
                <w:vertAlign w:val="subscript"/>
              </w:rPr>
              <w:t>j</w:t>
            </w:r>
            <w:r>
              <w:rPr>
                <w:rFonts w:hint="default" w:ascii="Times New Roman" w:hAnsi="Times New Roman" w:eastAsia="宋体" w:cs="Times New Roman"/>
                <w:color w:val="auto"/>
                <w:kern w:val="0"/>
                <w:sz w:val="24"/>
                <w:szCs w:val="24"/>
              </w:rPr>
              <w:t>：为j点的pH值；</w:t>
            </w:r>
          </w:p>
          <w:p w14:paraId="34D5ED48">
            <w:pPr>
              <w:widowControl/>
              <w:adjustRightInd w:val="0"/>
              <w:snapToGrid w:val="0"/>
              <w:spacing w:line="500" w:lineRule="exact"/>
              <w:ind w:firstLine="1205"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i/>
                <w:color w:val="auto"/>
                <w:kern w:val="0"/>
                <w:sz w:val="24"/>
                <w:szCs w:val="24"/>
              </w:rPr>
              <w:t>pH</w:t>
            </w:r>
            <w:r>
              <w:rPr>
                <w:rFonts w:hint="default" w:ascii="Times New Roman" w:hAnsi="Times New Roman" w:eastAsia="宋体" w:cs="Times New Roman"/>
                <w:b/>
                <w:i/>
                <w:color w:val="auto"/>
                <w:kern w:val="0"/>
                <w:sz w:val="24"/>
                <w:szCs w:val="24"/>
                <w:vertAlign w:val="subscript"/>
              </w:rPr>
              <w:t>su</w:t>
            </w:r>
            <w:r>
              <w:rPr>
                <w:rFonts w:hint="default" w:ascii="Times New Roman" w:hAnsi="Times New Roman" w:eastAsia="宋体" w:cs="Times New Roman"/>
                <w:color w:val="auto"/>
                <w:kern w:val="0"/>
                <w:sz w:val="24"/>
                <w:szCs w:val="24"/>
              </w:rPr>
              <w:t>：为地表水水质标准中规定的pH值上限；</w:t>
            </w:r>
          </w:p>
          <w:p w14:paraId="07CEA049">
            <w:pPr>
              <w:widowControl/>
              <w:adjustRightInd w:val="0"/>
              <w:snapToGrid w:val="0"/>
              <w:spacing w:line="500" w:lineRule="exact"/>
              <w:ind w:firstLine="1205"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i/>
                <w:color w:val="auto"/>
                <w:kern w:val="0"/>
                <w:sz w:val="24"/>
                <w:szCs w:val="24"/>
              </w:rPr>
              <w:t>pH</w:t>
            </w:r>
            <w:r>
              <w:rPr>
                <w:rFonts w:hint="default" w:ascii="Times New Roman" w:hAnsi="Times New Roman" w:eastAsia="宋体" w:cs="Times New Roman"/>
                <w:b/>
                <w:i/>
                <w:color w:val="auto"/>
                <w:kern w:val="0"/>
                <w:sz w:val="24"/>
                <w:szCs w:val="24"/>
                <w:vertAlign w:val="subscript"/>
              </w:rPr>
              <w:t>sd</w:t>
            </w:r>
            <w:r>
              <w:rPr>
                <w:rFonts w:hint="default" w:ascii="Times New Roman" w:hAnsi="Times New Roman" w:eastAsia="宋体" w:cs="Times New Roman"/>
                <w:color w:val="auto"/>
                <w:kern w:val="0"/>
                <w:sz w:val="24"/>
                <w:szCs w:val="24"/>
              </w:rPr>
              <w:t>：为地表水水质标准中规定的pH值下限；</w:t>
            </w:r>
          </w:p>
          <w:p w14:paraId="57C55496">
            <w:pPr>
              <w:widowControl/>
              <w:adjustRightInd w:val="0"/>
              <w:snapToGrid w:val="0"/>
              <w:spacing w:line="500" w:lineRule="exact"/>
              <w:ind w:firstLine="1205"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i/>
                <w:color w:val="auto"/>
                <w:kern w:val="0"/>
                <w:sz w:val="24"/>
                <w:szCs w:val="24"/>
              </w:rPr>
              <w:t>T</w:t>
            </w:r>
            <w:r>
              <w:rPr>
                <w:rFonts w:hint="default" w:ascii="Times New Roman" w:hAnsi="Times New Roman" w:eastAsia="宋体" w:cs="Times New Roman"/>
                <w:b/>
                <w:i/>
                <w:color w:val="auto"/>
                <w:kern w:val="0"/>
                <w:sz w:val="24"/>
                <w:szCs w:val="24"/>
                <w:vertAlign w:val="subscript"/>
              </w:rPr>
              <w:t>j</w:t>
            </w:r>
            <w:r>
              <w:rPr>
                <w:rFonts w:hint="default" w:ascii="Times New Roman" w:hAnsi="Times New Roman" w:eastAsia="宋体" w:cs="Times New Roman"/>
                <w:b/>
                <w:i/>
                <w:color w:val="auto"/>
                <w:kern w:val="0"/>
                <w:sz w:val="24"/>
                <w:szCs w:val="24"/>
              </w:rPr>
              <w:t>：</w:t>
            </w:r>
            <w:r>
              <w:rPr>
                <w:rFonts w:hint="default" w:ascii="Times New Roman" w:hAnsi="Times New Roman" w:eastAsia="宋体" w:cs="Times New Roman"/>
                <w:color w:val="auto"/>
                <w:kern w:val="0"/>
                <w:sz w:val="24"/>
                <w:szCs w:val="24"/>
              </w:rPr>
              <w:t>为在j点水温，t℃。</w:t>
            </w:r>
          </w:p>
          <w:p w14:paraId="39930B5C">
            <w:pPr>
              <w:adjustRightInd w:val="0"/>
              <w:snapToGrid w:val="0"/>
              <w:spacing w:line="460" w:lineRule="exact"/>
              <w:ind w:firstLine="480" w:firstLineChars="200"/>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color w:val="auto"/>
                <w:kern w:val="0"/>
                <w:sz w:val="24"/>
                <w:szCs w:val="24"/>
              </w:rPr>
              <w:t>当以</w:t>
            </w:r>
            <w:r>
              <w:rPr>
                <w:rFonts w:hint="default" w:ascii="Times New Roman" w:hAnsi="Times New Roman" w:eastAsia="宋体" w:cs="Times New Roman"/>
                <w:color w:val="auto"/>
                <w:kern w:val="0"/>
                <w:sz w:val="24"/>
                <w:szCs w:val="24"/>
                <w:highlight w:val="none"/>
              </w:rPr>
              <w:t>上公式计算的污染指数I</w:t>
            </w:r>
            <w:r>
              <w:rPr>
                <w:rFonts w:hint="default" w:ascii="Times New Roman" w:hAnsi="Times New Roman" w:eastAsia="宋体" w:cs="Times New Roman"/>
                <w:color w:val="auto"/>
                <w:kern w:val="0"/>
                <w:sz w:val="24"/>
                <w:szCs w:val="24"/>
                <w:highlight w:val="none"/>
                <w:vertAlign w:val="subscript"/>
              </w:rPr>
              <w:t>ij</w:t>
            </w:r>
            <w:r>
              <w:rPr>
                <w:rFonts w:hint="default" w:ascii="Times New Roman" w:hAnsi="Times New Roman" w:eastAsia="宋体" w:cs="Times New Roman"/>
                <w:color w:val="auto"/>
                <w:kern w:val="0"/>
                <w:sz w:val="24"/>
                <w:szCs w:val="24"/>
                <w:highlight w:val="none"/>
              </w:rPr>
              <w:t>＞1时，即表明该项指标已经超过了规定的质量标准。</w:t>
            </w:r>
          </w:p>
          <w:p w14:paraId="3F45A38B">
            <w:pPr>
              <w:adjustRightInd w:val="0"/>
              <w:snapToGrid w:val="0"/>
              <w:spacing w:line="460" w:lineRule="exact"/>
              <w:ind w:firstLine="482" w:firstLineChars="20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w:t>
            </w:r>
            <w:r>
              <w:rPr>
                <w:rFonts w:hint="eastAsia" w:cs="Times New Roman"/>
                <w:b/>
                <w:bCs/>
                <w:sz w:val="24"/>
                <w:szCs w:val="24"/>
                <w:highlight w:val="none"/>
                <w:lang w:val="en-US" w:eastAsia="zh-CN"/>
              </w:rPr>
              <w:t>3</w:t>
            </w:r>
            <w:r>
              <w:rPr>
                <w:rFonts w:hint="default" w:ascii="Times New Roman" w:hAnsi="Times New Roman" w:eastAsia="宋体" w:cs="Times New Roman"/>
                <w:b/>
                <w:bCs/>
                <w:sz w:val="24"/>
                <w:szCs w:val="24"/>
                <w:highlight w:val="none"/>
                <w:lang w:val="en-US" w:eastAsia="zh-CN"/>
              </w:rPr>
              <w:t>.</w:t>
            </w:r>
            <w:r>
              <w:rPr>
                <w:rFonts w:hint="eastAsia" w:cs="Times New Roman"/>
                <w:b/>
                <w:bCs/>
                <w:sz w:val="24"/>
                <w:szCs w:val="24"/>
                <w:highlight w:val="none"/>
                <w:lang w:val="en-US" w:eastAsia="zh-CN"/>
              </w:rPr>
              <w:t>2</w:t>
            </w:r>
            <w:r>
              <w:rPr>
                <w:rFonts w:hint="default" w:ascii="Times New Roman" w:hAnsi="Times New Roman" w:eastAsia="宋体" w:cs="Times New Roman"/>
                <w:b/>
                <w:bCs/>
                <w:sz w:val="24"/>
                <w:szCs w:val="24"/>
                <w:highlight w:val="none"/>
                <w:lang w:val="en-US" w:eastAsia="zh-CN"/>
              </w:rPr>
              <w:t>-2  地表水环境质量监测结果汇总表  单位：mg/L（pH无量纲）</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03"/>
              <w:gridCol w:w="1420"/>
              <w:gridCol w:w="1209"/>
              <w:gridCol w:w="1205"/>
              <w:gridCol w:w="1205"/>
              <w:gridCol w:w="1205"/>
              <w:gridCol w:w="1000"/>
              <w:gridCol w:w="1202"/>
            </w:tblGrid>
            <w:tr w14:paraId="7E3EC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tcBorders>
                    <w:tl2br w:val="nil"/>
                    <w:tr2bl w:val="nil"/>
                  </w:tcBorders>
                  <w:vAlign w:val="center"/>
                </w:tcPr>
                <w:p w14:paraId="7DD1F537">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w:t>
                  </w:r>
                </w:p>
                <w:p w14:paraId="47F96B9B">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点位</w:t>
                  </w:r>
                </w:p>
              </w:tc>
              <w:tc>
                <w:tcPr>
                  <w:tcW w:w="767" w:type="pct"/>
                  <w:tcBorders>
                    <w:tl2br w:val="nil"/>
                    <w:tr2bl w:val="nil"/>
                  </w:tcBorders>
                  <w:vAlign w:val="center"/>
                </w:tcPr>
                <w:p w14:paraId="70AF3982">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监测项目</w:t>
                  </w:r>
                </w:p>
              </w:tc>
              <w:tc>
                <w:tcPr>
                  <w:tcW w:w="653" w:type="pct"/>
                  <w:tcBorders>
                    <w:tl2br w:val="nil"/>
                    <w:tr2bl w:val="nil"/>
                  </w:tcBorders>
                  <w:vAlign w:val="center"/>
                </w:tcPr>
                <w:p w14:paraId="1AA565A5">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pH</w:t>
                  </w:r>
                </w:p>
              </w:tc>
              <w:tc>
                <w:tcPr>
                  <w:tcW w:w="651" w:type="pct"/>
                  <w:tcBorders>
                    <w:tl2br w:val="nil"/>
                    <w:tr2bl w:val="nil"/>
                  </w:tcBorders>
                  <w:vAlign w:val="center"/>
                </w:tcPr>
                <w:p w14:paraId="54C90F2B">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悬浮物</w:t>
                  </w:r>
                </w:p>
              </w:tc>
              <w:tc>
                <w:tcPr>
                  <w:tcW w:w="651" w:type="pct"/>
                  <w:tcBorders>
                    <w:tl2br w:val="nil"/>
                    <w:tr2bl w:val="nil"/>
                  </w:tcBorders>
                  <w:vAlign w:val="center"/>
                </w:tcPr>
                <w:p w14:paraId="39BA87CE">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COD</w:t>
                  </w:r>
                </w:p>
              </w:tc>
              <w:tc>
                <w:tcPr>
                  <w:tcW w:w="651" w:type="pct"/>
                  <w:tcBorders>
                    <w:tl2br w:val="nil"/>
                    <w:tr2bl w:val="nil"/>
                  </w:tcBorders>
                  <w:vAlign w:val="center"/>
                </w:tcPr>
                <w:p w14:paraId="09F83534">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石油类</w:t>
                  </w:r>
                </w:p>
              </w:tc>
              <w:tc>
                <w:tcPr>
                  <w:tcW w:w="540" w:type="pct"/>
                  <w:tcBorders>
                    <w:tl2br w:val="nil"/>
                    <w:tr2bl w:val="nil"/>
                  </w:tcBorders>
                  <w:vAlign w:val="center"/>
                </w:tcPr>
                <w:p w14:paraId="16F0366C">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氨氮</w:t>
                  </w:r>
                </w:p>
              </w:tc>
              <w:tc>
                <w:tcPr>
                  <w:tcW w:w="649" w:type="pct"/>
                  <w:tcBorders>
                    <w:tl2br w:val="nil"/>
                    <w:tr2bl w:val="nil"/>
                  </w:tcBorders>
                  <w:vAlign w:val="center"/>
                </w:tcPr>
                <w:p w14:paraId="7C56285E">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总磷</w:t>
                  </w:r>
                </w:p>
              </w:tc>
            </w:tr>
            <w:tr w14:paraId="2BE01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restart"/>
                  <w:tcBorders>
                    <w:tl2br w:val="nil"/>
                    <w:tr2bl w:val="nil"/>
                  </w:tcBorders>
                  <w:vAlign w:val="center"/>
                </w:tcPr>
                <w:p w14:paraId="44FBFEF5">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W2</w:t>
                  </w:r>
                </w:p>
              </w:tc>
              <w:tc>
                <w:tcPr>
                  <w:tcW w:w="767" w:type="pct"/>
                  <w:tcBorders>
                    <w:tl2br w:val="nil"/>
                    <w:tr2bl w:val="nil"/>
                  </w:tcBorders>
                  <w:vAlign w:val="center"/>
                </w:tcPr>
                <w:p w14:paraId="1D34782D">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最小值</w:t>
                  </w:r>
                </w:p>
              </w:tc>
              <w:tc>
                <w:tcPr>
                  <w:tcW w:w="653" w:type="pct"/>
                  <w:tcBorders>
                    <w:tl2br w:val="nil"/>
                    <w:tr2bl w:val="nil"/>
                  </w:tcBorders>
                  <w:vAlign w:val="center"/>
                </w:tcPr>
                <w:p w14:paraId="5CF2B9DF">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8</w:t>
                  </w:r>
                </w:p>
              </w:tc>
              <w:tc>
                <w:tcPr>
                  <w:tcW w:w="651" w:type="pct"/>
                  <w:tcBorders>
                    <w:tl2br w:val="nil"/>
                    <w:tr2bl w:val="nil"/>
                  </w:tcBorders>
                  <w:vAlign w:val="center"/>
                </w:tcPr>
                <w:p w14:paraId="70E51772">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9</w:t>
                  </w:r>
                </w:p>
              </w:tc>
              <w:tc>
                <w:tcPr>
                  <w:tcW w:w="651" w:type="pct"/>
                  <w:tcBorders>
                    <w:tl2br w:val="nil"/>
                    <w:tr2bl w:val="nil"/>
                  </w:tcBorders>
                  <w:shd w:val="clear" w:color="auto" w:fill="auto"/>
                  <w:vAlign w:val="center"/>
                </w:tcPr>
                <w:p w14:paraId="5FE383D5">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11</w:t>
                  </w:r>
                </w:p>
              </w:tc>
              <w:tc>
                <w:tcPr>
                  <w:tcW w:w="651" w:type="pct"/>
                  <w:tcBorders>
                    <w:tl2br w:val="nil"/>
                    <w:tr2bl w:val="nil"/>
                  </w:tcBorders>
                  <w:shd w:val="clear" w:color="auto" w:fill="auto"/>
                  <w:vAlign w:val="center"/>
                </w:tcPr>
                <w:p w14:paraId="38CB1D69">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ND</w:t>
                  </w:r>
                </w:p>
              </w:tc>
              <w:tc>
                <w:tcPr>
                  <w:tcW w:w="540" w:type="pct"/>
                  <w:tcBorders>
                    <w:tl2br w:val="nil"/>
                    <w:tr2bl w:val="nil"/>
                  </w:tcBorders>
                  <w:shd w:val="clear" w:color="auto" w:fill="auto"/>
                  <w:vAlign w:val="center"/>
                </w:tcPr>
                <w:p w14:paraId="78B4A702">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0.557</w:t>
                  </w:r>
                </w:p>
              </w:tc>
              <w:tc>
                <w:tcPr>
                  <w:tcW w:w="649" w:type="pct"/>
                  <w:tcBorders>
                    <w:tl2br w:val="nil"/>
                    <w:tr2bl w:val="nil"/>
                  </w:tcBorders>
                  <w:shd w:val="clear" w:color="auto" w:fill="auto"/>
                  <w:vAlign w:val="center"/>
                </w:tcPr>
                <w:p w14:paraId="45199350">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0.11</w:t>
                  </w:r>
                </w:p>
              </w:tc>
            </w:tr>
            <w:tr w14:paraId="6A6F8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35FB925A">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082861F3">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最大值</w:t>
                  </w:r>
                </w:p>
              </w:tc>
              <w:tc>
                <w:tcPr>
                  <w:tcW w:w="653" w:type="pct"/>
                  <w:tcBorders>
                    <w:tl2br w:val="nil"/>
                    <w:tr2bl w:val="nil"/>
                  </w:tcBorders>
                  <w:vAlign w:val="center"/>
                </w:tcPr>
                <w:p w14:paraId="4696F7CB">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8.4</w:t>
                  </w:r>
                </w:p>
              </w:tc>
              <w:tc>
                <w:tcPr>
                  <w:tcW w:w="651" w:type="pct"/>
                  <w:tcBorders>
                    <w:tl2br w:val="nil"/>
                    <w:tr2bl w:val="nil"/>
                  </w:tcBorders>
                  <w:vAlign w:val="center"/>
                </w:tcPr>
                <w:p w14:paraId="528EF7F5">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10</w:t>
                  </w:r>
                </w:p>
              </w:tc>
              <w:tc>
                <w:tcPr>
                  <w:tcW w:w="651" w:type="pct"/>
                  <w:tcBorders>
                    <w:tl2br w:val="nil"/>
                    <w:tr2bl w:val="nil"/>
                  </w:tcBorders>
                  <w:shd w:val="clear" w:color="auto" w:fill="auto"/>
                  <w:vAlign w:val="center"/>
                </w:tcPr>
                <w:p w14:paraId="583FE0B8">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18</w:t>
                  </w:r>
                </w:p>
              </w:tc>
              <w:tc>
                <w:tcPr>
                  <w:tcW w:w="651" w:type="pct"/>
                  <w:tcBorders>
                    <w:tl2br w:val="nil"/>
                    <w:tr2bl w:val="nil"/>
                  </w:tcBorders>
                  <w:shd w:val="clear" w:color="auto" w:fill="auto"/>
                  <w:vAlign w:val="center"/>
                </w:tcPr>
                <w:p w14:paraId="403DF818">
                  <w:pPr>
                    <w:adjustRightInd w:val="0"/>
                    <w:snapToGrid w:val="0"/>
                    <w:jc w:val="center"/>
                    <w:rPr>
                      <w:rFonts w:hint="default" w:ascii="Times New Roman" w:hAnsi="Times New Roman" w:eastAsia="宋体" w:cs="Times New Roman"/>
                      <w:bCs/>
                      <w:color w:val="auto"/>
                      <w:kern w:val="28"/>
                      <w:sz w:val="21"/>
                      <w:szCs w:val="21"/>
                      <w:highlight w:val="none"/>
                    </w:rPr>
                  </w:pPr>
                  <w:r>
                    <w:rPr>
                      <w:bCs/>
                      <w:color w:val="auto"/>
                      <w:kern w:val="28"/>
                      <w:sz w:val="21"/>
                      <w:szCs w:val="21"/>
                      <w:highlight w:val="none"/>
                    </w:rPr>
                    <w:t>ND</w:t>
                  </w:r>
                </w:p>
              </w:tc>
              <w:tc>
                <w:tcPr>
                  <w:tcW w:w="540" w:type="pct"/>
                  <w:tcBorders>
                    <w:tl2br w:val="nil"/>
                    <w:tr2bl w:val="nil"/>
                  </w:tcBorders>
                  <w:shd w:val="clear" w:color="auto" w:fill="auto"/>
                  <w:vAlign w:val="center"/>
                </w:tcPr>
                <w:p w14:paraId="3C7BD164">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0.628</w:t>
                  </w:r>
                </w:p>
              </w:tc>
              <w:tc>
                <w:tcPr>
                  <w:tcW w:w="649" w:type="pct"/>
                  <w:tcBorders>
                    <w:tl2br w:val="nil"/>
                    <w:tr2bl w:val="nil"/>
                  </w:tcBorders>
                  <w:shd w:val="clear" w:color="auto" w:fill="auto"/>
                  <w:vAlign w:val="center"/>
                </w:tcPr>
                <w:p w14:paraId="2E031C49">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0.13</w:t>
                  </w:r>
                </w:p>
              </w:tc>
            </w:tr>
            <w:tr w14:paraId="5591E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6D5605A4">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47084CE3">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平均值</w:t>
                  </w:r>
                </w:p>
              </w:tc>
              <w:tc>
                <w:tcPr>
                  <w:tcW w:w="653" w:type="pct"/>
                  <w:tcBorders>
                    <w:tl2br w:val="nil"/>
                    <w:tr2bl w:val="nil"/>
                  </w:tcBorders>
                  <w:vAlign w:val="center"/>
                </w:tcPr>
                <w:p w14:paraId="7C1C6487">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8.3</w:t>
                  </w:r>
                </w:p>
              </w:tc>
              <w:tc>
                <w:tcPr>
                  <w:tcW w:w="651" w:type="pct"/>
                  <w:tcBorders>
                    <w:tl2br w:val="nil"/>
                    <w:tr2bl w:val="nil"/>
                  </w:tcBorders>
                  <w:vAlign w:val="center"/>
                </w:tcPr>
                <w:p w14:paraId="1D213888">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9.2</w:t>
                  </w:r>
                </w:p>
              </w:tc>
              <w:tc>
                <w:tcPr>
                  <w:tcW w:w="651" w:type="pct"/>
                  <w:tcBorders>
                    <w:tl2br w:val="nil"/>
                    <w:tr2bl w:val="nil"/>
                  </w:tcBorders>
                  <w:shd w:val="clear" w:color="auto" w:fill="auto"/>
                  <w:vAlign w:val="center"/>
                </w:tcPr>
                <w:p w14:paraId="1DE5FCDF">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14.8</w:t>
                  </w:r>
                </w:p>
              </w:tc>
              <w:tc>
                <w:tcPr>
                  <w:tcW w:w="651" w:type="pct"/>
                  <w:tcBorders>
                    <w:tl2br w:val="nil"/>
                    <w:tr2bl w:val="nil"/>
                  </w:tcBorders>
                  <w:shd w:val="clear" w:color="auto" w:fill="auto"/>
                  <w:vAlign w:val="center"/>
                </w:tcPr>
                <w:p w14:paraId="69DB5378">
                  <w:pPr>
                    <w:adjustRightInd w:val="0"/>
                    <w:snapToGrid w:val="0"/>
                    <w:jc w:val="center"/>
                    <w:rPr>
                      <w:rFonts w:hint="default" w:ascii="Times New Roman" w:hAnsi="Times New Roman" w:eastAsia="宋体" w:cs="Times New Roman"/>
                      <w:bCs/>
                      <w:color w:val="auto"/>
                      <w:kern w:val="28"/>
                      <w:sz w:val="21"/>
                      <w:szCs w:val="21"/>
                      <w:highlight w:val="none"/>
                    </w:rPr>
                  </w:pPr>
                  <w:r>
                    <w:rPr>
                      <w:bCs/>
                      <w:color w:val="auto"/>
                      <w:kern w:val="28"/>
                      <w:sz w:val="21"/>
                      <w:szCs w:val="21"/>
                      <w:highlight w:val="none"/>
                    </w:rPr>
                    <w:t>ND</w:t>
                  </w:r>
                </w:p>
              </w:tc>
              <w:tc>
                <w:tcPr>
                  <w:tcW w:w="540" w:type="pct"/>
                  <w:tcBorders>
                    <w:tl2br w:val="nil"/>
                    <w:tr2bl w:val="nil"/>
                  </w:tcBorders>
                  <w:shd w:val="clear" w:color="auto" w:fill="auto"/>
                  <w:vAlign w:val="center"/>
                </w:tcPr>
                <w:p w14:paraId="13C9C488">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0.60</w:t>
                  </w:r>
                </w:p>
              </w:tc>
              <w:tc>
                <w:tcPr>
                  <w:tcW w:w="649" w:type="pct"/>
                  <w:tcBorders>
                    <w:tl2br w:val="nil"/>
                    <w:tr2bl w:val="nil"/>
                  </w:tcBorders>
                  <w:shd w:val="clear" w:color="auto" w:fill="auto"/>
                  <w:vAlign w:val="center"/>
                </w:tcPr>
                <w:p w14:paraId="5222BE7F">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0.12</w:t>
                  </w:r>
                </w:p>
              </w:tc>
            </w:tr>
            <w:tr w14:paraId="72FD1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0ED0A644">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16530F42">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超标率</w:t>
                  </w:r>
                </w:p>
              </w:tc>
              <w:tc>
                <w:tcPr>
                  <w:tcW w:w="653" w:type="pct"/>
                  <w:tcBorders>
                    <w:tl2br w:val="nil"/>
                    <w:tr2bl w:val="nil"/>
                  </w:tcBorders>
                  <w:vAlign w:val="center"/>
                </w:tcPr>
                <w:p w14:paraId="521C0CC3">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51" w:type="pct"/>
                  <w:tcBorders>
                    <w:tl2br w:val="nil"/>
                    <w:tr2bl w:val="nil"/>
                  </w:tcBorders>
                  <w:vAlign w:val="center"/>
                </w:tcPr>
                <w:p w14:paraId="037C6060">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51" w:type="pct"/>
                  <w:tcBorders>
                    <w:tl2br w:val="nil"/>
                    <w:tr2bl w:val="nil"/>
                  </w:tcBorders>
                  <w:shd w:val="clear" w:color="auto" w:fill="auto"/>
                  <w:vAlign w:val="center"/>
                </w:tcPr>
                <w:p w14:paraId="5968BD65">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51" w:type="pct"/>
                  <w:tcBorders>
                    <w:tl2br w:val="nil"/>
                    <w:tr2bl w:val="nil"/>
                  </w:tcBorders>
                  <w:shd w:val="clear" w:color="auto" w:fill="auto"/>
                  <w:vAlign w:val="center"/>
                </w:tcPr>
                <w:p w14:paraId="2197EECE">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540" w:type="pct"/>
                  <w:tcBorders>
                    <w:tl2br w:val="nil"/>
                    <w:tr2bl w:val="nil"/>
                  </w:tcBorders>
                  <w:shd w:val="clear" w:color="auto" w:fill="auto"/>
                  <w:vAlign w:val="center"/>
                </w:tcPr>
                <w:p w14:paraId="1C0884C4">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49" w:type="pct"/>
                  <w:tcBorders>
                    <w:tl2br w:val="nil"/>
                    <w:tr2bl w:val="nil"/>
                  </w:tcBorders>
                  <w:shd w:val="clear" w:color="auto" w:fill="auto"/>
                  <w:vAlign w:val="center"/>
                </w:tcPr>
                <w:p w14:paraId="3CC025D1">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r>
            <w:tr w14:paraId="039D4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0465AF9B">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001D6529">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标准指数</w:t>
                  </w:r>
                </w:p>
              </w:tc>
              <w:tc>
                <w:tcPr>
                  <w:tcW w:w="653" w:type="pct"/>
                  <w:tcBorders>
                    <w:tl2br w:val="nil"/>
                    <w:tr2bl w:val="nil"/>
                  </w:tcBorders>
                  <w:vAlign w:val="center"/>
                </w:tcPr>
                <w:p w14:paraId="104599E5">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0.7</w:t>
                  </w:r>
                </w:p>
              </w:tc>
              <w:tc>
                <w:tcPr>
                  <w:tcW w:w="651" w:type="pct"/>
                  <w:tcBorders>
                    <w:tl2br w:val="nil"/>
                    <w:tr2bl w:val="nil"/>
                  </w:tcBorders>
                  <w:vAlign w:val="center"/>
                </w:tcPr>
                <w:p w14:paraId="2D9A2242">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0.33</w:t>
                  </w:r>
                </w:p>
              </w:tc>
              <w:tc>
                <w:tcPr>
                  <w:tcW w:w="651" w:type="pct"/>
                  <w:tcBorders>
                    <w:tl2br w:val="nil"/>
                    <w:tr2bl w:val="nil"/>
                  </w:tcBorders>
                  <w:shd w:val="clear" w:color="auto" w:fill="auto"/>
                  <w:vAlign w:val="center"/>
                </w:tcPr>
                <w:p w14:paraId="316BA067">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0.9</w:t>
                  </w:r>
                </w:p>
              </w:tc>
              <w:tc>
                <w:tcPr>
                  <w:tcW w:w="651" w:type="pct"/>
                  <w:tcBorders>
                    <w:tl2br w:val="nil"/>
                    <w:tr2bl w:val="nil"/>
                  </w:tcBorders>
                  <w:shd w:val="clear" w:color="auto" w:fill="auto"/>
                  <w:vAlign w:val="center"/>
                </w:tcPr>
                <w:p w14:paraId="4520B743">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540" w:type="pct"/>
                  <w:tcBorders>
                    <w:tl2br w:val="nil"/>
                    <w:tr2bl w:val="nil"/>
                  </w:tcBorders>
                  <w:shd w:val="clear" w:color="auto" w:fill="auto"/>
                  <w:vAlign w:val="center"/>
                </w:tcPr>
                <w:p w14:paraId="6E551BBC">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0.63</w:t>
                  </w:r>
                </w:p>
              </w:tc>
              <w:tc>
                <w:tcPr>
                  <w:tcW w:w="649" w:type="pct"/>
                  <w:tcBorders>
                    <w:tl2br w:val="nil"/>
                    <w:tr2bl w:val="nil"/>
                  </w:tcBorders>
                  <w:shd w:val="clear" w:color="auto" w:fill="auto"/>
                  <w:vAlign w:val="center"/>
                </w:tcPr>
                <w:p w14:paraId="22EC1609">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0.65</w:t>
                  </w:r>
                </w:p>
              </w:tc>
            </w:tr>
            <w:tr w14:paraId="596DB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restart"/>
                  <w:tcBorders>
                    <w:tl2br w:val="nil"/>
                    <w:tr2bl w:val="nil"/>
                  </w:tcBorders>
                  <w:vAlign w:val="center"/>
                </w:tcPr>
                <w:p w14:paraId="4047E1C9">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W3</w:t>
                  </w:r>
                </w:p>
              </w:tc>
              <w:tc>
                <w:tcPr>
                  <w:tcW w:w="767" w:type="pct"/>
                  <w:tcBorders>
                    <w:tl2br w:val="nil"/>
                    <w:tr2bl w:val="nil"/>
                  </w:tcBorders>
                  <w:vAlign w:val="center"/>
                </w:tcPr>
                <w:p w14:paraId="7BA97F13">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最小值</w:t>
                  </w:r>
                </w:p>
              </w:tc>
              <w:tc>
                <w:tcPr>
                  <w:tcW w:w="653" w:type="pct"/>
                  <w:tcBorders>
                    <w:tl2br w:val="nil"/>
                    <w:tr2bl w:val="nil"/>
                  </w:tcBorders>
                  <w:vAlign w:val="center"/>
                </w:tcPr>
                <w:p w14:paraId="4960CE8E">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8.2</w:t>
                  </w:r>
                </w:p>
              </w:tc>
              <w:tc>
                <w:tcPr>
                  <w:tcW w:w="651" w:type="pct"/>
                  <w:tcBorders>
                    <w:tl2br w:val="nil"/>
                    <w:tr2bl w:val="nil"/>
                  </w:tcBorders>
                  <w:vAlign w:val="center"/>
                </w:tcPr>
                <w:p w14:paraId="04C48996">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10</w:t>
                  </w:r>
                </w:p>
              </w:tc>
              <w:tc>
                <w:tcPr>
                  <w:tcW w:w="651" w:type="pct"/>
                  <w:tcBorders>
                    <w:tl2br w:val="nil"/>
                    <w:tr2bl w:val="nil"/>
                  </w:tcBorders>
                  <w:shd w:val="clear" w:color="auto" w:fill="auto"/>
                  <w:vAlign w:val="center"/>
                </w:tcPr>
                <w:p w14:paraId="4A7A4D8A">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14</w:t>
                  </w:r>
                </w:p>
              </w:tc>
              <w:tc>
                <w:tcPr>
                  <w:tcW w:w="651" w:type="pct"/>
                  <w:tcBorders>
                    <w:tl2br w:val="nil"/>
                    <w:tr2bl w:val="nil"/>
                  </w:tcBorders>
                  <w:shd w:val="clear" w:color="auto" w:fill="auto"/>
                  <w:vAlign w:val="center"/>
                </w:tcPr>
                <w:p w14:paraId="4CD7089D">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ND</w:t>
                  </w:r>
                </w:p>
              </w:tc>
              <w:tc>
                <w:tcPr>
                  <w:tcW w:w="540" w:type="pct"/>
                  <w:tcBorders>
                    <w:tl2br w:val="nil"/>
                    <w:tr2bl w:val="nil"/>
                  </w:tcBorders>
                  <w:shd w:val="clear" w:color="auto" w:fill="auto"/>
                  <w:vAlign w:val="center"/>
                </w:tcPr>
                <w:p w14:paraId="66CC8294">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0.858</w:t>
                  </w:r>
                </w:p>
              </w:tc>
              <w:tc>
                <w:tcPr>
                  <w:tcW w:w="649" w:type="pct"/>
                  <w:tcBorders>
                    <w:tl2br w:val="nil"/>
                    <w:tr2bl w:val="nil"/>
                  </w:tcBorders>
                  <w:shd w:val="clear" w:color="auto" w:fill="auto"/>
                  <w:vAlign w:val="center"/>
                </w:tcPr>
                <w:p w14:paraId="0287C591">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0.08</w:t>
                  </w:r>
                </w:p>
              </w:tc>
            </w:tr>
            <w:tr w14:paraId="50E3C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1E521E16">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35950C8F">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最大值</w:t>
                  </w:r>
                </w:p>
              </w:tc>
              <w:tc>
                <w:tcPr>
                  <w:tcW w:w="653" w:type="pct"/>
                  <w:tcBorders>
                    <w:tl2br w:val="nil"/>
                    <w:tr2bl w:val="nil"/>
                  </w:tcBorders>
                  <w:vAlign w:val="center"/>
                </w:tcPr>
                <w:p w14:paraId="3289EDDD">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8.6</w:t>
                  </w:r>
                </w:p>
              </w:tc>
              <w:tc>
                <w:tcPr>
                  <w:tcW w:w="651" w:type="pct"/>
                  <w:tcBorders>
                    <w:tl2br w:val="nil"/>
                    <w:tr2bl w:val="nil"/>
                  </w:tcBorders>
                  <w:vAlign w:val="center"/>
                </w:tcPr>
                <w:p w14:paraId="244BAC6B">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12</w:t>
                  </w:r>
                </w:p>
              </w:tc>
              <w:tc>
                <w:tcPr>
                  <w:tcW w:w="651" w:type="pct"/>
                  <w:tcBorders>
                    <w:tl2br w:val="nil"/>
                    <w:tr2bl w:val="nil"/>
                  </w:tcBorders>
                  <w:shd w:val="clear" w:color="auto" w:fill="auto"/>
                  <w:vAlign w:val="center"/>
                </w:tcPr>
                <w:p w14:paraId="622E7AD6">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19</w:t>
                  </w:r>
                </w:p>
              </w:tc>
              <w:tc>
                <w:tcPr>
                  <w:tcW w:w="651" w:type="pct"/>
                  <w:tcBorders>
                    <w:tl2br w:val="nil"/>
                    <w:tr2bl w:val="nil"/>
                  </w:tcBorders>
                  <w:shd w:val="clear" w:color="auto" w:fill="auto"/>
                  <w:vAlign w:val="center"/>
                </w:tcPr>
                <w:p w14:paraId="4D5F0E31">
                  <w:pPr>
                    <w:adjustRightInd w:val="0"/>
                    <w:snapToGrid w:val="0"/>
                    <w:jc w:val="center"/>
                    <w:rPr>
                      <w:rFonts w:hint="default" w:ascii="Times New Roman" w:hAnsi="Times New Roman" w:eastAsia="宋体" w:cs="Times New Roman"/>
                      <w:bCs/>
                      <w:color w:val="auto"/>
                      <w:kern w:val="28"/>
                      <w:sz w:val="21"/>
                      <w:szCs w:val="21"/>
                      <w:highlight w:val="none"/>
                    </w:rPr>
                  </w:pPr>
                  <w:r>
                    <w:rPr>
                      <w:bCs/>
                      <w:color w:val="auto"/>
                      <w:kern w:val="28"/>
                      <w:sz w:val="21"/>
                      <w:szCs w:val="21"/>
                      <w:highlight w:val="none"/>
                    </w:rPr>
                    <w:t>ND</w:t>
                  </w:r>
                </w:p>
              </w:tc>
              <w:tc>
                <w:tcPr>
                  <w:tcW w:w="540" w:type="pct"/>
                  <w:tcBorders>
                    <w:tl2br w:val="nil"/>
                    <w:tr2bl w:val="nil"/>
                  </w:tcBorders>
                  <w:shd w:val="clear" w:color="auto" w:fill="auto"/>
                  <w:vAlign w:val="center"/>
                </w:tcPr>
                <w:p w14:paraId="3AE73FD0">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0.961</w:t>
                  </w:r>
                </w:p>
              </w:tc>
              <w:tc>
                <w:tcPr>
                  <w:tcW w:w="649" w:type="pct"/>
                  <w:tcBorders>
                    <w:tl2br w:val="nil"/>
                    <w:tr2bl w:val="nil"/>
                  </w:tcBorders>
                  <w:shd w:val="clear" w:color="auto" w:fill="auto"/>
                  <w:vAlign w:val="center"/>
                </w:tcPr>
                <w:p w14:paraId="0A4E296B">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0.11</w:t>
                  </w:r>
                </w:p>
              </w:tc>
            </w:tr>
            <w:tr w14:paraId="04910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42F1D460">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79C6ECD6">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平均值</w:t>
                  </w:r>
                </w:p>
              </w:tc>
              <w:tc>
                <w:tcPr>
                  <w:tcW w:w="653" w:type="pct"/>
                  <w:tcBorders>
                    <w:tl2br w:val="nil"/>
                    <w:tr2bl w:val="nil"/>
                  </w:tcBorders>
                  <w:vAlign w:val="center"/>
                </w:tcPr>
                <w:p w14:paraId="50C7A60D">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8.4</w:t>
                  </w:r>
                </w:p>
              </w:tc>
              <w:tc>
                <w:tcPr>
                  <w:tcW w:w="651" w:type="pct"/>
                  <w:tcBorders>
                    <w:tl2br w:val="nil"/>
                    <w:tr2bl w:val="nil"/>
                  </w:tcBorders>
                  <w:vAlign w:val="center"/>
                </w:tcPr>
                <w:p w14:paraId="396C6986">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11.3</w:t>
                  </w:r>
                </w:p>
              </w:tc>
              <w:tc>
                <w:tcPr>
                  <w:tcW w:w="651" w:type="pct"/>
                  <w:tcBorders>
                    <w:tl2br w:val="nil"/>
                    <w:tr2bl w:val="nil"/>
                  </w:tcBorders>
                  <w:shd w:val="clear" w:color="auto" w:fill="auto"/>
                  <w:vAlign w:val="center"/>
                </w:tcPr>
                <w:p w14:paraId="339F32C1">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17</w:t>
                  </w:r>
                </w:p>
              </w:tc>
              <w:tc>
                <w:tcPr>
                  <w:tcW w:w="651" w:type="pct"/>
                  <w:tcBorders>
                    <w:tl2br w:val="nil"/>
                    <w:tr2bl w:val="nil"/>
                  </w:tcBorders>
                  <w:shd w:val="clear" w:color="auto" w:fill="auto"/>
                  <w:vAlign w:val="center"/>
                </w:tcPr>
                <w:p w14:paraId="311179F7">
                  <w:pPr>
                    <w:adjustRightInd w:val="0"/>
                    <w:snapToGrid w:val="0"/>
                    <w:jc w:val="center"/>
                    <w:rPr>
                      <w:rFonts w:hint="default" w:ascii="Times New Roman" w:hAnsi="Times New Roman" w:eastAsia="宋体" w:cs="Times New Roman"/>
                      <w:bCs/>
                      <w:color w:val="auto"/>
                      <w:kern w:val="28"/>
                      <w:sz w:val="21"/>
                      <w:szCs w:val="21"/>
                      <w:highlight w:val="none"/>
                    </w:rPr>
                  </w:pPr>
                  <w:r>
                    <w:rPr>
                      <w:bCs/>
                      <w:color w:val="auto"/>
                      <w:kern w:val="28"/>
                      <w:sz w:val="21"/>
                      <w:szCs w:val="21"/>
                      <w:highlight w:val="none"/>
                    </w:rPr>
                    <w:t>ND</w:t>
                  </w:r>
                </w:p>
              </w:tc>
              <w:tc>
                <w:tcPr>
                  <w:tcW w:w="540" w:type="pct"/>
                  <w:tcBorders>
                    <w:tl2br w:val="nil"/>
                    <w:tr2bl w:val="nil"/>
                  </w:tcBorders>
                  <w:shd w:val="clear" w:color="auto" w:fill="auto"/>
                  <w:vAlign w:val="center"/>
                </w:tcPr>
                <w:p w14:paraId="0F4153B9">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0.90</w:t>
                  </w:r>
                </w:p>
              </w:tc>
              <w:tc>
                <w:tcPr>
                  <w:tcW w:w="649" w:type="pct"/>
                  <w:tcBorders>
                    <w:tl2br w:val="nil"/>
                    <w:tr2bl w:val="nil"/>
                  </w:tcBorders>
                  <w:shd w:val="clear" w:color="auto" w:fill="auto"/>
                  <w:vAlign w:val="center"/>
                </w:tcPr>
                <w:p w14:paraId="0152610E">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0.09</w:t>
                  </w:r>
                </w:p>
              </w:tc>
            </w:tr>
            <w:tr w14:paraId="730E4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0F196915">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275C1970">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超标率</w:t>
                  </w:r>
                </w:p>
              </w:tc>
              <w:tc>
                <w:tcPr>
                  <w:tcW w:w="653" w:type="pct"/>
                  <w:tcBorders>
                    <w:tl2br w:val="nil"/>
                    <w:tr2bl w:val="nil"/>
                  </w:tcBorders>
                  <w:vAlign w:val="center"/>
                </w:tcPr>
                <w:p w14:paraId="5C4CB322">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51" w:type="pct"/>
                  <w:tcBorders>
                    <w:tl2br w:val="nil"/>
                    <w:tr2bl w:val="nil"/>
                  </w:tcBorders>
                  <w:vAlign w:val="center"/>
                </w:tcPr>
                <w:p w14:paraId="00990740">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51" w:type="pct"/>
                  <w:tcBorders>
                    <w:tl2br w:val="nil"/>
                    <w:tr2bl w:val="nil"/>
                  </w:tcBorders>
                  <w:shd w:val="clear" w:color="auto" w:fill="auto"/>
                  <w:vAlign w:val="center"/>
                </w:tcPr>
                <w:p w14:paraId="4BE9F329">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51" w:type="pct"/>
                  <w:tcBorders>
                    <w:tl2br w:val="nil"/>
                    <w:tr2bl w:val="nil"/>
                  </w:tcBorders>
                  <w:shd w:val="clear" w:color="auto" w:fill="auto"/>
                  <w:vAlign w:val="center"/>
                </w:tcPr>
                <w:p w14:paraId="7063A62A">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540" w:type="pct"/>
                  <w:tcBorders>
                    <w:tl2br w:val="nil"/>
                    <w:tr2bl w:val="nil"/>
                  </w:tcBorders>
                  <w:shd w:val="clear" w:color="auto" w:fill="auto"/>
                  <w:vAlign w:val="center"/>
                </w:tcPr>
                <w:p w14:paraId="404BA30C">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49" w:type="pct"/>
                  <w:tcBorders>
                    <w:tl2br w:val="nil"/>
                    <w:tr2bl w:val="nil"/>
                  </w:tcBorders>
                  <w:shd w:val="clear" w:color="auto" w:fill="auto"/>
                  <w:vAlign w:val="center"/>
                </w:tcPr>
                <w:p w14:paraId="4B3BF4CF">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r>
            <w:tr w14:paraId="690B6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6EB9B020">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261D3AB9">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标准指数</w:t>
                  </w:r>
                </w:p>
              </w:tc>
              <w:tc>
                <w:tcPr>
                  <w:tcW w:w="653" w:type="pct"/>
                  <w:tcBorders>
                    <w:tl2br w:val="nil"/>
                    <w:tr2bl w:val="nil"/>
                  </w:tcBorders>
                  <w:vAlign w:val="center"/>
                </w:tcPr>
                <w:p w14:paraId="25D71C17">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0.8</w:t>
                  </w:r>
                </w:p>
              </w:tc>
              <w:tc>
                <w:tcPr>
                  <w:tcW w:w="651" w:type="pct"/>
                  <w:tcBorders>
                    <w:tl2br w:val="nil"/>
                    <w:tr2bl w:val="nil"/>
                  </w:tcBorders>
                  <w:vAlign w:val="center"/>
                </w:tcPr>
                <w:p w14:paraId="3457F202">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0.4</w:t>
                  </w:r>
                </w:p>
              </w:tc>
              <w:tc>
                <w:tcPr>
                  <w:tcW w:w="651" w:type="pct"/>
                  <w:tcBorders>
                    <w:tl2br w:val="nil"/>
                    <w:tr2bl w:val="nil"/>
                  </w:tcBorders>
                  <w:shd w:val="clear" w:color="auto" w:fill="auto"/>
                  <w:vAlign w:val="center"/>
                </w:tcPr>
                <w:p w14:paraId="3F3A5CC0">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0.95</w:t>
                  </w:r>
                </w:p>
              </w:tc>
              <w:tc>
                <w:tcPr>
                  <w:tcW w:w="651" w:type="pct"/>
                  <w:tcBorders>
                    <w:tl2br w:val="nil"/>
                    <w:tr2bl w:val="nil"/>
                  </w:tcBorders>
                  <w:shd w:val="clear" w:color="auto" w:fill="auto"/>
                  <w:vAlign w:val="center"/>
                </w:tcPr>
                <w:p w14:paraId="2737FB33">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540" w:type="pct"/>
                  <w:tcBorders>
                    <w:tl2br w:val="nil"/>
                    <w:tr2bl w:val="nil"/>
                  </w:tcBorders>
                  <w:shd w:val="clear" w:color="auto" w:fill="auto"/>
                  <w:vAlign w:val="center"/>
                </w:tcPr>
                <w:p w14:paraId="02A224D5">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0.96</w:t>
                  </w:r>
                </w:p>
              </w:tc>
              <w:tc>
                <w:tcPr>
                  <w:tcW w:w="649" w:type="pct"/>
                  <w:tcBorders>
                    <w:tl2br w:val="nil"/>
                    <w:tr2bl w:val="nil"/>
                  </w:tcBorders>
                  <w:shd w:val="clear" w:color="auto" w:fill="auto"/>
                  <w:vAlign w:val="center"/>
                </w:tcPr>
                <w:p w14:paraId="5BAC2287">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0.55</w:t>
                  </w:r>
                </w:p>
              </w:tc>
            </w:tr>
            <w:tr w14:paraId="1014A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restart"/>
                  <w:tcBorders>
                    <w:tl2br w:val="nil"/>
                    <w:tr2bl w:val="nil"/>
                  </w:tcBorders>
                  <w:vAlign w:val="center"/>
                </w:tcPr>
                <w:p w14:paraId="71D39088">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W4</w:t>
                  </w:r>
                </w:p>
              </w:tc>
              <w:tc>
                <w:tcPr>
                  <w:tcW w:w="767" w:type="pct"/>
                  <w:tcBorders>
                    <w:tl2br w:val="nil"/>
                    <w:tr2bl w:val="nil"/>
                  </w:tcBorders>
                  <w:vAlign w:val="center"/>
                </w:tcPr>
                <w:p w14:paraId="2F0EE43B">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最小值</w:t>
                  </w:r>
                </w:p>
              </w:tc>
              <w:tc>
                <w:tcPr>
                  <w:tcW w:w="653" w:type="pct"/>
                  <w:tcBorders>
                    <w:tl2br w:val="nil"/>
                    <w:tr2bl w:val="nil"/>
                  </w:tcBorders>
                  <w:vAlign w:val="center"/>
                </w:tcPr>
                <w:p w14:paraId="53787BB8">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8.2</w:t>
                  </w:r>
                </w:p>
              </w:tc>
              <w:tc>
                <w:tcPr>
                  <w:tcW w:w="651" w:type="pct"/>
                  <w:tcBorders>
                    <w:tl2br w:val="nil"/>
                    <w:tr2bl w:val="nil"/>
                  </w:tcBorders>
                  <w:vAlign w:val="center"/>
                </w:tcPr>
                <w:p w14:paraId="76D18194">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7</w:t>
                  </w:r>
                </w:p>
              </w:tc>
              <w:tc>
                <w:tcPr>
                  <w:tcW w:w="651" w:type="pct"/>
                  <w:tcBorders>
                    <w:tl2br w:val="nil"/>
                    <w:tr2bl w:val="nil"/>
                  </w:tcBorders>
                  <w:shd w:val="clear" w:color="auto" w:fill="auto"/>
                  <w:vAlign w:val="center"/>
                </w:tcPr>
                <w:p w14:paraId="7F0E14DD">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12</w:t>
                  </w:r>
                </w:p>
              </w:tc>
              <w:tc>
                <w:tcPr>
                  <w:tcW w:w="651" w:type="pct"/>
                  <w:tcBorders>
                    <w:tl2br w:val="nil"/>
                    <w:tr2bl w:val="nil"/>
                  </w:tcBorders>
                  <w:shd w:val="clear" w:color="auto" w:fill="auto"/>
                  <w:vAlign w:val="center"/>
                </w:tcPr>
                <w:p w14:paraId="5A4B94FB">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ND</w:t>
                  </w:r>
                </w:p>
              </w:tc>
              <w:tc>
                <w:tcPr>
                  <w:tcW w:w="540" w:type="pct"/>
                  <w:tcBorders>
                    <w:tl2br w:val="nil"/>
                    <w:tr2bl w:val="nil"/>
                  </w:tcBorders>
                  <w:shd w:val="clear" w:color="auto" w:fill="auto"/>
                  <w:vAlign w:val="center"/>
                </w:tcPr>
                <w:p w14:paraId="32211B85">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0.78</w:t>
                  </w:r>
                  <w:r>
                    <w:rPr>
                      <w:bCs/>
                      <w:color w:val="auto"/>
                      <w:kern w:val="28"/>
                      <w:sz w:val="21"/>
                      <w:szCs w:val="21"/>
                      <w:highlight w:val="none"/>
                    </w:rPr>
                    <w:t>9</w:t>
                  </w:r>
                </w:p>
              </w:tc>
              <w:tc>
                <w:tcPr>
                  <w:tcW w:w="649" w:type="pct"/>
                  <w:tcBorders>
                    <w:tl2br w:val="nil"/>
                    <w:tr2bl w:val="nil"/>
                  </w:tcBorders>
                  <w:shd w:val="clear" w:color="auto" w:fill="auto"/>
                  <w:vAlign w:val="center"/>
                </w:tcPr>
                <w:p w14:paraId="336E4C3D">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0.08</w:t>
                  </w:r>
                </w:p>
              </w:tc>
            </w:tr>
            <w:tr w14:paraId="748D1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2D90569F">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3986B37E">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最大值</w:t>
                  </w:r>
                </w:p>
              </w:tc>
              <w:tc>
                <w:tcPr>
                  <w:tcW w:w="653" w:type="pct"/>
                  <w:tcBorders>
                    <w:tl2br w:val="nil"/>
                    <w:tr2bl w:val="nil"/>
                  </w:tcBorders>
                  <w:vAlign w:val="center"/>
                </w:tcPr>
                <w:p w14:paraId="012BE15D">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8.6</w:t>
                  </w:r>
                </w:p>
              </w:tc>
              <w:tc>
                <w:tcPr>
                  <w:tcW w:w="651" w:type="pct"/>
                  <w:tcBorders>
                    <w:tl2br w:val="nil"/>
                    <w:tr2bl w:val="nil"/>
                  </w:tcBorders>
                  <w:vAlign w:val="center"/>
                </w:tcPr>
                <w:p w14:paraId="2B9AF3D5">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8</w:t>
                  </w:r>
                </w:p>
              </w:tc>
              <w:tc>
                <w:tcPr>
                  <w:tcW w:w="651" w:type="pct"/>
                  <w:tcBorders>
                    <w:tl2br w:val="nil"/>
                    <w:tr2bl w:val="nil"/>
                  </w:tcBorders>
                  <w:shd w:val="clear" w:color="auto" w:fill="auto"/>
                  <w:vAlign w:val="center"/>
                </w:tcPr>
                <w:p w14:paraId="645667EC">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17</w:t>
                  </w:r>
                </w:p>
              </w:tc>
              <w:tc>
                <w:tcPr>
                  <w:tcW w:w="651" w:type="pct"/>
                  <w:tcBorders>
                    <w:tl2br w:val="nil"/>
                    <w:tr2bl w:val="nil"/>
                  </w:tcBorders>
                  <w:shd w:val="clear" w:color="auto" w:fill="auto"/>
                  <w:vAlign w:val="center"/>
                </w:tcPr>
                <w:p w14:paraId="031B33C1">
                  <w:pPr>
                    <w:adjustRightInd w:val="0"/>
                    <w:snapToGrid w:val="0"/>
                    <w:jc w:val="center"/>
                    <w:rPr>
                      <w:rFonts w:hint="default" w:ascii="Times New Roman" w:hAnsi="Times New Roman" w:eastAsia="宋体" w:cs="Times New Roman"/>
                      <w:bCs/>
                      <w:color w:val="auto"/>
                      <w:kern w:val="28"/>
                      <w:sz w:val="21"/>
                      <w:szCs w:val="21"/>
                      <w:highlight w:val="none"/>
                    </w:rPr>
                  </w:pPr>
                  <w:r>
                    <w:rPr>
                      <w:bCs/>
                      <w:color w:val="auto"/>
                      <w:kern w:val="28"/>
                      <w:sz w:val="21"/>
                      <w:szCs w:val="21"/>
                      <w:highlight w:val="none"/>
                    </w:rPr>
                    <w:t>ND</w:t>
                  </w:r>
                </w:p>
              </w:tc>
              <w:tc>
                <w:tcPr>
                  <w:tcW w:w="540" w:type="pct"/>
                  <w:tcBorders>
                    <w:tl2br w:val="nil"/>
                    <w:tr2bl w:val="nil"/>
                  </w:tcBorders>
                  <w:shd w:val="clear" w:color="auto" w:fill="auto"/>
                  <w:vAlign w:val="center"/>
                </w:tcPr>
                <w:p w14:paraId="761008A5">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r>
                    <w:rPr>
                      <w:bCs/>
                      <w:color w:val="auto"/>
                      <w:kern w:val="28"/>
                      <w:sz w:val="21"/>
                      <w:szCs w:val="21"/>
                      <w:highlight w:val="none"/>
                    </w:rPr>
                    <w:t>875</w:t>
                  </w:r>
                </w:p>
              </w:tc>
              <w:tc>
                <w:tcPr>
                  <w:tcW w:w="649" w:type="pct"/>
                  <w:tcBorders>
                    <w:tl2br w:val="nil"/>
                    <w:tr2bl w:val="nil"/>
                  </w:tcBorders>
                  <w:shd w:val="clear" w:color="auto" w:fill="auto"/>
                  <w:vAlign w:val="center"/>
                </w:tcPr>
                <w:p w14:paraId="6903E69B">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0.09</w:t>
                  </w:r>
                </w:p>
              </w:tc>
            </w:tr>
            <w:tr w14:paraId="036A8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60F290B8">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43E47BF5">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平均值</w:t>
                  </w:r>
                </w:p>
              </w:tc>
              <w:tc>
                <w:tcPr>
                  <w:tcW w:w="653" w:type="pct"/>
                  <w:tcBorders>
                    <w:tl2br w:val="nil"/>
                    <w:tr2bl w:val="nil"/>
                  </w:tcBorders>
                  <w:vAlign w:val="center"/>
                </w:tcPr>
                <w:p w14:paraId="6360AD59">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8.3</w:t>
                  </w:r>
                </w:p>
              </w:tc>
              <w:tc>
                <w:tcPr>
                  <w:tcW w:w="651" w:type="pct"/>
                  <w:tcBorders>
                    <w:tl2br w:val="nil"/>
                    <w:tr2bl w:val="nil"/>
                  </w:tcBorders>
                  <w:vAlign w:val="center"/>
                </w:tcPr>
                <w:p w14:paraId="4FFD561D">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7.8</w:t>
                  </w:r>
                </w:p>
              </w:tc>
              <w:tc>
                <w:tcPr>
                  <w:tcW w:w="651" w:type="pct"/>
                  <w:tcBorders>
                    <w:tl2br w:val="nil"/>
                    <w:tr2bl w:val="nil"/>
                  </w:tcBorders>
                  <w:shd w:val="clear" w:color="auto" w:fill="auto"/>
                  <w:vAlign w:val="center"/>
                </w:tcPr>
                <w:p w14:paraId="1E865E62">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15</w:t>
                  </w:r>
                </w:p>
              </w:tc>
              <w:tc>
                <w:tcPr>
                  <w:tcW w:w="651" w:type="pct"/>
                  <w:tcBorders>
                    <w:tl2br w:val="nil"/>
                    <w:tr2bl w:val="nil"/>
                  </w:tcBorders>
                  <w:shd w:val="clear" w:color="auto" w:fill="auto"/>
                  <w:vAlign w:val="center"/>
                </w:tcPr>
                <w:p w14:paraId="4D3DC7C5">
                  <w:pPr>
                    <w:adjustRightInd w:val="0"/>
                    <w:snapToGrid w:val="0"/>
                    <w:jc w:val="center"/>
                    <w:rPr>
                      <w:rFonts w:hint="default" w:ascii="Times New Roman" w:hAnsi="Times New Roman" w:eastAsia="宋体" w:cs="Times New Roman"/>
                      <w:bCs/>
                      <w:color w:val="auto"/>
                      <w:kern w:val="28"/>
                      <w:sz w:val="21"/>
                      <w:szCs w:val="21"/>
                      <w:highlight w:val="none"/>
                    </w:rPr>
                  </w:pPr>
                  <w:r>
                    <w:rPr>
                      <w:bCs/>
                      <w:color w:val="auto"/>
                      <w:kern w:val="28"/>
                      <w:sz w:val="21"/>
                      <w:szCs w:val="21"/>
                      <w:highlight w:val="none"/>
                    </w:rPr>
                    <w:t>ND</w:t>
                  </w:r>
                </w:p>
              </w:tc>
              <w:tc>
                <w:tcPr>
                  <w:tcW w:w="540" w:type="pct"/>
                  <w:tcBorders>
                    <w:tl2br w:val="nil"/>
                    <w:tr2bl w:val="nil"/>
                  </w:tcBorders>
                  <w:shd w:val="clear" w:color="auto" w:fill="auto"/>
                  <w:vAlign w:val="center"/>
                </w:tcPr>
                <w:p w14:paraId="557D4CB5">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0.83</w:t>
                  </w:r>
                </w:p>
              </w:tc>
              <w:tc>
                <w:tcPr>
                  <w:tcW w:w="649" w:type="pct"/>
                  <w:tcBorders>
                    <w:tl2br w:val="nil"/>
                    <w:tr2bl w:val="nil"/>
                  </w:tcBorders>
                  <w:shd w:val="clear" w:color="auto" w:fill="auto"/>
                  <w:vAlign w:val="center"/>
                </w:tcPr>
                <w:p w14:paraId="43F9C93A">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0.08</w:t>
                  </w:r>
                </w:p>
              </w:tc>
            </w:tr>
            <w:tr w14:paraId="3C1BE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289B9659">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24CE0B67">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超标率</w:t>
                  </w:r>
                </w:p>
              </w:tc>
              <w:tc>
                <w:tcPr>
                  <w:tcW w:w="653" w:type="pct"/>
                  <w:tcBorders>
                    <w:tl2br w:val="nil"/>
                    <w:tr2bl w:val="nil"/>
                  </w:tcBorders>
                  <w:vAlign w:val="center"/>
                </w:tcPr>
                <w:p w14:paraId="1F08B8E9">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51" w:type="pct"/>
                  <w:tcBorders>
                    <w:tl2br w:val="nil"/>
                    <w:tr2bl w:val="nil"/>
                  </w:tcBorders>
                  <w:vAlign w:val="center"/>
                </w:tcPr>
                <w:p w14:paraId="2426686C">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51" w:type="pct"/>
                  <w:tcBorders>
                    <w:tl2br w:val="nil"/>
                    <w:tr2bl w:val="nil"/>
                  </w:tcBorders>
                  <w:shd w:val="clear" w:color="auto" w:fill="auto"/>
                  <w:vAlign w:val="center"/>
                </w:tcPr>
                <w:p w14:paraId="02C92A32">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51" w:type="pct"/>
                  <w:tcBorders>
                    <w:tl2br w:val="nil"/>
                    <w:tr2bl w:val="nil"/>
                  </w:tcBorders>
                  <w:shd w:val="clear" w:color="auto" w:fill="auto"/>
                  <w:vAlign w:val="center"/>
                </w:tcPr>
                <w:p w14:paraId="0DAC63DB">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540" w:type="pct"/>
                  <w:tcBorders>
                    <w:tl2br w:val="nil"/>
                    <w:tr2bl w:val="nil"/>
                  </w:tcBorders>
                  <w:shd w:val="clear" w:color="auto" w:fill="auto"/>
                  <w:vAlign w:val="center"/>
                </w:tcPr>
                <w:p w14:paraId="1E4FAC8D">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649" w:type="pct"/>
                  <w:tcBorders>
                    <w:tl2br w:val="nil"/>
                    <w:tr2bl w:val="nil"/>
                  </w:tcBorders>
                  <w:shd w:val="clear" w:color="auto" w:fill="auto"/>
                  <w:vAlign w:val="center"/>
                </w:tcPr>
                <w:p w14:paraId="4F52A701">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r>
            <w:tr w14:paraId="600FF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02A16F7A">
                  <w:pPr>
                    <w:adjustRightInd w:val="0"/>
                    <w:snapToGrid w:val="0"/>
                    <w:jc w:val="center"/>
                    <w:rPr>
                      <w:rFonts w:hint="default" w:ascii="Times New Roman" w:hAnsi="Times New Roman" w:eastAsia="宋体" w:cs="Times New Roman"/>
                      <w:color w:val="auto"/>
                      <w:kern w:val="0"/>
                      <w:sz w:val="21"/>
                      <w:szCs w:val="21"/>
                      <w:highlight w:val="none"/>
                    </w:rPr>
                  </w:pPr>
                </w:p>
              </w:tc>
              <w:tc>
                <w:tcPr>
                  <w:tcW w:w="767" w:type="pct"/>
                  <w:tcBorders>
                    <w:tl2br w:val="nil"/>
                    <w:tr2bl w:val="nil"/>
                  </w:tcBorders>
                  <w:vAlign w:val="center"/>
                </w:tcPr>
                <w:p w14:paraId="40F1B72B">
                  <w:pPr>
                    <w:adjustRightInd w:val="0"/>
                    <w:snapToGrid w:val="0"/>
                    <w:jc w:val="center"/>
                    <w:rPr>
                      <w:rFonts w:hint="default" w:ascii="Times New Roman" w:hAnsi="Times New Roman" w:eastAsia="宋体" w:cs="Times New Roman"/>
                      <w:color w:val="auto"/>
                      <w:kern w:val="0"/>
                      <w:sz w:val="21"/>
                      <w:szCs w:val="21"/>
                      <w:highlight w:val="none"/>
                    </w:rPr>
                  </w:pPr>
                  <w:r>
                    <w:rPr>
                      <w:color w:val="auto"/>
                      <w:kern w:val="0"/>
                      <w:sz w:val="21"/>
                      <w:szCs w:val="21"/>
                      <w:highlight w:val="none"/>
                    </w:rPr>
                    <w:t>标准指数</w:t>
                  </w:r>
                </w:p>
              </w:tc>
              <w:tc>
                <w:tcPr>
                  <w:tcW w:w="653" w:type="pct"/>
                  <w:tcBorders>
                    <w:tl2br w:val="nil"/>
                    <w:tr2bl w:val="nil"/>
                  </w:tcBorders>
                  <w:vAlign w:val="center"/>
                </w:tcPr>
                <w:p w14:paraId="147A16D5">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0.8</w:t>
                  </w:r>
                </w:p>
              </w:tc>
              <w:tc>
                <w:tcPr>
                  <w:tcW w:w="651" w:type="pct"/>
                  <w:tcBorders>
                    <w:tl2br w:val="nil"/>
                    <w:tr2bl w:val="nil"/>
                  </w:tcBorders>
                  <w:vAlign w:val="center"/>
                </w:tcPr>
                <w:p w14:paraId="109551E3">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0.27</w:t>
                  </w:r>
                </w:p>
              </w:tc>
              <w:tc>
                <w:tcPr>
                  <w:tcW w:w="651" w:type="pct"/>
                  <w:tcBorders>
                    <w:tl2br w:val="nil"/>
                    <w:tr2bl w:val="nil"/>
                  </w:tcBorders>
                  <w:shd w:val="clear" w:color="auto" w:fill="auto"/>
                  <w:vAlign w:val="center"/>
                </w:tcPr>
                <w:p w14:paraId="010903D6">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0.85</w:t>
                  </w:r>
                </w:p>
              </w:tc>
              <w:tc>
                <w:tcPr>
                  <w:tcW w:w="651" w:type="pct"/>
                  <w:tcBorders>
                    <w:tl2br w:val="nil"/>
                    <w:tr2bl w:val="nil"/>
                  </w:tcBorders>
                  <w:shd w:val="clear" w:color="auto" w:fill="auto"/>
                  <w:vAlign w:val="center"/>
                </w:tcPr>
                <w:p w14:paraId="2349DFD2">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w:t>
                  </w:r>
                </w:p>
              </w:tc>
              <w:tc>
                <w:tcPr>
                  <w:tcW w:w="540" w:type="pct"/>
                  <w:tcBorders>
                    <w:tl2br w:val="nil"/>
                    <w:tr2bl w:val="nil"/>
                  </w:tcBorders>
                  <w:shd w:val="clear" w:color="auto" w:fill="auto"/>
                  <w:vAlign w:val="center"/>
                </w:tcPr>
                <w:p w14:paraId="48618893">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0.88</w:t>
                  </w:r>
                </w:p>
              </w:tc>
              <w:tc>
                <w:tcPr>
                  <w:tcW w:w="649" w:type="pct"/>
                  <w:tcBorders>
                    <w:tl2br w:val="nil"/>
                    <w:tr2bl w:val="nil"/>
                  </w:tcBorders>
                  <w:shd w:val="clear" w:color="auto" w:fill="auto"/>
                  <w:vAlign w:val="center"/>
                </w:tcPr>
                <w:p w14:paraId="68EF6A27">
                  <w:pPr>
                    <w:adjustRightInd w:val="0"/>
                    <w:snapToGrid w:val="0"/>
                    <w:jc w:val="center"/>
                    <w:rPr>
                      <w:rFonts w:hint="default" w:ascii="Times New Roman" w:hAnsi="Times New Roman" w:eastAsia="宋体" w:cs="Times New Roman"/>
                      <w:bCs/>
                      <w:color w:val="auto"/>
                      <w:kern w:val="28"/>
                      <w:sz w:val="21"/>
                      <w:szCs w:val="21"/>
                      <w:highlight w:val="none"/>
                    </w:rPr>
                  </w:pPr>
                  <w:r>
                    <w:rPr>
                      <w:rFonts w:hint="eastAsia"/>
                      <w:bCs/>
                      <w:color w:val="auto"/>
                      <w:kern w:val="28"/>
                      <w:sz w:val="21"/>
                      <w:szCs w:val="21"/>
                      <w:highlight w:val="none"/>
                    </w:rPr>
                    <w:t>0.45</w:t>
                  </w:r>
                </w:p>
              </w:tc>
            </w:tr>
            <w:tr w14:paraId="501F8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restart"/>
                  <w:tcBorders>
                    <w:tl2br w:val="nil"/>
                    <w:tr2bl w:val="nil"/>
                  </w:tcBorders>
                  <w:vAlign w:val="center"/>
                </w:tcPr>
                <w:p w14:paraId="70B85489">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W5</w:t>
                  </w:r>
                </w:p>
              </w:tc>
              <w:tc>
                <w:tcPr>
                  <w:tcW w:w="767" w:type="pct"/>
                  <w:tcBorders>
                    <w:tl2br w:val="nil"/>
                    <w:tr2bl w:val="nil"/>
                  </w:tcBorders>
                  <w:vAlign w:val="center"/>
                </w:tcPr>
                <w:p w14:paraId="1021F6BE">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最小值</w:t>
                  </w:r>
                </w:p>
              </w:tc>
              <w:tc>
                <w:tcPr>
                  <w:tcW w:w="653" w:type="pct"/>
                  <w:tcBorders>
                    <w:tl2br w:val="nil"/>
                    <w:tr2bl w:val="nil"/>
                  </w:tcBorders>
                  <w:vAlign w:val="center"/>
                </w:tcPr>
                <w:p w14:paraId="6B78BA54">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6.6</w:t>
                  </w:r>
                </w:p>
              </w:tc>
              <w:tc>
                <w:tcPr>
                  <w:tcW w:w="651" w:type="pct"/>
                  <w:tcBorders>
                    <w:tl2br w:val="nil"/>
                    <w:tr2bl w:val="nil"/>
                  </w:tcBorders>
                  <w:vAlign w:val="center"/>
                </w:tcPr>
                <w:p w14:paraId="33BF032F">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19</w:t>
                  </w:r>
                </w:p>
              </w:tc>
              <w:tc>
                <w:tcPr>
                  <w:tcW w:w="651" w:type="pct"/>
                  <w:tcBorders>
                    <w:tl2br w:val="nil"/>
                    <w:tr2bl w:val="nil"/>
                  </w:tcBorders>
                  <w:shd w:val="clear" w:color="auto" w:fill="auto"/>
                  <w:vAlign w:val="center"/>
                </w:tcPr>
                <w:p w14:paraId="5F49A70B">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11</w:t>
                  </w:r>
                </w:p>
              </w:tc>
              <w:tc>
                <w:tcPr>
                  <w:tcW w:w="651" w:type="pct"/>
                  <w:tcBorders>
                    <w:tl2br w:val="nil"/>
                    <w:tr2bl w:val="nil"/>
                  </w:tcBorders>
                  <w:shd w:val="clear" w:color="auto" w:fill="auto"/>
                  <w:vAlign w:val="center"/>
                </w:tcPr>
                <w:p w14:paraId="6662ED8D">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ND</w:t>
                  </w:r>
                </w:p>
              </w:tc>
              <w:tc>
                <w:tcPr>
                  <w:tcW w:w="540" w:type="pct"/>
                  <w:tcBorders>
                    <w:tl2br w:val="nil"/>
                    <w:tr2bl w:val="nil"/>
                  </w:tcBorders>
                  <w:shd w:val="clear" w:color="auto" w:fill="auto"/>
                  <w:vAlign w:val="center"/>
                </w:tcPr>
                <w:p w14:paraId="77311618">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0.109</w:t>
                  </w:r>
                </w:p>
              </w:tc>
              <w:tc>
                <w:tcPr>
                  <w:tcW w:w="649" w:type="pct"/>
                  <w:tcBorders>
                    <w:tl2br w:val="nil"/>
                    <w:tr2bl w:val="nil"/>
                  </w:tcBorders>
                  <w:shd w:val="clear" w:color="auto" w:fill="auto"/>
                  <w:vAlign w:val="center"/>
                </w:tcPr>
                <w:p w14:paraId="007C3401">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0.09</w:t>
                  </w:r>
                </w:p>
              </w:tc>
            </w:tr>
            <w:tr w14:paraId="69438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1B7430FC">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66889EB6">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最大值</w:t>
                  </w:r>
                </w:p>
              </w:tc>
              <w:tc>
                <w:tcPr>
                  <w:tcW w:w="653" w:type="pct"/>
                  <w:tcBorders>
                    <w:tl2br w:val="nil"/>
                    <w:tr2bl w:val="nil"/>
                  </w:tcBorders>
                  <w:vAlign w:val="center"/>
                </w:tcPr>
                <w:p w14:paraId="70783D37">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8.6</w:t>
                  </w:r>
                </w:p>
              </w:tc>
              <w:tc>
                <w:tcPr>
                  <w:tcW w:w="651" w:type="pct"/>
                  <w:tcBorders>
                    <w:tl2br w:val="nil"/>
                    <w:tr2bl w:val="nil"/>
                  </w:tcBorders>
                  <w:vAlign w:val="center"/>
                </w:tcPr>
                <w:p w14:paraId="4EC73346">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24</w:t>
                  </w:r>
                </w:p>
              </w:tc>
              <w:tc>
                <w:tcPr>
                  <w:tcW w:w="651" w:type="pct"/>
                  <w:tcBorders>
                    <w:tl2br w:val="nil"/>
                    <w:tr2bl w:val="nil"/>
                  </w:tcBorders>
                  <w:shd w:val="clear" w:color="auto" w:fill="auto"/>
                  <w:vAlign w:val="center"/>
                </w:tcPr>
                <w:p w14:paraId="272841D2">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15</w:t>
                  </w:r>
                </w:p>
              </w:tc>
              <w:tc>
                <w:tcPr>
                  <w:tcW w:w="651" w:type="pct"/>
                  <w:tcBorders>
                    <w:tl2br w:val="nil"/>
                    <w:tr2bl w:val="nil"/>
                  </w:tcBorders>
                  <w:shd w:val="clear" w:color="auto" w:fill="auto"/>
                  <w:vAlign w:val="center"/>
                </w:tcPr>
                <w:p w14:paraId="2CCBD178">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ND</w:t>
                  </w:r>
                </w:p>
              </w:tc>
              <w:tc>
                <w:tcPr>
                  <w:tcW w:w="540" w:type="pct"/>
                  <w:tcBorders>
                    <w:tl2br w:val="nil"/>
                    <w:tr2bl w:val="nil"/>
                  </w:tcBorders>
                  <w:shd w:val="clear" w:color="auto" w:fill="auto"/>
                  <w:vAlign w:val="center"/>
                </w:tcPr>
                <w:p w14:paraId="5148AE31">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0.146</w:t>
                  </w:r>
                </w:p>
              </w:tc>
              <w:tc>
                <w:tcPr>
                  <w:tcW w:w="649" w:type="pct"/>
                  <w:tcBorders>
                    <w:tl2br w:val="nil"/>
                    <w:tr2bl w:val="nil"/>
                  </w:tcBorders>
                  <w:shd w:val="clear" w:color="auto" w:fill="auto"/>
                  <w:vAlign w:val="center"/>
                </w:tcPr>
                <w:p w14:paraId="1723A73E">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0.12</w:t>
                  </w:r>
                </w:p>
              </w:tc>
            </w:tr>
            <w:tr w14:paraId="284DC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42D040B1">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63C50AB3">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平均值</w:t>
                  </w:r>
                </w:p>
              </w:tc>
              <w:tc>
                <w:tcPr>
                  <w:tcW w:w="653" w:type="pct"/>
                  <w:tcBorders>
                    <w:tl2br w:val="nil"/>
                    <w:tr2bl w:val="nil"/>
                  </w:tcBorders>
                  <w:vAlign w:val="center"/>
                </w:tcPr>
                <w:p w14:paraId="463D5E0A">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8.0</w:t>
                  </w:r>
                </w:p>
              </w:tc>
              <w:tc>
                <w:tcPr>
                  <w:tcW w:w="651" w:type="pct"/>
                  <w:tcBorders>
                    <w:tl2br w:val="nil"/>
                    <w:tr2bl w:val="nil"/>
                  </w:tcBorders>
                  <w:vAlign w:val="center"/>
                </w:tcPr>
                <w:p w14:paraId="0BF6A551">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21.7</w:t>
                  </w:r>
                </w:p>
              </w:tc>
              <w:tc>
                <w:tcPr>
                  <w:tcW w:w="651" w:type="pct"/>
                  <w:tcBorders>
                    <w:tl2br w:val="nil"/>
                    <w:tr2bl w:val="nil"/>
                  </w:tcBorders>
                  <w:shd w:val="clear" w:color="auto" w:fill="auto"/>
                  <w:vAlign w:val="center"/>
                </w:tcPr>
                <w:p w14:paraId="09169EEF">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13</w:t>
                  </w:r>
                </w:p>
              </w:tc>
              <w:tc>
                <w:tcPr>
                  <w:tcW w:w="651" w:type="pct"/>
                  <w:tcBorders>
                    <w:tl2br w:val="nil"/>
                    <w:tr2bl w:val="nil"/>
                  </w:tcBorders>
                  <w:shd w:val="clear" w:color="auto" w:fill="auto"/>
                  <w:vAlign w:val="center"/>
                </w:tcPr>
                <w:p w14:paraId="53DFF5AB">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ND</w:t>
                  </w:r>
                </w:p>
              </w:tc>
              <w:tc>
                <w:tcPr>
                  <w:tcW w:w="540" w:type="pct"/>
                  <w:tcBorders>
                    <w:tl2br w:val="nil"/>
                    <w:tr2bl w:val="nil"/>
                  </w:tcBorders>
                  <w:shd w:val="clear" w:color="auto" w:fill="auto"/>
                  <w:vAlign w:val="center"/>
                </w:tcPr>
                <w:p w14:paraId="4C0E3973">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0.13</w:t>
                  </w:r>
                </w:p>
              </w:tc>
              <w:tc>
                <w:tcPr>
                  <w:tcW w:w="649" w:type="pct"/>
                  <w:tcBorders>
                    <w:tl2br w:val="nil"/>
                    <w:tr2bl w:val="nil"/>
                  </w:tcBorders>
                  <w:shd w:val="clear" w:color="auto" w:fill="auto"/>
                  <w:vAlign w:val="center"/>
                </w:tcPr>
                <w:p w14:paraId="60A655CC">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0.10</w:t>
                  </w:r>
                </w:p>
              </w:tc>
            </w:tr>
            <w:tr w14:paraId="67997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14895EB2">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198BB56E">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超标率</w:t>
                  </w:r>
                </w:p>
              </w:tc>
              <w:tc>
                <w:tcPr>
                  <w:tcW w:w="653" w:type="pct"/>
                  <w:tcBorders>
                    <w:tl2br w:val="nil"/>
                    <w:tr2bl w:val="nil"/>
                  </w:tcBorders>
                  <w:vAlign w:val="center"/>
                </w:tcPr>
                <w:p w14:paraId="2E620F21">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51" w:type="pct"/>
                  <w:tcBorders>
                    <w:tl2br w:val="nil"/>
                    <w:tr2bl w:val="nil"/>
                  </w:tcBorders>
                  <w:vAlign w:val="center"/>
                </w:tcPr>
                <w:p w14:paraId="69C543A2">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51" w:type="pct"/>
                  <w:tcBorders>
                    <w:tl2br w:val="nil"/>
                    <w:tr2bl w:val="nil"/>
                  </w:tcBorders>
                  <w:shd w:val="clear" w:color="auto" w:fill="auto"/>
                  <w:vAlign w:val="center"/>
                </w:tcPr>
                <w:p w14:paraId="00223497">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51" w:type="pct"/>
                  <w:tcBorders>
                    <w:tl2br w:val="nil"/>
                    <w:tr2bl w:val="nil"/>
                  </w:tcBorders>
                  <w:shd w:val="clear" w:color="auto" w:fill="auto"/>
                  <w:vAlign w:val="center"/>
                </w:tcPr>
                <w:p w14:paraId="4902FC6C">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540" w:type="pct"/>
                  <w:tcBorders>
                    <w:tl2br w:val="nil"/>
                    <w:tr2bl w:val="nil"/>
                  </w:tcBorders>
                  <w:shd w:val="clear" w:color="auto" w:fill="auto"/>
                  <w:vAlign w:val="center"/>
                </w:tcPr>
                <w:p w14:paraId="5DC75828">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49" w:type="pct"/>
                  <w:tcBorders>
                    <w:tl2br w:val="nil"/>
                    <w:tr2bl w:val="nil"/>
                  </w:tcBorders>
                  <w:shd w:val="clear" w:color="auto" w:fill="auto"/>
                  <w:vAlign w:val="center"/>
                </w:tcPr>
                <w:p w14:paraId="0E05CB32">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r>
            <w:tr w14:paraId="793A9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51868FD9">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12E622E5">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标准指数</w:t>
                  </w:r>
                </w:p>
              </w:tc>
              <w:tc>
                <w:tcPr>
                  <w:tcW w:w="653" w:type="pct"/>
                  <w:tcBorders>
                    <w:tl2br w:val="nil"/>
                    <w:tr2bl w:val="nil"/>
                  </w:tcBorders>
                  <w:vAlign w:val="center"/>
                </w:tcPr>
                <w:p w14:paraId="4C98CB9A">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0.8</w:t>
                  </w:r>
                </w:p>
              </w:tc>
              <w:tc>
                <w:tcPr>
                  <w:tcW w:w="651" w:type="pct"/>
                  <w:tcBorders>
                    <w:tl2br w:val="nil"/>
                    <w:tr2bl w:val="nil"/>
                  </w:tcBorders>
                  <w:vAlign w:val="center"/>
                </w:tcPr>
                <w:p w14:paraId="7C34E4DA">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0.8</w:t>
                  </w:r>
                </w:p>
              </w:tc>
              <w:tc>
                <w:tcPr>
                  <w:tcW w:w="651" w:type="pct"/>
                  <w:tcBorders>
                    <w:tl2br w:val="nil"/>
                    <w:tr2bl w:val="nil"/>
                  </w:tcBorders>
                  <w:vAlign w:val="center"/>
                </w:tcPr>
                <w:p w14:paraId="0FA54EE6">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0.75</w:t>
                  </w:r>
                </w:p>
              </w:tc>
              <w:tc>
                <w:tcPr>
                  <w:tcW w:w="651" w:type="pct"/>
                  <w:tcBorders>
                    <w:tl2br w:val="nil"/>
                    <w:tr2bl w:val="nil"/>
                  </w:tcBorders>
                  <w:vAlign w:val="center"/>
                </w:tcPr>
                <w:p w14:paraId="78D6F38B">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540" w:type="pct"/>
                  <w:tcBorders>
                    <w:tl2br w:val="nil"/>
                    <w:tr2bl w:val="nil"/>
                  </w:tcBorders>
                  <w:shd w:val="clear" w:color="auto" w:fill="auto"/>
                  <w:vAlign w:val="center"/>
                </w:tcPr>
                <w:p w14:paraId="1DBFA20D">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0.15</w:t>
                  </w:r>
                </w:p>
              </w:tc>
              <w:tc>
                <w:tcPr>
                  <w:tcW w:w="649" w:type="pct"/>
                  <w:tcBorders>
                    <w:tl2br w:val="nil"/>
                    <w:tr2bl w:val="nil"/>
                  </w:tcBorders>
                  <w:vAlign w:val="center"/>
                </w:tcPr>
                <w:p w14:paraId="4D8D79FC">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0.6</w:t>
                  </w:r>
                </w:p>
              </w:tc>
            </w:tr>
            <w:tr w14:paraId="170F0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restart"/>
                  <w:tcBorders>
                    <w:tl2br w:val="nil"/>
                    <w:tr2bl w:val="nil"/>
                  </w:tcBorders>
                  <w:vAlign w:val="center"/>
                </w:tcPr>
                <w:p w14:paraId="36A1113F">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W6</w:t>
                  </w:r>
                </w:p>
              </w:tc>
              <w:tc>
                <w:tcPr>
                  <w:tcW w:w="767" w:type="pct"/>
                  <w:tcBorders>
                    <w:tl2br w:val="nil"/>
                    <w:tr2bl w:val="nil"/>
                  </w:tcBorders>
                  <w:vAlign w:val="center"/>
                </w:tcPr>
                <w:p w14:paraId="20DBAD9F">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最小值</w:t>
                  </w:r>
                </w:p>
              </w:tc>
              <w:tc>
                <w:tcPr>
                  <w:tcW w:w="653" w:type="pct"/>
                  <w:tcBorders>
                    <w:tl2br w:val="nil"/>
                    <w:tr2bl w:val="nil"/>
                  </w:tcBorders>
                  <w:vAlign w:val="center"/>
                </w:tcPr>
                <w:p w14:paraId="1723A380">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8</w:t>
                  </w:r>
                </w:p>
              </w:tc>
              <w:tc>
                <w:tcPr>
                  <w:tcW w:w="651" w:type="pct"/>
                  <w:tcBorders>
                    <w:tl2br w:val="nil"/>
                    <w:tr2bl w:val="nil"/>
                  </w:tcBorders>
                  <w:vAlign w:val="center"/>
                </w:tcPr>
                <w:p w14:paraId="66D6BD60">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22</w:t>
                  </w:r>
                </w:p>
              </w:tc>
              <w:tc>
                <w:tcPr>
                  <w:tcW w:w="651" w:type="pct"/>
                  <w:tcBorders>
                    <w:tl2br w:val="nil"/>
                    <w:tr2bl w:val="nil"/>
                  </w:tcBorders>
                  <w:shd w:val="clear" w:color="auto" w:fill="auto"/>
                  <w:vAlign w:val="center"/>
                </w:tcPr>
                <w:p w14:paraId="49E61AA0">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12</w:t>
                  </w:r>
                </w:p>
              </w:tc>
              <w:tc>
                <w:tcPr>
                  <w:tcW w:w="651" w:type="pct"/>
                  <w:tcBorders>
                    <w:tl2br w:val="nil"/>
                    <w:tr2bl w:val="nil"/>
                  </w:tcBorders>
                  <w:shd w:val="clear" w:color="auto" w:fill="auto"/>
                  <w:vAlign w:val="center"/>
                </w:tcPr>
                <w:p w14:paraId="2081344E">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ND</w:t>
                  </w:r>
                </w:p>
              </w:tc>
              <w:tc>
                <w:tcPr>
                  <w:tcW w:w="540" w:type="pct"/>
                  <w:tcBorders>
                    <w:tl2br w:val="nil"/>
                    <w:tr2bl w:val="nil"/>
                  </w:tcBorders>
                  <w:shd w:val="clear" w:color="auto" w:fill="auto"/>
                  <w:vAlign w:val="center"/>
                </w:tcPr>
                <w:p w14:paraId="599DA60C">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0.064</w:t>
                  </w:r>
                </w:p>
              </w:tc>
              <w:tc>
                <w:tcPr>
                  <w:tcW w:w="649" w:type="pct"/>
                  <w:tcBorders>
                    <w:tl2br w:val="nil"/>
                    <w:tr2bl w:val="nil"/>
                  </w:tcBorders>
                  <w:shd w:val="clear" w:color="auto" w:fill="auto"/>
                  <w:vAlign w:val="center"/>
                </w:tcPr>
                <w:p w14:paraId="3BCC74B9">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0.07</w:t>
                  </w:r>
                </w:p>
              </w:tc>
            </w:tr>
            <w:tr w14:paraId="6A498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70CF7FE2">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73AD7538">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最大值</w:t>
                  </w:r>
                </w:p>
              </w:tc>
              <w:tc>
                <w:tcPr>
                  <w:tcW w:w="653" w:type="pct"/>
                  <w:tcBorders>
                    <w:tl2br w:val="nil"/>
                    <w:tr2bl w:val="nil"/>
                  </w:tcBorders>
                  <w:vAlign w:val="center"/>
                </w:tcPr>
                <w:p w14:paraId="2911283F">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8.7</w:t>
                  </w:r>
                </w:p>
              </w:tc>
              <w:tc>
                <w:tcPr>
                  <w:tcW w:w="651" w:type="pct"/>
                  <w:tcBorders>
                    <w:tl2br w:val="nil"/>
                    <w:tr2bl w:val="nil"/>
                  </w:tcBorders>
                  <w:vAlign w:val="center"/>
                </w:tcPr>
                <w:p w14:paraId="753F308C">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26</w:t>
                  </w:r>
                </w:p>
              </w:tc>
              <w:tc>
                <w:tcPr>
                  <w:tcW w:w="651" w:type="pct"/>
                  <w:tcBorders>
                    <w:tl2br w:val="nil"/>
                    <w:tr2bl w:val="nil"/>
                  </w:tcBorders>
                  <w:shd w:val="clear" w:color="auto" w:fill="auto"/>
                  <w:vAlign w:val="center"/>
                </w:tcPr>
                <w:p w14:paraId="3C4AB70F">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18</w:t>
                  </w:r>
                </w:p>
              </w:tc>
              <w:tc>
                <w:tcPr>
                  <w:tcW w:w="651" w:type="pct"/>
                  <w:tcBorders>
                    <w:tl2br w:val="nil"/>
                    <w:tr2bl w:val="nil"/>
                  </w:tcBorders>
                  <w:shd w:val="clear" w:color="auto" w:fill="auto"/>
                  <w:vAlign w:val="center"/>
                </w:tcPr>
                <w:p w14:paraId="73BC0164">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ND</w:t>
                  </w:r>
                </w:p>
              </w:tc>
              <w:tc>
                <w:tcPr>
                  <w:tcW w:w="540" w:type="pct"/>
                  <w:tcBorders>
                    <w:tl2br w:val="nil"/>
                    <w:tr2bl w:val="nil"/>
                  </w:tcBorders>
                  <w:shd w:val="clear" w:color="auto" w:fill="auto"/>
                  <w:vAlign w:val="center"/>
                </w:tcPr>
                <w:p w14:paraId="1C4CD547">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0.098</w:t>
                  </w:r>
                </w:p>
              </w:tc>
              <w:tc>
                <w:tcPr>
                  <w:tcW w:w="649" w:type="pct"/>
                  <w:tcBorders>
                    <w:tl2br w:val="nil"/>
                    <w:tr2bl w:val="nil"/>
                  </w:tcBorders>
                  <w:shd w:val="clear" w:color="auto" w:fill="auto"/>
                  <w:vAlign w:val="center"/>
                </w:tcPr>
                <w:p w14:paraId="011B2DD8">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w:t>
                  </w:r>
                </w:p>
              </w:tc>
            </w:tr>
            <w:tr w14:paraId="41361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6991BA3C">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1ECF0ECB">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平均值</w:t>
                  </w:r>
                </w:p>
              </w:tc>
              <w:tc>
                <w:tcPr>
                  <w:tcW w:w="653" w:type="pct"/>
                  <w:tcBorders>
                    <w:tl2br w:val="nil"/>
                    <w:tr2bl w:val="nil"/>
                  </w:tcBorders>
                  <w:vAlign w:val="center"/>
                </w:tcPr>
                <w:p w14:paraId="1B30E6EC">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8.4</w:t>
                  </w:r>
                </w:p>
              </w:tc>
              <w:tc>
                <w:tcPr>
                  <w:tcW w:w="651" w:type="pct"/>
                  <w:tcBorders>
                    <w:tl2br w:val="nil"/>
                    <w:tr2bl w:val="nil"/>
                  </w:tcBorders>
                  <w:vAlign w:val="center"/>
                </w:tcPr>
                <w:p w14:paraId="482BDC72">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24</w:t>
                  </w:r>
                </w:p>
              </w:tc>
              <w:tc>
                <w:tcPr>
                  <w:tcW w:w="651" w:type="pct"/>
                  <w:tcBorders>
                    <w:tl2br w:val="nil"/>
                    <w:tr2bl w:val="nil"/>
                  </w:tcBorders>
                  <w:shd w:val="clear" w:color="auto" w:fill="auto"/>
                  <w:vAlign w:val="center"/>
                </w:tcPr>
                <w:p w14:paraId="445BE395">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15.2</w:t>
                  </w:r>
                </w:p>
              </w:tc>
              <w:tc>
                <w:tcPr>
                  <w:tcW w:w="651" w:type="pct"/>
                  <w:tcBorders>
                    <w:tl2br w:val="nil"/>
                    <w:tr2bl w:val="nil"/>
                  </w:tcBorders>
                  <w:shd w:val="clear" w:color="auto" w:fill="auto"/>
                  <w:vAlign w:val="center"/>
                </w:tcPr>
                <w:p w14:paraId="3F59D980">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ND</w:t>
                  </w:r>
                </w:p>
              </w:tc>
              <w:tc>
                <w:tcPr>
                  <w:tcW w:w="540" w:type="pct"/>
                  <w:tcBorders>
                    <w:tl2br w:val="nil"/>
                    <w:tr2bl w:val="nil"/>
                  </w:tcBorders>
                  <w:shd w:val="clear" w:color="auto" w:fill="auto"/>
                  <w:vAlign w:val="center"/>
                </w:tcPr>
                <w:p w14:paraId="25CB963A">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0.08</w:t>
                  </w:r>
                </w:p>
              </w:tc>
              <w:tc>
                <w:tcPr>
                  <w:tcW w:w="649" w:type="pct"/>
                  <w:tcBorders>
                    <w:tl2br w:val="nil"/>
                    <w:tr2bl w:val="nil"/>
                  </w:tcBorders>
                  <w:shd w:val="clear" w:color="auto" w:fill="auto"/>
                  <w:vAlign w:val="center"/>
                </w:tcPr>
                <w:p w14:paraId="77C3C3AA">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0.09</w:t>
                  </w:r>
                </w:p>
              </w:tc>
            </w:tr>
            <w:tr w14:paraId="3BFE4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6" w:hRule="atLeast"/>
                <w:jc w:val="center"/>
              </w:trPr>
              <w:tc>
                <w:tcPr>
                  <w:tcW w:w="434" w:type="pct"/>
                  <w:vMerge w:val="continue"/>
                  <w:tcBorders>
                    <w:tl2br w:val="nil"/>
                    <w:tr2bl w:val="nil"/>
                  </w:tcBorders>
                  <w:vAlign w:val="center"/>
                </w:tcPr>
                <w:p w14:paraId="45DEEF0F">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564BD726">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超标率</w:t>
                  </w:r>
                </w:p>
              </w:tc>
              <w:tc>
                <w:tcPr>
                  <w:tcW w:w="653" w:type="pct"/>
                  <w:tcBorders>
                    <w:tl2br w:val="nil"/>
                    <w:tr2bl w:val="nil"/>
                  </w:tcBorders>
                  <w:vAlign w:val="center"/>
                </w:tcPr>
                <w:p w14:paraId="4399098E">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51" w:type="pct"/>
                  <w:tcBorders>
                    <w:tl2br w:val="nil"/>
                    <w:tr2bl w:val="nil"/>
                  </w:tcBorders>
                  <w:vAlign w:val="center"/>
                </w:tcPr>
                <w:p w14:paraId="3CE95163">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51" w:type="pct"/>
                  <w:tcBorders>
                    <w:tl2br w:val="nil"/>
                    <w:tr2bl w:val="nil"/>
                  </w:tcBorders>
                  <w:shd w:val="clear" w:color="auto" w:fill="auto"/>
                  <w:vAlign w:val="center"/>
                </w:tcPr>
                <w:p w14:paraId="4A31C715">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51" w:type="pct"/>
                  <w:tcBorders>
                    <w:tl2br w:val="nil"/>
                    <w:tr2bl w:val="nil"/>
                  </w:tcBorders>
                  <w:shd w:val="clear" w:color="auto" w:fill="auto"/>
                  <w:vAlign w:val="center"/>
                </w:tcPr>
                <w:p w14:paraId="4BD3AC95">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540" w:type="pct"/>
                  <w:tcBorders>
                    <w:tl2br w:val="nil"/>
                    <w:tr2bl w:val="nil"/>
                  </w:tcBorders>
                  <w:shd w:val="clear" w:color="auto" w:fill="auto"/>
                  <w:vAlign w:val="center"/>
                </w:tcPr>
                <w:p w14:paraId="753177D0">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49" w:type="pct"/>
                  <w:tcBorders>
                    <w:tl2br w:val="nil"/>
                    <w:tr2bl w:val="nil"/>
                  </w:tcBorders>
                  <w:shd w:val="clear" w:color="auto" w:fill="auto"/>
                  <w:vAlign w:val="center"/>
                </w:tcPr>
                <w:p w14:paraId="3D968878">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r>
            <w:tr w14:paraId="3225B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4284B163">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7BC75470">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标准指数</w:t>
                  </w:r>
                </w:p>
              </w:tc>
              <w:tc>
                <w:tcPr>
                  <w:tcW w:w="653" w:type="pct"/>
                  <w:tcBorders>
                    <w:tl2br w:val="nil"/>
                    <w:tr2bl w:val="nil"/>
                  </w:tcBorders>
                  <w:vAlign w:val="center"/>
                </w:tcPr>
                <w:p w14:paraId="41103203">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0.85</w:t>
                  </w:r>
                </w:p>
              </w:tc>
              <w:tc>
                <w:tcPr>
                  <w:tcW w:w="651" w:type="pct"/>
                  <w:tcBorders>
                    <w:tl2br w:val="nil"/>
                    <w:tr2bl w:val="nil"/>
                  </w:tcBorders>
                  <w:vAlign w:val="center"/>
                </w:tcPr>
                <w:p w14:paraId="54C02D81">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0.87</w:t>
                  </w:r>
                </w:p>
              </w:tc>
              <w:tc>
                <w:tcPr>
                  <w:tcW w:w="651" w:type="pct"/>
                  <w:tcBorders>
                    <w:tl2br w:val="nil"/>
                    <w:tr2bl w:val="nil"/>
                  </w:tcBorders>
                  <w:vAlign w:val="center"/>
                </w:tcPr>
                <w:p w14:paraId="521B3E18">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0.87</w:t>
                  </w:r>
                </w:p>
              </w:tc>
              <w:tc>
                <w:tcPr>
                  <w:tcW w:w="651" w:type="pct"/>
                  <w:tcBorders>
                    <w:tl2br w:val="nil"/>
                    <w:tr2bl w:val="nil"/>
                  </w:tcBorders>
                  <w:vAlign w:val="center"/>
                </w:tcPr>
                <w:p w14:paraId="017BF3E5">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540" w:type="pct"/>
                  <w:tcBorders>
                    <w:tl2br w:val="nil"/>
                    <w:tr2bl w:val="nil"/>
                  </w:tcBorders>
                  <w:shd w:val="clear" w:color="auto" w:fill="auto"/>
                  <w:vAlign w:val="center"/>
                </w:tcPr>
                <w:p w14:paraId="00AD4B00">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0.10</w:t>
                  </w:r>
                </w:p>
              </w:tc>
              <w:tc>
                <w:tcPr>
                  <w:tcW w:w="649" w:type="pct"/>
                  <w:tcBorders>
                    <w:tl2br w:val="nil"/>
                    <w:tr2bl w:val="nil"/>
                  </w:tcBorders>
                  <w:vAlign w:val="center"/>
                </w:tcPr>
                <w:p w14:paraId="49F3218D">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0.5</w:t>
                  </w:r>
                </w:p>
              </w:tc>
            </w:tr>
            <w:tr w14:paraId="1CED3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restart"/>
                  <w:tcBorders>
                    <w:tl2br w:val="nil"/>
                    <w:tr2bl w:val="nil"/>
                  </w:tcBorders>
                  <w:vAlign w:val="center"/>
                </w:tcPr>
                <w:p w14:paraId="4437164B">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W7</w:t>
                  </w:r>
                </w:p>
              </w:tc>
              <w:tc>
                <w:tcPr>
                  <w:tcW w:w="767" w:type="pct"/>
                  <w:tcBorders>
                    <w:tl2br w:val="nil"/>
                    <w:tr2bl w:val="nil"/>
                  </w:tcBorders>
                  <w:vAlign w:val="center"/>
                </w:tcPr>
                <w:p w14:paraId="77A7AAE4">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最小值</w:t>
                  </w:r>
                </w:p>
              </w:tc>
              <w:tc>
                <w:tcPr>
                  <w:tcW w:w="653" w:type="pct"/>
                  <w:tcBorders>
                    <w:tl2br w:val="nil"/>
                    <w:tr2bl w:val="nil"/>
                  </w:tcBorders>
                  <w:vAlign w:val="center"/>
                </w:tcPr>
                <w:p w14:paraId="084ADA37">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8.1</w:t>
                  </w:r>
                </w:p>
              </w:tc>
              <w:tc>
                <w:tcPr>
                  <w:tcW w:w="651" w:type="pct"/>
                  <w:tcBorders>
                    <w:tl2br w:val="nil"/>
                    <w:tr2bl w:val="nil"/>
                  </w:tcBorders>
                  <w:vAlign w:val="center"/>
                </w:tcPr>
                <w:p w14:paraId="15BC64B5">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10</w:t>
                  </w:r>
                </w:p>
              </w:tc>
              <w:tc>
                <w:tcPr>
                  <w:tcW w:w="651" w:type="pct"/>
                  <w:tcBorders>
                    <w:tl2br w:val="nil"/>
                    <w:tr2bl w:val="nil"/>
                  </w:tcBorders>
                  <w:shd w:val="clear" w:color="auto" w:fill="auto"/>
                  <w:vAlign w:val="center"/>
                </w:tcPr>
                <w:p w14:paraId="5DF7438C">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12</w:t>
                  </w:r>
                </w:p>
              </w:tc>
              <w:tc>
                <w:tcPr>
                  <w:tcW w:w="651" w:type="pct"/>
                  <w:tcBorders>
                    <w:tl2br w:val="nil"/>
                    <w:tr2bl w:val="nil"/>
                  </w:tcBorders>
                  <w:shd w:val="clear" w:color="auto" w:fill="auto"/>
                  <w:vAlign w:val="center"/>
                </w:tcPr>
                <w:p w14:paraId="39CBE0ED">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ND</w:t>
                  </w:r>
                </w:p>
              </w:tc>
              <w:tc>
                <w:tcPr>
                  <w:tcW w:w="540" w:type="pct"/>
                  <w:tcBorders>
                    <w:tl2br w:val="nil"/>
                    <w:tr2bl w:val="nil"/>
                  </w:tcBorders>
                  <w:shd w:val="clear" w:color="auto" w:fill="auto"/>
                  <w:vAlign w:val="center"/>
                </w:tcPr>
                <w:p w14:paraId="75C7186A">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0.082</w:t>
                  </w:r>
                </w:p>
              </w:tc>
              <w:tc>
                <w:tcPr>
                  <w:tcW w:w="649" w:type="pct"/>
                  <w:tcBorders>
                    <w:tl2br w:val="nil"/>
                    <w:tr2bl w:val="nil"/>
                  </w:tcBorders>
                  <w:shd w:val="clear" w:color="auto" w:fill="auto"/>
                  <w:vAlign w:val="center"/>
                </w:tcPr>
                <w:p w14:paraId="78776ABC">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w:t>
                  </w:r>
                </w:p>
              </w:tc>
            </w:tr>
            <w:tr w14:paraId="03C03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0D34F62A">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74FC9B46">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最大值</w:t>
                  </w:r>
                </w:p>
              </w:tc>
              <w:tc>
                <w:tcPr>
                  <w:tcW w:w="653" w:type="pct"/>
                  <w:tcBorders>
                    <w:tl2br w:val="nil"/>
                    <w:tr2bl w:val="nil"/>
                  </w:tcBorders>
                  <w:vAlign w:val="center"/>
                </w:tcPr>
                <w:p w14:paraId="1C036EED">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8.7</w:t>
                  </w:r>
                </w:p>
              </w:tc>
              <w:tc>
                <w:tcPr>
                  <w:tcW w:w="651" w:type="pct"/>
                  <w:tcBorders>
                    <w:tl2br w:val="nil"/>
                    <w:tr2bl w:val="nil"/>
                  </w:tcBorders>
                  <w:vAlign w:val="center"/>
                </w:tcPr>
                <w:p w14:paraId="79D2AE0D">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12</w:t>
                  </w:r>
                </w:p>
              </w:tc>
              <w:tc>
                <w:tcPr>
                  <w:tcW w:w="651" w:type="pct"/>
                  <w:tcBorders>
                    <w:tl2br w:val="nil"/>
                    <w:tr2bl w:val="nil"/>
                  </w:tcBorders>
                  <w:shd w:val="clear" w:color="auto" w:fill="auto"/>
                  <w:vAlign w:val="center"/>
                </w:tcPr>
                <w:p w14:paraId="708BC8DF">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16</w:t>
                  </w:r>
                </w:p>
              </w:tc>
              <w:tc>
                <w:tcPr>
                  <w:tcW w:w="651" w:type="pct"/>
                  <w:tcBorders>
                    <w:tl2br w:val="nil"/>
                    <w:tr2bl w:val="nil"/>
                  </w:tcBorders>
                  <w:shd w:val="clear" w:color="auto" w:fill="auto"/>
                  <w:vAlign w:val="center"/>
                </w:tcPr>
                <w:p w14:paraId="145340CE">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ND</w:t>
                  </w:r>
                </w:p>
              </w:tc>
              <w:tc>
                <w:tcPr>
                  <w:tcW w:w="540" w:type="pct"/>
                  <w:tcBorders>
                    <w:tl2br w:val="nil"/>
                    <w:tr2bl w:val="nil"/>
                  </w:tcBorders>
                  <w:shd w:val="clear" w:color="auto" w:fill="auto"/>
                  <w:vAlign w:val="center"/>
                </w:tcPr>
                <w:p w14:paraId="7E45FF8D">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0.155</w:t>
                  </w:r>
                </w:p>
              </w:tc>
              <w:tc>
                <w:tcPr>
                  <w:tcW w:w="649" w:type="pct"/>
                  <w:tcBorders>
                    <w:tl2br w:val="nil"/>
                    <w:tr2bl w:val="nil"/>
                  </w:tcBorders>
                  <w:shd w:val="clear" w:color="auto" w:fill="auto"/>
                  <w:vAlign w:val="center"/>
                </w:tcPr>
                <w:p w14:paraId="43DE51A8">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0.16</w:t>
                  </w:r>
                </w:p>
              </w:tc>
            </w:tr>
            <w:tr w14:paraId="3DDAC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01932F41">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4457E5C9">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平均值</w:t>
                  </w:r>
                </w:p>
              </w:tc>
              <w:tc>
                <w:tcPr>
                  <w:tcW w:w="653" w:type="pct"/>
                  <w:tcBorders>
                    <w:tl2br w:val="nil"/>
                    <w:tr2bl w:val="nil"/>
                  </w:tcBorders>
                  <w:vAlign w:val="center"/>
                </w:tcPr>
                <w:p w14:paraId="562B70E0">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8.4</w:t>
                  </w:r>
                </w:p>
              </w:tc>
              <w:tc>
                <w:tcPr>
                  <w:tcW w:w="651" w:type="pct"/>
                  <w:tcBorders>
                    <w:tl2br w:val="nil"/>
                    <w:tr2bl w:val="nil"/>
                  </w:tcBorders>
                  <w:vAlign w:val="center"/>
                </w:tcPr>
                <w:p w14:paraId="2213D62D">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10.8</w:t>
                  </w:r>
                </w:p>
              </w:tc>
              <w:tc>
                <w:tcPr>
                  <w:tcW w:w="651" w:type="pct"/>
                  <w:tcBorders>
                    <w:tl2br w:val="nil"/>
                    <w:tr2bl w:val="nil"/>
                  </w:tcBorders>
                  <w:shd w:val="clear" w:color="auto" w:fill="auto"/>
                  <w:vAlign w:val="center"/>
                </w:tcPr>
                <w:p w14:paraId="66587931">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15</w:t>
                  </w:r>
                </w:p>
              </w:tc>
              <w:tc>
                <w:tcPr>
                  <w:tcW w:w="651" w:type="pct"/>
                  <w:tcBorders>
                    <w:tl2br w:val="nil"/>
                    <w:tr2bl w:val="nil"/>
                  </w:tcBorders>
                  <w:shd w:val="clear" w:color="auto" w:fill="auto"/>
                  <w:vAlign w:val="center"/>
                </w:tcPr>
                <w:p w14:paraId="4EE82EC5">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ND</w:t>
                  </w:r>
                </w:p>
              </w:tc>
              <w:tc>
                <w:tcPr>
                  <w:tcW w:w="540" w:type="pct"/>
                  <w:tcBorders>
                    <w:tl2br w:val="nil"/>
                    <w:tr2bl w:val="nil"/>
                  </w:tcBorders>
                  <w:shd w:val="clear" w:color="auto" w:fill="auto"/>
                  <w:vAlign w:val="center"/>
                </w:tcPr>
                <w:p w14:paraId="4877CDFD">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0.13</w:t>
                  </w:r>
                </w:p>
              </w:tc>
              <w:tc>
                <w:tcPr>
                  <w:tcW w:w="649" w:type="pct"/>
                  <w:tcBorders>
                    <w:tl2br w:val="nil"/>
                    <w:tr2bl w:val="nil"/>
                  </w:tcBorders>
                  <w:shd w:val="clear" w:color="auto" w:fill="auto"/>
                  <w:vAlign w:val="center"/>
                </w:tcPr>
                <w:p w14:paraId="7D2B5B4F">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0.13</w:t>
                  </w:r>
                </w:p>
              </w:tc>
            </w:tr>
            <w:tr w14:paraId="1027A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040E54C4">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3A7A29D6">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超标率</w:t>
                  </w:r>
                </w:p>
              </w:tc>
              <w:tc>
                <w:tcPr>
                  <w:tcW w:w="653" w:type="pct"/>
                  <w:tcBorders>
                    <w:tl2br w:val="nil"/>
                    <w:tr2bl w:val="nil"/>
                  </w:tcBorders>
                  <w:vAlign w:val="center"/>
                </w:tcPr>
                <w:p w14:paraId="3E0E8423">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51" w:type="pct"/>
                  <w:tcBorders>
                    <w:tl2br w:val="nil"/>
                    <w:tr2bl w:val="nil"/>
                  </w:tcBorders>
                  <w:vAlign w:val="center"/>
                </w:tcPr>
                <w:p w14:paraId="3CF4E4C9">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51" w:type="pct"/>
                  <w:tcBorders>
                    <w:tl2br w:val="nil"/>
                    <w:tr2bl w:val="nil"/>
                  </w:tcBorders>
                  <w:shd w:val="clear" w:color="auto" w:fill="auto"/>
                  <w:vAlign w:val="center"/>
                </w:tcPr>
                <w:p w14:paraId="7DE9D7E2">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51" w:type="pct"/>
                  <w:tcBorders>
                    <w:tl2br w:val="nil"/>
                    <w:tr2bl w:val="nil"/>
                  </w:tcBorders>
                  <w:shd w:val="clear" w:color="auto" w:fill="auto"/>
                  <w:vAlign w:val="center"/>
                </w:tcPr>
                <w:p w14:paraId="4A9ECF57">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540" w:type="pct"/>
                  <w:tcBorders>
                    <w:tl2br w:val="nil"/>
                    <w:tr2bl w:val="nil"/>
                  </w:tcBorders>
                  <w:shd w:val="clear" w:color="auto" w:fill="auto"/>
                  <w:vAlign w:val="center"/>
                </w:tcPr>
                <w:p w14:paraId="2C922FF9">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649" w:type="pct"/>
                  <w:tcBorders>
                    <w:tl2br w:val="nil"/>
                    <w:tr2bl w:val="nil"/>
                  </w:tcBorders>
                  <w:shd w:val="clear" w:color="auto" w:fill="auto"/>
                  <w:vAlign w:val="center"/>
                </w:tcPr>
                <w:p w14:paraId="2F0201AD">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r>
            <w:tr w14:paraId="0801C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4" w:type="pct"/>
                  <w:vMerge w:val="continue"/>
                  <w:tcBorders>
                    <w:tl2br w:val="nil"/>
                    <w:tr2bl w:val="nil"/>
                  </w:tcBorders>
                  <w:vAlign w:val="center"/>
                </w:tcPr>
                <w:p w14:paraId="5A93AC36">
                  <w:pPr>
                    <w:adjustRightInd w:val="0"/>
                    <w:snapToGrid w:val="0"/>
                    <w:jc w:val="center"/>
                    <w:rPr>
                      <w:rFonts w:hint="default" w:ascii="Times New Roman" w:hAnsi="Times New Roman" w:eastAsia="宋体" w:cs="Times New Roman"/>
                      <w:color w:val="auto"/>
                      <w:kern w:val="0"/>
                      <w:sz w:val="21"/>
                      <w:szCs w:val="21"/>
                    </w:rPr>
                  </w:pPr>
                </w:p>
              </w:tc>
              <w:tc>
                <w:tcPr>
                  <w:tcW w:w="767" w:type="pct"/>
                  <w:tcBorders>
                    <w:tl2br w:val="nil"/>
                    <w:tr2bl w:val="nil"/>
                  </w:tcBorders>
                  <w:vAlign w:val="center"/>
                </w:tcPr>
                <w:p w14:paraId="027A9317">
                  <w:pPr>
                    <w:adjustRightInd w:val="0"/>
                    <w:snapToGrid w:val="0"/>
                    <w:jc w:val="center"/>
                    <w:rPr>
                      <w:rFonts w:hint="default" w:ascii="Times New Roman" w:hAnsi="Times New Roman" w:eastAsia="宋体" w:cs="Times New Roman"/>
                      <w:b/>
                      <w:bCs/>
                      <w:color w:val="auto"/>
                      <w:kern w:val="28"/>
                      <w:sz w:val="21"/>
                      <w:szCs w:val="21"/>
                    </w:rPr>
                  </w:pPr>
                  <w:r>
                    <w:rPr>
                      <w:rFonts w:hint="default" w:ascii="Times New Roman" w:hAnsi="Times New Roman" w:eastAsia="宋体" w:cs="Times New Roman"/>
                      <w:color w:val="auto"/>
                      <w:kern w:val="0"/>
                      <w:sz w:val="21"/>
                      <w:szCs w:val="21"/>
                    </w:rPr>
                    <w:t>标准指数</w:t>
                  </w:r>
                </w:p>
              </w:tc>
              <w:tc>
                <w:tcPr>
                  <w:tcW w:w="653" w:type="pct"/>
                  <w:tcBorders>
                    <w:tl2br w:val="nil"/>
                    <w:tr2bl w:val="nil"/>
                  </w:tcBorders>
                  <w:vAlign w:val="center"/>
                </w:tcPr>
                <w:p w14:paraId="7AF6052A">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0.85</w:t>
                  </w:r>
                </w:p>
              </w:tc>
              <w:tc>
                <w:tcPr>
                  <w:tcW w:w="651" w:type="pct"/>
                  <w:tcBorders>
                    <w:tl2br w:val="nil"/>
                    <w:tr2bl w:val="nil"/>
                  </w:tcBorders>
                  <w:vAlign w:val="center"/>
                </w:tcPr>
                <w:p w14:paraId="70D04E99">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0.4</w:t>
                  </w:r>
                </w:p>
              </w:tc>
              <w:tc>
                <w:tcPr>
                  <w:tcW w:w="651" w:type="pct"/>
                  <w:tcBorders>
                    <w:tl2br w:val="nil"/>
                    <w:tr2bl w:val="nil"/>
                  </w:tcBorders>
                  <w:vAlign w:val="center"/>
                </w:tcPr>
                <w:p w14:paraId="759165C2">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0.8</w:t>
                  </w:r>
                </w:p>
              </w:tc>
              <w:tc>
                <w:tcPr>
                  <w:tcW w:w="651" w:type="pct"/>
                  <w:tcBorders>
                    <w:tl2br w:val="nil"/>
                    <w:tr2bl w:val="nil"/>
                  </w:tcBorders>
                  <w:vAlign w:val="center"/>
                </w:tcPr>
                <w:p w14:paraId="0313C552">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w:t>
                  </w:r>
                </w:p>
              </w:tc>
              <w:tc>
                <w:tcPr>
                  <w:tcW w:w="540" w:type="pct"/>
                  <w:tcBorders>
                    <w:tl2br w:val="nil"/>
                    <w:tr2bl w:val="nil"/>
                  </w:tcBorders>
                  <w:shd w:val="clear" w:color="auto" w:fill="auto"/>
                  <w:vAlign w:val="center"/>
                </w:tcPr>
                <w:p w14:paraId="658279AF">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0.16</w:t>
                  </w:r>
                </w:p>
              </w:tc>
              <w:tc>
                <w:tcPr>
                  <w:tcW w:w="649" w:type="pct"/>
                  <w:tcBorders>
                    <w:tl2br w:val="nil"/>
                    <w:tr2bl w:val="nil"/>
                  </w:tcBorders>
                  <w:vAlign w:val="center"/>
                </w:tcPr>
                <w:p w14:paraId="250DF6F9">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bCs/>
                      <w:color w:val="auto"/>
                      <w:kern w:val="28"/>
                      <w:sz w:val="21"/>
                      <w:szCs w:val="21"/>
                    </w:rPr>
                    <w:t>0.8</w:t>
                  </w:r>
                </w:p>
              </w:tc>
            </w:tr>
            <w:tr w14:paraId="27ED6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01" w:type="pct"/>
                  <w:gridSpan w:val="2"/>
                  <w:tcBorders>
                    <w:tl2br w:val="nil"/>
                    <w:tr2bl w:val="nil"/>
                  </w:tcBorders>
                  <w:vAlign w:val="center"/>
                </w:tcPr>
                <w:p w14:paraId="7831F599">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III类标准限值</w:t>
                  </w:r>
                </w:p>
              </w:tc>
              <w:tc>
                <w:tcPr>
                  <w:tcW w:w="653" w:type="pct"/>
                  <w:tcBorders>
                    <w:tl2br w:val="nil"/>
                    <w:tr2bl w:val="nil"/>
                  </w:tcBorders>
                  <w:vAlign w:val="center"/>
                </w:tcPr>
                <w:p w14:paraId="6272FB4F">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6-9</w:t>
                  </w:r>
                </w:p>
              </w:tc>
              <w:tc>
                <w:tcPr>
                  <w:tcW w:w="651" w:type="pct"/>
                  <w:tcBorders>
                    <w:tl2br w:val="nil"/>
                    <w:tr2bl w:val="nil"/>
                  </w:tcBorders>
                  <w:vAlign w:val="center"/>
                </w:tcPr>
                <w:p w14:paraId="4601BFA5">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color w:val="auto"/>
                      <w:kern w:val="0"/>
                      <w:sz w:val="21"/>
                      <w:szCs w:val="21"/>
                    </w:rPr>
                    <w:t>30</w:t>
                  </w:r>
                </w:p>
              </w:tc>
              <w:tc>
                <w:tcPr>
                  <w:tcW w:w="651" w:type="pct"/>
                  <w:tcBorders>
                    <w:tl2br w:val="nil"/>
                    <w:tr2bl w:val="nil"/>
                  </w:tcBorders>
                  <w:vAlign w:val="center"/>
                </w:tcPr>
                <w:p w14:paraId="2E0D6973">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color w:val="auto"/>
                      <w:kern w:val="0"/>
                      <w:sz w:val="21"/>
                      <w:szCs w:val="21"/>
                    </w:rPr>
                    <w:t>20</w:t>
                  </w:r>
                </w:p>
              </w:tc>
              <w:tc>
                <w:tcPr>
                  <w:tcW w:w="651" w:type="pct"/>
                  <w:tcBorders>
                    <w:tl2br w:val="nil"/>
                    <w:tr2bl w:val="nil"/>
                  </w:tcBorders>
                  <w:vAlign w:val="center"/>
                </w:tcPr>
                <w:p w14:paraId="3CC6742B">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color w:val="auto"/>
                      <w:kern w:val="0"/>
                      <w:sz w:val="21"/>
                      <w:szCs w:val="21"/>
                    </w:rPr>
                    <w:t>0.05</w:t>
                  </w:r>
                </w:p>
              </w:tc>
              <w:tc>
                <w:tcPr>
                  <w:tcW w:w="540" w:type="pct"/>
                  <w:tcBorders>
                    <w:tl2br w:val="nil"/>
                    <w:tr2bl w:val="nil"/>
                  </w:tcBorders>
                  <w:vAlign w:val="center"/>
                </w:tcPr>
                <w:p w14:paraId="24CC39DC">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color w:val="auto"/>
                      <w:kern w:val="0"/>
                      <w:sz w:val="21"/>
                      <w:szCs w:val="21"/>
                    </w:rPr>
                    <w:t>1</w:t>
                  </w:r>
                </w:p>
              </w:tc>
              <w:tc>
                <w:tcPr>
                  <w:tcW w:w="649" w:type="pct"/>
                  <w:tcBorders>
                    <w:tl2br w:val="nil"/>
                    <w:tr2bl w:val="nil"/>
                  </w:tcBorders>
                  <w:vAlign w:val="center"/>
                </w:tcPr>
                <w:p w14:paraId="7289B0BB">
                  <w:pPr>
                    <w:adjustRightInd w:val="0"/>
                    <w:snapToGrid w:val="0"/>
                    <w:jc w:val="center"/>
                    <w:rPr>
                      <w:rFonts w:hint="default" w:ascii="Times New Roman" w:hAnsi="Times New Roman" w:eastAsia="宋体" w:cs="Times New Roman"/>
                      <w:bCs/>
                      <w:color w:val="auto"/>
                      <w:kern w:val="28"/>
                      <w:sz w:val="21"/>
                      <w:szCs w:val="21"/>
                    </w:rPr>
                  </w:pPr>
                  <w:r>
                    <w:rPr>
                      <w:rFonts w:hint="default" w:ascii="Times New Roman" w:hAnsi="Times New Roman" w:eastAsia="宋体" w:cs="Times New Roman"/>
                      <w:color w:val="auto"/>
                      <w:kern w:val="0"/>
                      <w:sz w:val="21"/>
                      <w:szCs w:val="21"/>
                    </w:rPr>
                    <w:t>0.2</w:t>
                  </w:r>
                </w:p>
              </w:tc>
            </w:tr>
          </w:tbl>
          <w:p w14:paraId="3378E62B">
            <w:pPr>
              <w:widowControl/>
              <w:adjustRightInd w:val="0"/>
              <w:snapToGrid w:val="0"/>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注：“ND”表示未检出，石油类检出限0.01mg/L。</w:t>
            </w:r>
          </w:p>
          <w:p w14:paraId="5E18947C">
            <w:pPr>
              <w:widowControl/>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从地表水监测结果来看，评价区各监测点污染物能够达到《地表水环境质量标准》（GB3838-2002）中III类水的要求。</w:t>
            </w:r>
          </w:p>
          <w:p w14:paraId="0E765BE7">
            <w:pPr>
              <w:adjustRightInd w:val="0"/>
              <w:snapToGrid w:val="0"/>
              <w:spacing w:line="460" w:lineRule="exact"/>
              <w:ind w:firstLine="482" w:firstLineChars="200"/>
              <w:rPr>
                <w:rFonts w:hint="default" w:ascii="Times New Roman" w:hAnsi="Times New Roman" w:eastAsia="宋体" w:cs="Times New Roman"/>
                <w:b/>
                <w:bCs/>
                <w:kern w:val="0"/>
                <w:sz w:val="24"/>
                <w:szCs w:val="24"/>
                <w:lang w:val="en-US" w:eastAsia="zh-CN"/>
              </w:rPr>
            </w:pPr>
            <w:r>
              <w:rPr>
                <w:rFonts w:hint="eastAsia" w:cs="Times New Roman"/>
                <w:b/>
                <w:bCs/>
                <w:kern w:val="0"/>
                <w:sz w:val="24"/>
                <w:szCs w:val="24"/>
                <w:lang w:val="en-US" w:eastAsia="zh-CN"/>
              </w:rPr>
              <w:t>3.2.3</w:t>
            </w:r>
            <w:r>
              <w:rPr>
                <w:rFonts w:hint="default" w:ascii="Times New Roman" w:hAnsi="Times New Roman" w:eastAsia="宋体" w:cs="Times New Roman"/>
                <w:b/>
                <w:bCs/>
                <w:kern w:val="0"/>
                <w:sz w:val="24"/>
                <w:szCs w:val="24"/>
                <w:lang w:val="en-US" w:eastAsia="zh-CN"/>
              </w:rPr>
              <w:t>声环境质量现状</w:t>
            </w:r>
          </w:p>
          <w:p w14:paraId="6A08B872">
            <w:pPr>
              <w:adjustRightInd w:val="0"/>
              <w:snapToGrid w:val="0"/>
              <w:spacing w:line="460" w:lineRule="exact"/>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根据《202</w:t>
            </w:r>
            <w:r>
              <w:rPr>
                <w:rFonts w:hint="eastAsia"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年淮安市生态环境状况公报》，2023年，淮安市声环境总体较好，全市各功能区昼夜噪声均达标。全市区域环境昼间噪声均值为55.1dB(A)，夜间均值为45.3dB(A)，同比均有所改善</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全市昼间交通噪声均值为65.4dB(A)，夜间交通噪声均值为55.4dB(A)，均保持稳定，处于“好”水平。</w:t>
            </w:r>
          </w:p>
          <w:p w14:paraId="020F522B">
            <w:pPr>
              <w:adjustRightInd w:val="0"/>
              <w:snapToGrid w:val="0"/>
              <w:spacing w:line="460" w:lineRule="exact"/>
              <w:ind w:firstLine="482" w:firstLineChars="200"/>
              <w:rPr>
                <w:rFonts w:hint="default" w:ascii="Times New Roman" w:hAnsi="Times New Roman" w:eastAsia="宋体" w:cs="Times New Roman"/>
                <w:b/>
                <w:bCs/>
                <w:kern w:val="0"/>
                <w:sz w:val="24"/>
                <w:szCs w:val="24"/>
                <w:highlight w:val="none"/>
                <w:lang w:val="en-US" w:eastAsia="zh-CN"/>
              </w:rPr>
            </w:pPr>
            <w:r>
              <w:rPr>
                <w:rFonts w:hint="eastAsia" w:cs="Times New Roman"/>
                <w:b/>
                <w:bCs/>
                <w:kern w:val="0"/>
                <w:sz w:val="24"/>
                <w:szCs w:val="24"/>
                <w:highlight w:val="none"/>
                <w:lang w:val="en-US" w:eastAsia="zh-CN"/>
              </w:rPr>
              <w:t>3.2.4</w:t>
            </w:r>
            <w:r>
              <w:rPr>
                <w:rFonts w:hint="default" w:ascii="Times New Roman" w:hAnsi="Times New Roman" w:eastAsia="宋体" w:cs="Times New Roman"/>
                <w:b/>
                <w:bCs/>
                <w:kern w:val="0"/>
                <w:sz w:val="24"/>
                <w:szCs w:val="24"/>
                <w:highlight w:val="none"/>
                <w:lang w:val="en-US" w:eastAsia="zh-CN"/>
              </w:rPr>
              <w:t>底泥环境质量现状</w:t>
            </w:r>
          </w:p>
          <w:p w14:paraId="69A1DFF1">
            <w:pPr>
              <w:adjustRightInd w:val="0"/>
              <w:snapToGrid w:val="0"/>
              <w:spacing w:beforeLines="0" w:afterLines="0" w:line="480" w:lineRule="exact"/>
              <w:ind w:firstLine="480" w:firstLineChars="200"/>
              <w:rPr>
                <w:rFonts w:hint="eastAsia"/>
                <w:sz w:val="24"/>
                <w:szCs w:val="20"/>
                <w:highlight w:val="none"/>
              </w:rPr>
            </w:pPr>
            <w:r>
              <w:rPr>
                <w:rFonts w:hint="default" w:ascii="宋体" w:eastAsia="宋体"/>
                <w:sz w:val="24"/>
                <w:szCs w:val="24"/>
                <w:highlight w:val="none"/>
              </w:rPr>
              <w:t>本项目委托江苏迈斯特环境检测有限</w:t>
            </w:r>
            <w:r>
              <w:rPr>
                <w:rFonts w:hint="default" w:ascii="Times New Roman" w:hAnsi="Times New Roman" w:eastAsia="宋体" w:cs="Times New Roman"/>
                <w:sz w:val="24"/>
                <w:szCs w:val="24"/>
                <w:highlight w:val="none"/>
                <w:lang w:val="en-US" w:eastAsia="zh-CN"/>
              </w:rPr>
              <w:t>公司于2024年5月11日对底泥环境质量进行监测。河流底泥环境质量现状监测方案见表3.2-3，监测点位见附图五。河流底泥环境现状监测点位选择在南港岸线疏浚区、上游段补偿锚地和下游段</w:t>
            </w:r>
            <w:r>
              <w:rPr>
                <w:rFonts w:hint="default" w:ascii="宋体" w:eastAsia="宋体"/>
                <w:sz w:val="24"/>
                <w:szCs w:val="24"/>
                <w:highlight w:val="none"/>
              </w:rPr>
              <w:t>补偿锚地，</w:t>
            </w:r>
          </w:p>
          <w:p w14:paraId="65DA6FA9">
            <w:pPr>
              <w:adjustRightInd w:val="0"/>
              <w:snapToGrid w:val="0"/>
              <w:spacing w:beforeLines="0" w:afterLines="0" w:line="460" w:lineRule="exact"/>
              <w:ind w:firstLine="482" w:firstLineChars="200"/>
              <w:jc w:val="center"/>
              <w:rPr>
                <w:rFonts w:hint="default" w:ascii="Times New Roman" w:hAnsi="Times New Roman" w:cs="Times New Roman"/>
                <w:b/>
                <w:sz w:val="24"/>
                <w:szCs w:val="24"/>
                <w:highlight w:val="none"/>
              </w:rPr>
            </w:pPr>
            <w:r>
              <w:rPr>
                <w:rFonts w:hint="default" w:ascii="Times New Roman" w:hAnsi="Times New Roman" w:eastAsia="宋体" w:cs="Times New Roman"/>
                <w:b/>
                <w:sz w:val="24"/>
                <w:szCs w:val="24"/>
                <w:highlight w:val="none"/>
              </w:rPr>
              <w:t>表3.2</w:t>
            </w:r>
            <w:r>
              <w:rPr>
                <w:rFonts w:hint="default" w:ascii="Times New Roman" w:hAnsi="Times New Roman" w:cs="Times New Roman"/>
                <w:b/>
                <w:sz w:val="24"/>
                <w:szCs w:val="24"/>
                <w:highlight w:val="none"/>
              </w:rPr>
              <w:t>-</w:t>
            </w:r>
            <w:r>
              <w:rPr>
                <w:rFonts w:hint="default" w:ascii="Times New Roman" w:hAnsi="Times New Roman" w:eastAsia="宋体" w:cs="Times New Roman"/>
                <w:b/>
                <w:sz w:val="24"/>
                <w:szCs w:val="24"/>
                <w:highlight w:val="none"/>
              </w:rPr>
              <w:t>3</w:t>
            </w:r>
            <w:r>
              <w:rPr>
                <w:rFonts w:hint="default" w:ascii="Times New Roman" w:hAnsi="Times New Roman" w:cs="Times New Roman"/>
                <w:b/>
                <w:sz w:val="24"/>
                <w:szCs w:val="24"/>
                <w:highlight w:val="none"/>
              </w:rPr>
              <w:t xml:space="preserve">  </w:t>
            </w:r>
            <w:r>
              <w:rPr>
                <w:rFonts w:hint="default" w:ascii="Times New Roman" w:hAnsi="Times New Roman" w:eastAsia="宋体" w:cs="Times New Roman"/>
                <w:b/>
                <w:sz w:val="24"/>
                <w:szCs w:val="24"/>
                <w:highlight w:val="none"/>
              </w:rPr>
              <w:t>河流底泥环境现状监测方案</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694"/>
              <w:gridCol w:w="1976"/>
              <w:gridCol w:w="4138"/>
              <w:gridCol w:w="1479"/>
            </w:tblGrid>
            <w:tr w14:paraId="776D2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top w:val="single" w:color="auto" w:sz="12" w:space="0"/>
                    <w:left w:val="nil"/>
                    <w:bottom w:val="single" w:color="auto" w:sz="4" w:space="0"/>
                    <w:right w:val="single" w:color="auto" w:sz="4" w:space="0"/>
                    <w:tl2br w:val="nil"/>
                    <w:tr2bl w:val="nil"/>
                  </w:tcBorders>
                  <w:noWrap w:val="0"/>
                  <w:vAlign w:val="center"/>
                </w:tcPr>
                <w:p w14:paraId="19D11930">
                  <w:pPr>
                    <w:spacing w:beforeLines="0" w:afterLines="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4"/>
                      <w:highlight w:val="none"/>
                    </w:rPr>
                    <w:t>序号</w:t>
                  </w:r>
                </w:p>
              </w:tc>
              <w:tc>
                <w:tcPr>
                  <w:tcW w:w="375"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14818E17">
                  <w:pPr>
                    <w:spacing w:beforeLines="0" w:afterLines="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4"/>
                      <w:highlight w:val="none"/>
                    </w:rPr>
                    <w:t>类别</w:t>
                  </w:r>
                </w:p>
              </w:tc>
              <w:tc>
                <w:tcPr>
                  <w:tcW w:w="1068"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135C596B">
                  <w:pPr>
                    <w:spacing w:beforeLines="0" w:afterLines="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4"/>
                      <w:highlight w:val="none"/>
                    </w:rPr>
                    <w:t>采样点位置</w:t>
                  </w:r>
                </w:p>
              </w:tc>
              <w:tc>
                <w:tcPr>
                  <w:tcW w:w="2236"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0F2368EA">
                  <w:pPr>
                    <w:spacing w:beforeLines="0" w:afterLines="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4"/>
                      <w:highlight w:val="none"/>
                    </w:rPr>
                    <w:t>监测因子</w:t>
                  </w:r>
                </w:p>
              </w:tc>
              <w:tc>
                <w:tcPr>
                  <w:tcW w:w="799" w:type="pct"/>
                  <w:tcBorders>
                    <w:top w:val="single" w:color="auto" w:sz="12" w:space="0"/>
                    <w:left w:val="single" w:color="auto" w:sz="4" w:space="0"/>
                    <w:bottom w:val="single" w:color="auto" w:sz="4" w:space="0"/>
                    <w:right w:val="nil"/>
                    <w:tl2br w:val="nil"/>
                    <w:tr2bl w:val="nil"/>
                  </w:tcBorders>
                  <w:noWrap w:val="0"/>
                  <w:vAlign w:val="center"/>
                </w:tcPr>
                <w:p w14:paraId="6D1E6395">
                  <w:pPr>
                    <w:spacing w:beforeLines="0" w:afterLines="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4"/>
                      <w:highlight w:val="none"/>
                    </w:rPr>
                    <w:t>监测频次</w:t>
                  </w:r>
                </w:p>
              </w:tc>
            </w:tr>
            <w:tr w14:paraId="791F9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20" w:type="pct"/>
                  <w:tcBorders>
                    <w:top w:val="single" w:color="auto" w:sz="4" w:space="0"/>
                    <w:left w:val="nil"/>
                    <w:bottom w:val="single" w:color="auto" w:sz="4" w:space="0"/>
                    <w:right w:val="single" w:color="auto" w:sz="4" w:space="0"/>
                    <w:tl2br w:val="nil"/>
                    <w:tr2bl w:val="nil"/>
                  </w:tcBorders>
                  <w:noWrap w:val="0"/>
                  <w:vAlign w:val="center"/>
                </w:tcPr>
                <w:p w14:paraId="731CEFFB">
                  <w:pPr>
                    <w:spacing w:beforeLines="0" w:afterLines="0"/>
                    <w:jc w:val="center"/>
                    <w:rPr>
                      <w:rFonts w:hint="default" w:ascii="Times New Roman" w:hAnsi="Times New Roman" w:cs="Times New Roman"/>
                      <w:sz w:val="21"/>
                      <w:szCs w:val="24"/>
                      <w:highlight w:val="none"/>
                    </w:rPr>
                  </w:pPr>
                  <w:r>
                    <w:rPr>
                      <w:rFonts w:hint="default" w:ascii="Times New Roman" w:hAnsi="Times New Roman" w:cs="Times New Roman"/>
                      <w:sz w:val="21"/>
                      <w:szCs w:val="24"/>
                      <w:highlight w:val="none"/>
                    </w:rPr>
                    <w:t>D1</w:t>
                  </w:r>
                </w:p>
              </w:tc>
              <w:tc>
                <w:tcPr>
                  <w:tcW w:w="37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BDF8DA1">
                  <w:pPr>
                    <w:spacing w:beforeLines="0" w:afterLines="0"/>
                    <w:jc w:val="center"/>
                    <w:rPr>
                      <w:rFonts w:hint="default" w:ascii="Times New Roman" w:hAnsi="Times New Roman" w:cs="Times New Roman"/>
                      <w:sz w:val="21"/>
                      <w:szCs w:val="24"/>
                      <w:highlight w:val="none"/>
                    </w:rPr>
                  </w:pPr>
                  <w:r>
                    <w:rPr>
                      <w:rFonts w:hint="default" w:ascii="Times New Roman" w:hAnsi="Times New Roman" w:eastAsia="宋体" w:cs="Times New Roman"/>
                      <w:sz w:val="21"/>
                      <w:szCs w:val="24"/>
                      <w:highlight w:val="none"/>
                    </w:rPr>
                    <w:t>底泥</w:t>
                  </w:r>
                </w:p>
              </w:tc>
              <w:tc>
                <w:tcPr>
                  <w:tcW w:w="10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D3BE23">
                  <w:pPr>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南港岸线疏浚区</w:t>
                  </w:r>
                </w:p>
              </w:tc>
              <w:tc>
                <w:tcPr>
                  <w:tcW w:w="223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8BBB81E">
                  <w:pPr>
                    <w:spacing w:beforeLines="0" w:afterLine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pH</w:t>
                  </w:r>
                  <w:r>
                    <w:rPr>
                      <w:rFonts w:hint="default" w:ascii="Times New Roman" w:hAnsi="Times New Roman" w:eastAsia="宋体" w:cs="Times New Roman"/>
                      <w:sz w:val="21"/>
                      <w:szCs w:val="21"/>
                      <w:highlight w:val="none"/>
                    </w:rPr>
                    <w:t>、镉、汞、砷、铅、铬、铜、镍、锌</w:t>
                  </w:r>
                </w:p>
              </w:tc>
              <w:tc>
                <w:tcPr>
                  <w:tcW w:w="799" w:type="pct"/>
                  <w:vMerge w:val="restart"/>
                  <w:tcBorders>
                    <w:top w:val="single" w:color="auto" w:sz="4" w:space="0"/>
                    <w:left w:val="single" w:color="auto" w:sz="4" w:space="0"/>
                    <w:bottom w:val="single" w:color="auto" w:sz="4" w:space="0"/>
                    <w:right w:val="nil"/>
                    <w:tl2br w:val="nil"/>
                    <w:tr2bl w:val="nil"/>
                  </w:tcBorders>
                  <w:noWrap w:val="0"/>
                  <w:vAlign w:val="center"/>
                </w:tcPr>
                <w:p w14:paraId="51B76161">
                  <w:pPr>
                    <w:spacing w:beforeLines="0" w:afterLines="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4"/>
                      <w:highlight w:val="none"/>
                    </w:rPr>
                    <w:t>采样监测1次</w:t>
                  </w:r>
                </w:p>
              </w:tc>
            </w:tr>
            <w:tr w14:paraId="459A6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top w:val="single" w:color="auto" w:sz="4" w:space="0"/>
                    <w:left w:val="nil"/>
                    <w:bottom w:val="single" w:color="auto" w:sz="4" w:space="0"/>
                    <w:right w:val="single" w:color="auto" w:sz="4" w:space="0"/>
                    <w:tl2br w:val="nil"/>
                    <w:tr2bl w:val="nil"/>
                  </w:tcBorders>
                  <w:noWrap w:val="0"/>
                  <w:vAlign w:val="center"/>
                </w:tcPr>
                <w:p w14:paraId="1A460938">
                  <w:pPr>
                    <w:spacing w:beforeLines="0" w:afterLines="0"/>
                    <w:jc w:val="center"/>
                    <w:rPr>
                      <w:rFonts w:hint="default" w:ascii="宋体" w:eastAsia="宋体"/>
                      <w:sz w:val="21"/>
                      <w:szCs w:val="24"/>
                      <w:highlight w:val="none"/>
                    </w:rPr>
                  </w:pPr>
                  <w:r>
                    <w:rPr>
                      <w:rFonts w:hint="eastAsia"/>
                      <w:sz w:val="21"/>
                      <w:szCs w:val="24"/>
                      <w:highlight w:val="none"/>
                    </w:rPr>
                    <w:t>D</w:t>
                  </w:r>
                  <w:r>
                    <w:rPr>
                      <w:rFonts w:hint="default" w:ascii="宋体" w:eastAsia="宋体"/>
                      <w:sz w:val="21"/>
                      <w:szCs w:val="24"/>
                      <w:highlight w:val="none"/>
                    </w:rPr>
                    <w:t>2</w:t>
                  </w:r>
                </w:p>
              </w:tc>
              <w:tc>
                <w:tcPr>
                  <w:tcW w:w="37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48FE62C">
                  <w:pPr>
                    <w:spacing w:beforeLines="0" w:afterLines="0"/>
                    <w:jc w:val="center"/>
                    <w:rPr>
                      <w:rFonts w:hint="eastAsia"/>
                      <w:sz w:val="21"/>
                      <w:szCs w:val="24"/>
                      <w:highlight w:val="none"/>
                    </w:rPr>
                  </w:pPr>
                </w:p>
              </w:tc>
              <w:tc>
                <w:tcPr>
                  <w:tcW w:w="10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C295BE">
                  <w:pPr>
                    <w:spacing w:beforeLines="0" w:afterLines="0"/>
                    <w:jc w:val="center"/>
                    <w:rPr>
                      <w:rFonts w:hint="default" w:ascii="宋体" w:eastAsia="宋体"/>
                      <w:sz w:val="21"/>
                      <w:szCs w:val="21"/>
                      <w:highlight w:val="none"/>
                    </w:rPr>
                  </w:pPr>
                  <w:r>
                    <w:rPr>
                      <w:rFonts w:hint="default" w:ascii="宋体" w:eastAsia="宋体"/>
                      <w:sz w:val="21"/>
                      <w:szCs w:val="21"/>
                      <w:highlight w:val="none"/>
                    </w:rPr>
                    <w:t>上游段补偿锚地</w:t>
                  </w:r>
                </w:p>
              </w:tc>
              <w:tc>
                <w:tcPr>
                  <w:tcW w:w="223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3452DE1">
                  <w:pPr>
                    <w:spacing w:beforeLines="0" w:afterLines="0"/>
                    <w:jc w:val="center"/>
                    <w:rPr>
                      <w:rFonts w:hint="eastAsia"/>
                      <w:sz w:val="21"/>
                      <w:szCs w:val="21"/>
                      <w:highlight w:val="none"/>
                    </w:rPr>
                  </w:pPr>
                </w:p>
              </w:tc>
              <w:tc>
                <w:tcPr>
                  <w:tcW w:w="799" w:type="pct"/>
                  <w:vMerge w:val="continue"/>
                  <w:tcBorders>
                    <w:top w:val="single" w:color="auto" w:sz="4" w:space="0"/>
                    <w:left w:val="single" w:color="auto" w:sz="4" w:space="0"/>
                    <w:bottom w:val="single" w:color="auto" w:sz="4" w:space="0"/>
                    <w:right w:val="nil"/>
                    <w:tl2br w:val="nil"/>
                    <w:tr2bl w:val="nil"/>
                  </w:tcBorders>
                  <w:noWrap w:val="0"/>
                  <w:vAlign w:val="center"/>
                </w:tcPr>
                <w:p w14:paraId="06D2EBAE">
                  <w:pPr>
                    <w:spacing w:beforeLines="0" w:afterLines="0"/>
                    <w:jc w:val="center"/>
                    <w:rPr>
                      <w:rFonts w:hint="eastAsia"/>
                      <w:sz w:val="21"/>
                      <w:szCs w:val="24"/>
                      <w:highlight w:val="none"/>
                    </w:rPr>
                  </w:pPr>
                </w:p>
              </w:tc>
            </w:tr>
            <w:tr w14:paraId="238CA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top w:val="single" w:color="auto" w:sz="4" w:space="0"/>
                    <w:left w:val="nil"/>
                    <w:bottom w:val="single" w:color="auto" w:sz="12" w:space="0"/>
                    <w:right w:val="single" w:color="auto" w:sz="4" w:space="0"/>
                    <w:tl2br w:val="nil"/>
                    <w:tr2bl w:val="nil"/>
                  </w:tcBorders>
                  <w:noWrap w:val="0"/>
                  <w:vAlign w:val="center"/>
                </w:tcPr>
                <w:p w14:paraId="57446372">
                  <w:pPr>
                    <w:spacing w:beforeLines="0" w:afterLines="0"/>
                    <w:jc w:val="center"/>
                    <w:rPr>
                      <w:rFonts w:hint="default" w:ascii="宋体" w:eastAsia="宋体"/>
                      <w:sz w:val="21"/>
                      <w:szCs w:val="24"/>
                      <w:highlight w:val="none"/>
                    </w:rPr>
                  </w:pPr>
                  <w:r>
                    <w:rPr>
                      <w:rFonts w:hint="eastAsia"/>
                      <w:sz w:val="21"/>
                      <w:szCs w:val="24"/>
                      <w:highlight w:val="none"/>
                    </w:rPr>
                    <w:t>D</w:t>
                  </w:r>
                  <w:r>
                    <w:rPr>
                      <w:rFonts w:hint="default" w:ascii="宋体" w:eastAsia="宋体"/>
                      <w:sz w:val="21"/>
                      <w:szCs w:val="24"/>
                      <w:highlight w:val="none"/>
                    </w:rPr>
                    <w:t>3</w:t>
                  </w:r>
                </w:p>
              </w:tc>
              <w:tc>
                <w:tcPr>
                  <w:tcW w:w="375" w:type="pct"/>
                  <w:vMerge w:val="continue"/>
                  <w:tcBorders>
                    <w:top w:val="single" w:color="auto" w:sz="4" w:space="0"/>
                    <w:left w:val="single" w:color="auto" w:sz="4" w:space="0"/>
                    <w:bottom w:val="single" w:color="auto" w:sz="12" w:space="0"/>
                    <w:right w:val="single" w:color="auto" w:sz="4" w:space="0"/>
                    <w:tl2br w:val="nil"/>
                    <w:tr2bl w:val="nil"/>
                  </w:tcBorders>
                  <w:noWrap w:val="0"/>
                  <w:vAlign w:val="center"/>
                </w:tcPr>
                <w:p w14:paraId="48CA0523">
                  <w:pPr>
                    <w:spacing w:beforeLines="0" w:afterLines="0"/>
                    <w:jc w:val="center"/>
                    <w:rPr>
                      <w:rFonts w:hint="eastAsia"/>
                      <w:sz w:val="21"/>
                      <w:szCs w:val="24"/>
                      <w:highlight w:val="none"/>
                    </w:rPr>
                  </w:pPr>
                </w:p>
              </w:tc>
              <w:tc>
                <w:tcPr>
                  <w:tcW w:w="1068"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5F9623EE">
                  <w:pPr>
                    <w:spacing w:beforeLines="0" w:afterLines="0"/>
                    <w:jc w:val="center"/>
                    <w:rPr>
                      <w:rFonts w:hint="default" w:ascii="宋体" w:eastAsia="宋体"/>
                      <w:sz w:val="21"/>
                      <w:szCs w:val="21"/>
                      <w:highlight w:val="none"/>
                    </w:rPr>
                  </w:pPr>
                  <w:r>
                    <w:rPr>
                      <w:rFonts w:hint="default" w:ascii="宋体" w:eastAsia="宋体"/>
                      <w:sz w:val="21"/>
                      <w:szCs w:val="21"/>
                      <w:highlight w:val="none"/>
                    </w:rPr>
                    <w:t>下游段补偿锚地</w:t>
                  </w:r>
                </w:p>
              </w:tc>
              <w:tc>
                <w:tcPr>
                  <w:tcW w:w="2236" w:type="pct"/>
                  <w:vMerge w:val="continue"/>
                  <w:tcBorders>
                    <w:top w:val="single" w:color="auto" w:sz="4" w:space="0"/>
                    <w:left w:val="single" w:color="auto" w:sz="4" w:space="0"/>
                    <w:bottom w:val="single" w:color="auto" w:sz="12" w:space="0"/>
                    <w:right w:val="single" w:color="auto" w:sz="4" w:space="0"/>
                    <w:tl2br w:val="nil"/>
                    <w:tr2bl w:val="nil"/>
                  </w:tcBorders>
                  <w:noWrap w:val="0"/>
                  <w:vAlign w:val="center"/>
                </w:tcPr>
                <w:p w14:paraId="1881F7C7">
                  <w:pPr>
                    <w:spacing w:beforeLines="0" w:afterLines="0"/>
                    <w:jc w:val="center"/>
                    <w:rPr>
                      <w:rFonts w:hint="eastAsia"/>
                      <w:sz w:val="21"/>
                      <w:szCs w:val="21"/>
                      <w:highlight w:val="none"/>
                    </w:rPr>
                  </w:pPr>
                </w:p>
              </w:tc>
              <w:tc>
                <w:tcPr>
                  <w:tcW w:w="799" w:type="pct"/>
                  <w:vMerge w:val="continue"/>
                  <w:tcBorders>
                    <w:top w:val="single" w:color="auto" w:sz="4" w:space="0"/>
                    <w:left w:val="single" w:color="auto" w:sz="4" w:space="0"/>
                    <w:bottom w:val="single" w:color="auto" w:sz="12" w:space="0"/>
                    <w:right w:val="nil"/>
                    <w:tl2br w:val="nil"/>
                    <w:tr2bl w:val="nil"/>
                  </w:tcBorders>
                  <w:noWrap w:val="0"/>
                  <w:vAlign w:val="center"/>
                </w:tcPr>
                <w:p w14:paraId="6221419A">
                  <w:pPr>
                    <w:spacing w:beforeLines="0" w:afterLines="0"/>
                    <w:jc w:val="center"/>
                    <w:rPr>
                      <w:rFonts w:hint="eastAsia"/>
                      <w:sz w:val="21"/>
                      <w:szCs w:val="24"/>
                      <w:highlight w:val="none"/>
                    </w:rPr>
                  </w:pPr>
                </w:p>
              </w:tc>
            </w:tr>
          </w:tbl>
          <w:p w14:paraId="216AAFAC">
            <w:pPr>
              <w:adjustRightInd w:val="0"/>
              <w:snapToGrid w:val="0"/>
              <w:spacing w:line="480" w:lineRule="exact"/>
              <w:ind w:firstLine="480" w:firstLineChars="200"/>
              <w:rPr>
                <w:sz w:val="24"/>
                <w:highlight w:val="none"/>
              </w:rPr>
            </w:pPr>
            <w:r>
              <w:rPr>
                <w:sz w:val="24"/>
                <w:highlight w:val="none"/>
              </w:rPr>
              <w:t>底泥环境现状监测结果见表3.</w:t>
            </w:r>
            <w:r>
              <w:rPr>
                <w:rFonts w:hint="eastAsia"/>
                <w:sz w:val="24"/>
                <w:highlight w:val="none"/>
                <w:lang w:val="en-US" w:eastAsia="zh-CN"/>
              </w:rPr>
              <w:t>2</w:t>
            </w:r>
            <w:r>
              <w:rPr>
                <w:sz w:val="24"/>
                <w:highlight w:val="none"/>
              </w:rPr>
              <w:t>-</w:t>
            </w:r>
            <w:r>
              <w:rPr>
                <w:rFonts w:hint="eastAsia"/>
                <w:sz w:val="24"/>
                <w:highlight w:val="none"/>
                <w:lang w:val="en-US" w:eastAsia="zh-CN"/>
              </w:rPr>
              <w:t>4</w:t>
            </w:r>
            <w:r>
              <w:rPr>
                <w:sz w:val="24"/>
                <w:highlight w:val="none"/>
              </w:rPr>
              <w:t>。根据现状监测结果，本项目底泥中的镉</w:t>
            </w:r>
            <w:r>
              <w:rPr>
                <w:rFonts w:hint="eastAsia"/>
                <w:sz w:val="24"/>
                <w:highlight w:val="none"/>
              </w:rPr>
              <w:t>、</w:t>
            </w:r>
            <w:r>
              <w:rPr>
                <w:sz w:val="24"/>
                <w:highlight w:val="none"/>
              </w:rPr>
              <w:t>汞</w:t>
            </w:r>
            <w:r>
              <w:rPr>
                <w:rFonts w:hint="eastAsia"/>
                <w:sz w:val="24"/>
                <w:highlight w:val="none"/>
              </w:rPr>
              <w:t>、</w:t>
            </w:r>
            <w:r>
              <w:rPr>
                <w:sz w:val="24"/>
                <w:highlight w:val="none"/>
              </w:rPr>
              <w:t>砷</w:t>
            </w:r>
            <w:r>
              <w:rPr>
                <w:rFonts w:hint="eastAsia"/>
                <w:sz w:val="24"/>
                <w:highlight w:val="none"/>
              </w:rPr>
              <w:t>、</w:t>
            </w:r>
            <w:r>
              <w:rPr>
                <w:sz w:val="24"/>
                <w:highlight w:val="none"/>
              </w:rPr>
              <w:t>铅</w:t>
            </w:r>
            <w:r>
              <w:rPr>
                <w:rFonts w:hint="eastAsia"/>
                <w:sz w:val="24"/>
                <w:highlight w:val="none"/>
              </w:rPr>
              <w:t>、</w:t>
            </w:r>
            <w:r>
              <w:rPr>
                <w:sz w:val="24"/>
                <w:highlight w:val="none"/>
              </w:rPr>
              <w:t>铜</w:t>
            </w:r>
            <w:r>
              <w:rPr>
                <w:rFonts w:hint="eastAsia"/>
                <w:sz w:val="24"/>
                <w:highlight w:val="none"/>
              </w:rPr>
              <w:t>、</w:t>
            </w:r>
            <w:r>
              <w:rPr>
                <w:sz w:val="24"/>
                <w:highlight w:val="none"/>
              </w:rPr>
              <w:t>镍</w:t>
            </w:r>
            <w:r>
              <w:rPr>
                <w:rFonts w:hint="eastAsia"/>
                <w:sz w:val="24"/>
                <w:highlight w:val="none"/>
                <w:lang w:eastAsia="zh-CN"/>
              </w:rPr>
              <w:t>、</w:t>
            </w:r>
            <w:r>
              <w:rPr>
                <w:rFonts w:hint="eastAsia"/>
                <w:sz w:val="24"/>
                <w:highlight w:val="none"/>
                <w:lang w:val="en-US" w:eastAsia="zh-CN"/>
              </w:rPr>
              <w:t>锌</w:t>
            </w:r>
            <w:r>
              <w:rPr>
                <w:rFonts w:hint="eastAsia"/>
                <w:sz w:val="24"/>
                <w:highlight w:val="none"/>
              </w:rPr>
              <w:t>等指标满足</w:t>
            </w:r>
            <w:r>
              <w:rPr>
                <w:sz w:val="24"/>
                <w:highlight w:val="none"/>
              </w:rPr>
              <w:t xml:space="preserve">《土壤环境质量 </w:t>
            </w:r>
            <w:r>
              <w:rPr>
                <w:rFonts w:hint="eastAsia"/>
                <w:sz w:val="24"/>
                <w:highlight w:val="none"/>
              </w:rPr>
              <w:t>农</w:t>
            </w:r>
            <w:r>
              <w:rPr>
                <w:sz w:val="24"/>
                <w:highlight w:val="none"/>
              </w:rPr>
              <w:t>用地土壤污染风险管控标准（试行）》（GB</w:t>
            </w:r>
            <w:r>
              <w:rPr>
                <w:rFonts w:hint="eastAsia"/>
                <w:sz w:val="24"/>
                <w:highlight w:val="none"/>
              </w:rPr>
              <w:t>15618</w:t>
            </w:r>
            <w:r>
              <w:rPr>
                <w:sz w:val="24"/>
                <w:highlight w:val="none"/>
              </w:rPr>
              <w:t>-2018）</w:t>
            </w:r>
            <w:r>
              <w:rPr>
                <w:rFonts w:hint="eastAsia"/>
                <w:sz w:val="24"/>
                <w:highlight w:val="none"/>
              </w:rPr>
              <w:t>农用地土壤污染风险</w:t>
            </w:r>
            <w:r>
              <w:rPr>
                <w:sz w:val="24"/>
                <w:highlight w:val="none"/>
              </w:rPr>
              <w:t>筛选值</w:t>
            </w:r>
            <w:r>
              <w:rPr>
                <w:rFonts w:hint="eastAsia"/>
                <w:sz w:val="24"/>
                <w:highlight w:val="none"/>
              </w:rPr>
              <w:t>（基本项目）</w:t>
            </w:r>
            <w:r>
              <w:rPr>
                <w:sz w:val="24"/>
                <w:highlight w:val="none"/>
              </w:rPr>
              <w:t>标准。</w:t>
            </w:r>
          </w:p>
          <w:p w14:paraId="34A0FFC0">
            <w:pPr>
              <w:adjustRightInd w:val="0"/>
              <w:snapToGrid w:val="0"/>
              <w:spacing w:line="460" w:lineRule="exact"/>
              <w:ind w:firstLine="482" w:firstLineChars="200"/>
              <w:jc w:val="center"/>
              <w:rPr>
                <w:rFonts w:hint="default" w:ascii="Times New Roman" w:hAnsi="Times New Roman" w:eastAsia="宋体" w:cs="Times New Roman"/>
                <w:b/>
                <w:bCs/>
                <w:sz w:val="24"/>
                <w:szCs w:val="24"/>
                <w:highlight w:val="none"/>
                <w:lang w:val="en-US" w:eastAsia="zh-CN"/>
              </w:rPr>
            </w:pPr>
          </w:p>
          <w:p w14:paraId="24E747FD">
            <w:pPr>
              <w:adjustRightInd w:val="0"/>
              <w:snapToGrid w:val="0"/>
              <w:spacing w:line="460" w:lineRule="exact"/>
              <w:ind w:firstLine="482" w:firstLineChars="200"/>
              <w:jc w:val="center"/>
              <w:rPr>
                <w:rFonts w:hint="eastAsia"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表3.</w:t>
            </w:r>
            <w:r>
              <w:rPr>
                <w:rFonts w:hint="eastAsia" w:ascii="Times New Roman" w:hAnsi="Times New Roman" w:cs="Times New Roman"/>
                <w:b/>
                <w:bCs/>
                <w:sz w:val="24"/>
                <w:szCs w:val="24"/>
                <w:highlight w:val="none"/>
                <w:lang w:val="en-US" w:eastAsia="zh-CN"/>
              </w:rPr>
              <w:t>2</w:t>
            </w:r>
            <w:r>
              <w:rPr>
                <w:rFonts w:hint="default" w:ascii="Times New Roman" w:hAnsi="Times New Roman" w:eastAsia="宋体" w:cs="Times New Roman"/>
                <w:b/>
                <w:bCs/>
                <w:sz w:val="24"/>
                <w:szCs w:val="24"/>
                <w:highlight w:val="none"/>
                <w:lang w:val="en-US" w:eastAsia="zh-CN"/>
              </w:rPr>
              <w:t>-</w:t>
            </w:r>
            <w:r>
              <w:rPr>
                <w:rFonts w:hint="eastAsia" w:ascii="Times New Roman" w:hAnsi="Times New Roman" w:cs="Times New Roman"/>
                <w:b/>
                <w:bCs/>
                <w:sz w:val="24"/>
                <w:szCs w:val="24"/>
                <w:highlight w:val="none"/>
                <w:lang w:val="en-US" w:eastAsia="zh-CN"/>
              </w:rPr>
              <w:t>4</w:t>
            </w:r>
            <w:r>
              <w:rPr>
                <w:rFonts w:hint="default" w:ascii="Times New Roman" w:hAnsi="Times New Roman" w:eastAsia="宋体" w:cs="Times New Roman"/>
                <w:b/>
                <w:bCs/>
                <w:sz w:val="24"/>
                <w:szCs w:val="24"/>
                <w:highlight w:val="none"/>
                <w:lang w:val="en-US" w:eastAsia="zh-CN"/>
              </w:rPr>
              <w:t xml:space="preserve">  底泥环境现状监测结果汇总表</w:t>
            </w:r>
          </w:p>
          <w:tbl>
            <w:tblPr>
              <w:tblStyle w:val="89"/>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19"/>
              <w:gridCol w:w="808"/>
              <w:gridCol w:w="1310"/>
              <w:gridCol w:w="1545"/>
              <w:gridCol w:w="1785"/>
              <w:gridCol w:w="1785"/>
              <w:gridCol w:w="1090"/>
            </w:tblGrid>
            <w:tr w14:paraId="5082A8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497" w:type="pct"/>
                  <w:tcBorders>
                    <w:tl2br w:val="nil"/>
                    <w:tr2bl w:val="nil"/>
                  </w:tcBorders>
                  <w:noWrap w:val="0"/>
                  <w:vAlign w:val="center"/>
                </w:tcPr>
                <w:p w14:paraId="287AA458">
                  <w:pPr>
                    <w:jc w:val="center"/>
                    <w:rPr>
                      <w:szCs w:val="21"/>
                      <w:highlight w:val="none"/>
                    </w:rPr>
                  </w:pPr>
                  <w:r>
                    <w:rPr>
                      <w:highlight w:val="none"/>
                    </w:rPr>
                    <w:t>监测点</w:t>
                  </w:r>
                </w:p>
              </w:tc>
              <w:tc>
                <w:tcPr>
                  <w:tcW w:w="437" w:type="pct"/>
                  <w:tcBorders>
                    <w:tl2br w:val="nil"/>
                    <w:tr2bl w:val="nil"/>
                  </w:tcBorders>
                  <w:noWrap w:val="0"/>
                  <w:vAlign w:val="center"/>
                </w:tcPr>
                <w:p w14:paraId="1F32B634">
                  <w:pPr>
                    <w:jc w:val="center"/>
                    <w:rPr>
                      <w:szCs w:val="21"/>
                      <w:highlight w:val="none"/>
                    </w:rPr>
                  </w:pPr>
                  <w:r>
                    <w:rPr>
                      <w:highlight w:val="none"/>
                    </w:rPr>
                    <w:t>序号</w:t>
                  </w:r>
                </w:p>
              </w:tc>
              <w:tc>
                <w:tcPr>
                  <w:tcW w:w="708" w:type="pct"/>
                  <w:tcBorders>
                    <w:tl2br w:val="nil"/>
                    <w:tr2bl w:val="nil"/>
                  </w:tcBorders>
                  <w:noWrap w:val="0"/>
                  <w:vAlign w:val="center"/>
                </w:tcPr>
                <w:p w14:paraId="07066519">
                  <w:pPr>
                    <w:jc w:val="center"/>
                    <w:rPr>
                      <w:szCs w:val="21"/>
                      <w:highlight w:val="none"/>
                    </w:rPr>
                  </w:pPr>
                  <w:r>
                    <w:rPr>
                      <w:highlight w:val="none"/>
                    </w:rPr>
                    <w:t>污染物项目</w:t>
                  </w:r>
                </w:p>
              </w:tc>
              <w:tc>
                <w:tcPr>
                  <w:tcW w:w="835" w:type="pct"/>
                  <w:tcBorders>
                    <w:tl2br w:val="nil"/>
                    <w:tr2bl w:val="nil"/>
                  </w:tcBorders>
                  <w:noWrap w:val="0"/>
                  <w:vAlign w:val="center"/>
                </w:tcPr>
                <w:p w14:paraId="2B5BCE85">
                  <w:pPr>
                    <w:jc w:val="center"/>
                    <w:rPr>
                      <w:szCs w:val="21"/>
                      <w:highlight w:val="none"/>
                    </w:rPr>
                  </w:pPr>
                  <w:r>
                    <w:rPr>
                      <w:highlight w:val="none"/>
                    </w:rPr>
                    <w:t>含量（mg/kg）</w:t>
                  </w:r>
                </w:p>
              </w:tc>
              <w:tc>
                <w:tcPr>
                  <w:tcW w:w="965" w:type="pct"/>
                  <w:tcBorders>
                    <w:tl2br w:val="nil"/>
                    <w:tr2bl w:val="nil"/>
                  </w:tcBorders>
                  <w:noWrap w:val="0"/>
                  <w:vAlign w:val="center"/>
                </w:tcPr>
                <w:p w14:paraId="4CFF1BE8">
                  <w:pPr>
                    <w:jc w:val="center"/>
                    <w:rPr>
                      <w:szCs w:val="21"/>
                      <w:highlight w:val="none"/>
                    </w:rPr>
                  </w:pPr>
                  <w:r>
                    <w:rPr>
                      <w:rFonts w:hint="eastAsia"/>
                      <w:szCs w:val="21"/>
                      <w:highlight w:val="none"/>
                      <w:lang w:val="en-US" w:eastAsia="zh-CN"/>
                    </w:rPr>
                    <w:t>风险筛选值</w:t>
                  </w:r>
                  <w:r>
                    <w:rPr>
                      <w:szCs w:val="21"/>
                      <w:highlight w:val="none"/>
                    </w:rPr>
                    <w:t>（mg/kg）</w:t>
                  </w:r>
                </w:p>
              </w:tc>
              <w:tc>
                <w:tcPr>
                  <w:tcW w:w="965" w:type="pct"/>
                  <w:tcBorders>
                    <w:tl2br w:val="nil"/>
                    <w:tr2bl w:val="nil"/>
                  </w:tcBorders>
                  <w:noWrap w:val="0"/>
                  <w:vAlign w:val="center"/>
                </w:tcPr>
                <w:p w14:paraId="65D50B8C">
                  <w:pPr>
                    <w:jc w:val="center"/>
                    <w:rPr>
                      <w:rFonts w:hint="eastAsia"/>
                      <w:szCs w:val="21"/>
                      <w:highlight w:val="none"/>
                      <w:lang w:val="en-US" w:eastAsia="zh-CN"/>
                    </w:rPr>
                  </w:pPr>
                  <w:r>
                    <w:rPr>
                      <w:rFonts w:hint="eastAsia"/>
                      <w:szCs w:val="21"/>
                      <w:highlight w:val="none"/>
                      <w:lang w:val="en-US" w:eastAsia="zh-CN"/>
                    </w:rPr>
                    <w:t>风险管控值</w:t>
                  </w:r>
                  <w:r>
                    <w:rPr>
                      <w:szCs w:val="21"/>
                      <w:highlight w:val="none"/>
                    </w:rPr>
                    <w:t>（mg/kg）</w:t>
                  </w:r>
                </w:p>
              </w:tc>
              <w:tc>
                <w:tcPr>
                  <w:tcW w:w="589" w:type="pct"/>
                  <w:tcBorders>
                    <w:tl2br w:val="nil"/>
                    <w:tr2bl w:val="nil"/>
                  </w:tcBorders>
                  <w:noWrap w:val="0"/>
                  <w:vAlign w:val="center"/>
                </w:tcPr>
                <w:p w14:paraId="24D64791">
                  <w:pPr>
                    <w:jc w:val="center"/>
                    <w:rPr>
                      <w:szCs w:val="21"/>
                      <w:highlight w:val="none"/>
                    </w:rPr>
                  </w:pPr>
                  <w:r>
                    <w:rPr>
                      <w:highlight w:val="none"/>
                    </w:rPr>
                    <w:t>达标情况</w:t>
                  </w:r>
                </w:p>
              </w:tc>
            </w:tr>
            <w:tr w14:paraId="4C32C7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restart"/>
                  <w:tcBorders>
                    <w:tl2br w:val="nil"/>
                    <w:tr2bl w:val="nil"/>
                  </w:tcBorders>
                  <w:noWrap w:val="0"/>
                  <w:vAlign w:val="center"/>
                </w:tcPr>
                <w:p w14:paraId="07A077C5">
                  <w:pPr>
                    <w:jc w:val="center"/>
                    <w:rPr>
                      <w:szCs w:val="21"/>
                      <w:highlight w:val="none"/>
                    </w:rPr>
                  </w:pPr>
                  <w:r>
                    <w:rPr>
                      <w:highlight w:val="none"/>
                    </w:rPr>
                    <w:t>D1</w:t>
                  </w:r>
                </w:p>
              </w:tc>
              <w:tc>
                <w:tcPr>
                  <w:tcW w:w="437" w:type="pct"/>
                  <w:tcBorders>
                    <w:tl2br w:val="nil"/>
                    <w:tr2bl w:val="nil"/>
                  </w:tcBorders>
                  <w:noWrap w:val="0"/>
                  <w:vAlign w:val="center"/>
                </w:tcPr>
                <w:p w14:paraId="38ACA7D5">
                  <w:pPr>
                    <w:jc w:val="center"/>
                    <w:rPr>
                      <w:highlight w:val="none"/>
                    </w:rPr>
                  </w:pPr>
                  <w:r>
                    <w:rPr>
                      <w:highlight w:val="none"/>
                    </w:rPr>
                    <w:t>1</w:t>
                  </w:r>
                </w:p>
              </w:tc>
              <w:tc>
                <w:tcPr>
                  <w:tcW w:w="708" w:type="pct"/>
                  <w:tcBorders>
                    <w:tl2br w:val="nil"/>
                    <w:tr2bl w:val="nil"/>
                  </w:tcBorders>
                  <w:noWrap w:val="0"/>
                  <w:vAlign w:val="center"/>
                </w:tcPr>
                <w:p w14:paraId="36573ADE">
                  <w:pPr>
                    <w:jc w:val="center"/>
                    <w:rPr>
                      <w:highlight w:val="none"/>
                    </w:rPr>
                  </w:pPr>
                  <w:r>
                    <w:rPr>
                      <w:rFonts w:hint="eastAsia"/>
                      <w:highlight w:val="none"/>
                      <w:lang w:val="en-US" w:eastAsia="zh-CN"/>
                    </w:rPr>
                    <w:t>pH</w:t>
                  </w:r>
                </w:p>
              </w:tc>
              <w:tc>
                <w:tcPr>
                  <w:tcW w:w="835" w:type="pct"/>
                  <w:tcBorders>
                    <w:tl2br w:val="nil"/>
                    <w:tr2bl w:val="nil"/>
                  </w:tcBorders>
                  <w:noWrap w:val="0"/>
                  <w:vAlign w:val="center"/>
                </w:tcPr>
                <w:p w14:paraId="595C2463">
                  <w:pPr>
                    <w:jc w:val="center"/>
                    <w:rPr>
                      <w:highlight w:val="none"/>
                    </w:rPr>
                  </w:pPr>
                  <w:r>
                    <w:rPr>
                      <w:rFonts w:hint="eastAsia"/>
                      <w:highlight w:val="none"/>
                      <w:lang w:val="en-US" w:eastAsia="zh-CN"/>
                    </w:rPr>
                    <w:t>7.9</w:t>
                  </w:r>
                </w:p>
              </w:tc>
              <w:tc>
                <w:tcPr>
                  <w:tcW w:w="965" w:type="pct"/>
                  <w:tcBorders>
                    <w:tl2br w:val="nil"/>
                    <w:tr2bl w:val="nil"/>
                  </w:tcBorders>
                  <w:noWrap w:val="0"/>
                  <w:vAlign w:val="center"/>
                </w:tcPr>
                <w:p w14:paraId="693A02D9">
                  <w:pPr>
                    <w:jc w:val="center"/>
                    <w:rPr>
                      <w:highlight w:val="none"/>
                    </w:rPr>
                  </w:pPr>
                  <w:r>
                    <w:rPr>
                      <w:rFonts w:hint="eastAsia"/>
                      <w:highlight w:val="none"/>
                      <w:lang w:val="en-US" w:eastAsia="zh-CN"/>
                    </w:rPr>
                    <w:t>/</w:t>
                  </w:r>
                </w:p>
              </w:tc>
              <w:tc>
                <w:tcPr>
                  <w:tcW w:w="965" w:type="pct"/>
                  <w:tcBorders>
                    <w:tl2br w:val="nil"/>
                    <w:tr2bl w:val="nil"/>
                  </w:tcBorders>
                  <w:noWrap w:val="0"/>
                  <w:vAlign w:val="center"/>
                </w:tcPr>
                <w:p w14:paraId="7816E5DA">
                  <w:pPr>
                    <w:jc w:val="center"/>
                    <w:rPr>
                      <w:rFonts w:hint="eastAsia"/>
                      <w:highlight w:val="none"/>
                      <w:lang w:val="en-US" w:eastAsia="zh-CN"/>
                    </w:rPr>
                  </w:pPr>
                  <w:r>
                    <w:rPr>
                      <w:rFonts w:hint="eastAsia"/>
                      <w:highlight w:val="none"/>
                      <w:lang w:val="en-US" w:eastAsia="zh-CN"/>
                    </w:rPr>
                    <w:t>/</w:t>
                  </w:r>
                </w:p>
              </w:tc>
              <w:tc>
                <w:tcPr>
                  <w:tcW w:w="589" w:type="pct"/>
                  <w:tcBorders>
                    <w:tl2br w:val="nil"/>
                    <w:tr2bl w:val="nil"/>
                  </w:tcBorders>
                  <w:noWrap w:val="0"/>
                  <w:vAlign w:val="center"/>
                </w:tcPr>
                <w:p w14:paraId="710A7219">
                  <w:pPr>
                    <w:jc w:val="center"/>
                    <w:rPr>
                      <w:highlight w:val="none"/>
                    </w:rPr>
                  </w:pPr>
                  <w:r>
                    <w:rPr>
                      <w:highlight w:val="none"/>
                    </w:rPr>
                    <w:t>/</w:t>
                  </w:r>
                </w:p>
              </w:tc>
            </w:tr>
            <w:tr w14:paraId="006DBF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D165766">
                  <w:pPr>
                    <w:jc w:val="center"/>
                    <w:rPr>
                      <w:highlight w:val="none"/>
                    </w:rPr>
                  </w:pPr>
                </w:p>
              </w:tc>
              <w:tc>
                <w:tcPr>
                  <w:tcW w:w="437" w:type="pct"/>
                  <w:tcBorders>
                    <w:tl2br w:val="nil"/>
                    <w:tr2bl w:val="nil"/>
                  </w:tcBorders>
                  <w:noWrap w:val="0"/>
                  <w:vAlign w:val="center"/>
                </w:tcPr>
                <w:p w14:paraId="02A6F3A1">
                  <w:pPr>
                    <w:jc w:val="center"/>
                    <w:rPr>
                      <w:highlight w:val="none"/>
                    </w:rPr>
                  </w:pPr>
                  <w:r>
                    <w:rPr>
                      <w:highlight w:val="none"/>
                    </w:rPr>
                    <w:t>2</w:t>
                  </w:r>
                </w:p>
              </w:tc>
              <w:tc>
                <w:tcPr>
                  <w:tcW w:w="708" w:type="pct"/>
                  <w:tcBorders>
                    <w:tl2br w:val="nil"/>
                    <w:tr2bl w:val="nil"/>
                  </w:tcBorders>
                  <w:noWrap w:val="0"/>
                  <w:vAlign w:val="center"/>
                </w:tcPr>
                <w:p w14:paraId="775DB4BA">
                  <w:pPr>
                    <w:jc w:val="center"/>
                    <w:rPr>
                      <w:highlight w:val="none"/>
                    </w:rPr>
                  </w:pPr>
                  <w:r>
                    <w:rPr>
                      <w:rFonts w:hint="eastAsia"/>
                      <w:highlight w:val="none"/>
                      <w:lang w:val="en-US" w:eastAsia="zh-CN"/>
                    </w:rPr>
                    <w:t>铜</w:t>
                  </w:r>
                </w:p>
              </w:tc>
              <w:tc>
                <w:tcPr>
                  <w:tcW w:w="835" w:type="pct"/>
                  <w:tcBorders>
                    <w:tl2br w:val="nil"/>
                    <w:tr2bl w:val="nil"/>
                  </w:tcBorders>
                  <w:noWrap w:val="0"/>
                  <w:vAlign w:val="center"/>
                </w:tcPr>
                <w:p w14:paraId="2444D819">
                  <w:pPr>
                    <w:jc w:val="center"/>
                    <w:rPr>
                      <w:highlight w:val="none"/>
                    </w:rPr>
                  </w:pPr>
                  <w:r>
                    <w:rPr>
                      <w:rFonts w:hint="eastAsia"/>
                      <w:highlight w:val="none"/>
                      <w:lang w:val="en-US" w:eastAsia="zh-CN"/>
                    </w:rPr>
                    <w:t>24</w:t>
                  </w:r>
                </w:p>
              </w:tc>
              <w:tc>
                <w:tcPr>
                  <w:tcW w:w="965" w:type="pct"/>
                  <w:tcBorders>
                    <w:tl2br w:val="nil"/>
                    <w:tr2bl w:val="nil"/>
                  </w:tcBorders>
                  <w:noWrap w:val="0"/>
                  <w:vAlign w:val="center"/>
                </w:tcPr>
                <w:p w14:paraId="6F6747FA">
                  <w:pPr>
                    <w:jc w:val="center"/>
                    <w:rPr>
                      <w:highlight w:val="none"/>
                    </w:rPr>
                  </w:pPr>
                  <w:r>
                    <w:rPr>
                      <w:rFonts w:hint="eastAsia"/>
                      <w:highlight w:val="none"/>
                      <w:lang w:val="en-US" w:eastAsia="zh-CN"/>
                    </w:rPr>
                    <w:t>100</w:t>
                  </w:r>
                </w:p>
              </w:tc>
              <w:tc>
                <w:tcPr>
                  <w:tcW w:w="965" w:type="pct"/>
                  <w:tcBorders>
                    <w:tl2br w:val="nil"/>
                    <w:tr2bl w:val="nil"/>
                  </w:tcBorders>
                  <w:noWrap w:val="0"/>
                  <w:vAlign w:val="center"/>
                </w:tcPr>
                <w:p w14:paraId="74A77DF3">
                  <w:pPr>
                    <w:jc w:val="center"/>
                    <w:rPr>
                      <w:rFonts w:hint="eastAsia"/>
                      <w:highlight w:val="none"/>
                      <w:lang w:val="en-US" w:eastAsia="zh-CN"/>
                    </w:rPr>
                  </w:pPr>
                  <w:r>
                    <w:rPr>
                      <w:rFonts w:hint="eastAsia"/>
                      <w:highlight w:val="none"/>
                      <w:lang w:val="en-US" w:eastAsia="zh-CN"/>
                    </w:rPr>
                    <w:t>/</w:t>
                  </w:r>
                </w:p>
              </w:tc>
              <w:tc>
                <w:tcPr>
                  <w:tcW w:w="589" w:type="pct"/>
                  <w:tcBorders>
                    <w:tl2br w:val="nil"/>
                    <w:tr2bl w:val="nil"/>
                  </w:tcBorders>
                  <w:noWrap w:val="0"/>
                  <w:vAlign w:val="center"/>
                </w:tcPr>
                <w:p w14:paraId="226E42E2">
                  <w:pPr>
                    <w:jc w:val="center"/>
                    <w:rPr>
                      <w:highlight w:val="none"/>
                    </w:rPr>
                  </w:pPr>
                  <w:r>
                    <w:rPr>
                      <w:highlight w:val="none"/>
                    </w:rPr>
                    <w:t>达标</w:t>
                  </w:r>
                </w:p>
              </w:tc>
            </w:tr>
            <w:tr w14:paraId="536FDC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83" w:hRule="atLeast"/>
                <w:jc w:val="center"/>
              </w:trPr>
              <w:tc>
                <w:tcPr>
                  <w:tcW w:w="497" w:type="pct"/>
                  <w:vMerge w:val="continue"/>
                  <w:tcBorders>
                    <w:tl2br w:val="nil"/>
                    <w:tr2bl w:val="nil"/>
                  </w:tcBorders>
                  <w:noWrap w:val="0"/>
                  <w:vAlign w:val="center"/>
                </w:tcPr>
                <w:p w14:paraId="24D372E1">
                  <w:pPr>
                    <w:jc w:val="center"/>
                    <w:rPr>
                      <w:highlight w:val="none"/>
                    </w:rPr>
                  </w:pPr>
                </w:p>
              </w:tc>
              <w:tc>
                <w:tcPr>
                  <w:tcW w:w="437" w:type="pct"/>
                  <w:tcBorders>
                    <w:tl2br w:val="nil"/>
                    <w:tr2bl w:val="nil"/>
                  </w:tcBorders>
                  <w:noWrap w:val="0"/>
                  <w:vAlign w:val="center"/>
                </w:tcPr>
                <w:p w14:paraId="7C15015E">
                  <w:pPr>
                    <w:jc w:val="center"/>
                    <w:rPr>
                      <w:highlight w:val="none"/>
                    </w:rPr>
                  </w:pPr>
                  <w:r>
                    <w:rPr>
                      <w:highlight w:val="none"/>
                    </w:rPr>
                    <w:t>3</w:t>
                  </w:r>
                </w:p>
              </w:tc>
              <w:tc>
                <w:tcPr>
                  <w:tcW w:w="708" w:type="pct"/>
                  <w:tcBorders>
                    <w:tl2br w:val="nil"/>
                    <w:tr2bl w:val="nil"/>
                  </w:tcBorders>
                  <w:noWrap w:val="0"/>
                  <w:vAlign w:val="center"/>
                </w:tcPr>
                <w:p w14:paraId="0280934B">
                  <w:pPr>
                    <w:jc w:val="center"/>
                    <w:rPr>
                      <w:highlight w:val="none"/>
                    </w:rPr>
                  </w:pPr>
                  <w:r>
                    <w:rPr>
                      <w:rFonts w:hint="eastAsia"/>
                      <w:highlight w:val="none"/>
                      <w:lang w:val="en-US" w:eastAsia="zh-CN"/>
                    </w:rPr>
                    <w:t>镍</w:t>
                  </w:r>
                </w:p>
              </w:tc>
              <w:tc>
                <w:tcPr>
                  <w:tcW w:w="835" w:type="pct"/>
                  <w:tcBorders>
                    <w:tl2br w:val="nil"/>
                    <w:tr2bl w:val="nil"/>
                  </w:tcBorders>
                  <w:noWrap w:val="0"/>
                  <w:vAlign w:val="center"/>
                </w:tcPr>
                <w:p w14:paraId="39637965">
                  <w:pPr>
                    <w:jc w:val="center"/>
                    <w:rPr>
                      <w:highlight w:val="none"/>
                    </w:rPr>
                  </w:pPr>
                  <w:r>
                    <w:rPr>
                      <w:rFonts w:hint="eastAsia"/>
                      <w:highlight w:val="none"/>
                      <w:lang w:val="en-US" w:eastAsia="zh-CN"/>
                    </w:rPr>
                    <w:t>46</w:t>
                  </w:r>
                </w:p>
              </w:tc>
              <w:tc>
                <w:tcPr>
                  <w:tcW w:w="965" w:type="pct"/>
                  <w:tcBorders>
                    <w:tl2br w:val="nil"/>
                    <w:tr2bl w:val="nil"/>
                  </w:tcBorders>
                  <w:noWrap w:val="0"/>
                  <w:vAlign w:val="center"/>
                </w:tcPr>
                <w:p w14:paraId="3E3ED95F">
                  <w:pPr>
                    <w:jc w:val="center"/>
                    <w:rPr>
                      <w:rFonts w:hint="default"/>
                      <w:highlight w:val="none"/>
                      <w:lang w:val="en-US"/>
                    </w:rPr>
                  </w:pPr>
                  <w:r>
                    <w:rPr>
                      <w:rFonts w:hint="eastAsia"/>
                      <w:highlight w:val="none"/>
                      <w:lang w:val="en-US" w:eastAsia="zh-CN"/>
                    </w:rPr>
                    <w:t>190</w:t>
                  </w:r>
                </w:p>
              </w:tc>
              <w:tc>
                <w:tcPr>
                  <w:tcW w:w="965" w:type="pct"/>
                  <w:tcBorders>
                    <w:tl2br w:val="nil"/>
                    <w:tr2bl w:val="nil"/>
                  </w:tcBorders>
                  <w:noWrap w:val="0"/>
                  <w:vAlign w:val="center"/>
                </w:tcPr>
                <w:p w14:paraId="49CB22A1">
                  <w:pPr>
                    <w:jc w:val="center"/>
                    <w:rPr>
                      <w:rFonts w:hint="eastAsia"/>
                      <w:highlight w:val="none"/>
                      <w:lang w:val="en-US" w:eastAsia="zh-CN"/>
                    </w:rPr>
                  </w:pPr>
                  <w:r>
                    <w:rPr>
                      <w:rFonts w:hint="eastAsia"/>
                      <w:highlight w:val="none"/>
                      <w:lang w:val="en-US" w:eastAsia="zh-CN"/>
                    </w:rPr>
                    <w:t>/</w:t>
                  </w:r>
                </w:p>
              </w:tc>
              <w:tc>
                <w:tcPr>
                  <w:tcW w:w="589" w:type="pct"/>
                  <w:tcBorders>
                    <w:tl2br w:val="nil"/>
                    <w:tr2bl w:val="nil"/>
                  </w:tcBorders>
                  <w:noWrap w:val="0"/>
                  <w:vAlign w:val="center"/>
                </w:tcPr>
                <w:p w14:paraId="181BEFD3">
                  <w:pPr>
                    <w:jc w:val="center"/>
                    <w:rPr>
                      <w:highlight w:val="none"/>
                    </w:rPr>
                  </w:pPr>
                  <w:r>
                    <w:rPr>
                      <w:highlight w:val="none"/>
                    </w:rPr>
                    <w:t>达标</w:t>
                  </w:r>
                </w:p>
              </w:tc>
            </w:tr>
            <w:tr w14:paraId="556EF8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691DEA56">
                  <w:pPr>
                    <w:jc w:val="center"/>
                    <w:rPr>
                      <w:highlight w:val="none"/>
                    </w:rPr>
                  </w:pPr>
                </w:p>
              </w:tc>
              <w:tc>
                <w:tcPr>
                  <w:tcW w:w="437" w:type="pct"/>
                  <w:tcBorders>
                    <w:tl2br w:val="nil"/>
                    <w:tr2bl w:val="nil"/>
                  </w:tcBorders>
                  <w:noWrap w:val="0"/>
                  <w:vAlign w:val="center"/>
                </w:tcPr>
                <w:p w14:paraId="1A977E6E">
                  <w:pPr>
                    <w:jc w:val="center"/>
                    <w:rPr>
                      <w:highlight w:val="none"/>
                    </w:rPr>
                  </w:pPr>
                  <w:r>
                    <w:rPr>
                      <w:highlight w:val="none"/>
                    </w:rPr>
                    <w:t>4</w:t>
                  </w:r>
                </w:p>
              </w:tc>
              <w:tc>
                <w:tcPr>
                  <w:tcW w:w="708" w:type="pct"/>
                  <w:tcBorders>
                    <w:tl2br w:val="nil"/>
                    <w:tr2bl w:val="nil"/>
                  </w:tcBorders>
                  <w:noWrap w:val="0"/>
                  <w:vAlign w:val="center"/>
                </w:tcPr>
                <w:p w14:paraId="7C4AB935">
                  <w:pPr>
                    <w:jc w:val="center"/>
                    <w:rPr>
                      <w:highlight w:val="none"/>
                    </w:rPr>
                  </w:pPr>
                  <w:r>
                    <w:rPr>
                      <w:rFonts w:hint="eastAsia"/>
                      <w:highlight w:val="none"/>
                      <w:lang w:val="en-US" w:eastAsia="zh-CN"/>
                    </w:rPr>
                    <w:t>铅</w:t>
                  </w:r>
                </w:p>
              </w:tc>
              <w:tc>
                <w:tcPr>
                  <w:tcW w:w="835" w:type="pct"/>
                  <w:tcBorders>
                    <w:tl2br w:val="nil"/>
                    <w:tr2bl w:val="nil"/>
                  </w:tcBorders>
                  <w:noWrap w:val="0"/>
                  <w:vAlign w:val="center"/>
                </w:tcPr>
                <w:p w14:paraId="0B77F9E5">
                  <w:pPr>
                    <w:jc w:val="center"/>
                    <w:rPr>
                      <w:highlight w:val="none"/>
                    </w:rPr>
                  </w:pPr>
                  <w:r>
                    <w:rPr>
                      <w:rFonts w:hint="eastAsia"/>
                      <w:highlight w:val="none"/>
                      <w:lang w:val="en-US" w:eastAsia="zh-CN"/>
                    </w:rPr>
                    <w:t>26</w:t>
                  </w:r>
                </w:p>
              </w:tc>
              <w:tc>
                <w:tcPr>
                  <w:tcW w:w="965" w:type="pct"/>
                  <w:tcBorders>
                    <w:tl2br w:val="nil"/>
                    <w:tr2bl w:val="nil"/>
                  </w:tcBorders>
                  <w:noWrap w:val="0"/>
                  <w:vAlign w:val="center"/>
                </w:tcPr>
                <w:p w14:paraId="495CC44F">
                  <w:pPr>
                    <w:jc w:val="center"/>
                    <w:rPr>
                      <w:rFonts w:hint="default"/>
                      <w:highlight w:val="none"/>
                      <w:lang w:val="en-US"/>
                    </w:rPr>
                  </w:pPr>
                  <w:r>
                    <w:rPr>
                      <w:rFonts w:hint="eastAsia"/>
                      <w:highlight w:val="none"/>
                      <w:lang w:val="en-US" w:eastAsia="zh-CN"/>
                    </w:rPr>
                    <w:t>170</w:t>
                  </w:r>
                </w:p>
              </w:tc>
              <w:tc>
                <w:tcPr>
                  <w:tcW w:w="965" w:type="pct"/>
                  <w:tcBorders>
                    <w:tl2br w:val="nil"/>
                    <w:tr2bl w:val="nil"/>
                  </w:tcBorders>
                  <w:noWrap w:val="0"/>
                  <w:vAlign w:val="center"/>
                </w:tcPr>
                <w:p w14:paraId="535E0A32">
                  <w:pPr>
                    <w:jc w:val="center"/>
                    <w:rPr>
                      <w:rFonts w:hint="default"/>
                      <w:highlight w:val="none"/>
                      <w:lang w:val="en-US" w:eastAsia="zh-CN"/>
                    </w:rPr>
                  </w:pPr>
                  <w:r>
                    <w:rPr>
                      <w:rFonts w:hint="eastAsia"/>
                      <w:highlight w:val="none"/>
                      <w:lang w:val="en-US" w:eastAsia="zh-CN"/>
                    </w:rPr>
                    <w:t>1000</w:t>
                  </w:r>
                </w:p>
              </w:tc>
              <w:tc>
                <w:tcPr>
                  <w:tcW w:w="589" w:type="pct"/>
                  <w:tcBorders>
                    <w:tl2br w:val="nil"/>
                    <w:tr2bl w:val="nil"/>
                  </w:tcBorders>
                  <w:noWrap w:val="0"/>
                  <w:vAlign w:val="center"/>
                </w:tcPr>
                <w:p w14:paraId="1715D271">
                  <w:pPr>
                    <w:jc w:val="center"/>
                    <w:rPr>
                      <w:highlight w:val="none"/>
                    </w:rPr>
                  </w:pPr>
                  <w:r>
                    <w:rPr>
                      <w:highlight w:val="none"/>
                    </w:rPr>
                    <w:t>达标</w:t>
                  </w:r>
                </w:p>
              </w:tc>
            </w:tr>
            <w:tr w14:paraId="3247D0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64B34657">
                  <w:pPr>
                    <w:jc w:val="center"/>
                    <w:rPr>
                      <w:highlight w:val="none"/>
                    </w:rPr>
                  </w:pPr>
                </w:p>
              </w:tc>
              <w:tc>
                <w:tcPr>
                  <w:tcW w:w="437" w:type="pct"/>
                  <w:tcBorders>
                    <w:tl2br w:val="nil"/>
                    <w:tr2bl w:val="nil"/>
                  </w:tcBorders>
                  <w:noWrap w:val="0"/>
                  <w:vAlign w:val="center"/>
                </w:tcPr>
                <w:p w14:paraId="18C76A2E">
                  <w:pPr>
                    <w:jc w:val="center"/>
                    <w:rPr>
                      <w:highlight w:val="none"/>
                    </w:rPr>
                  </w:pPr>
                  <w:r>
                    <w:rPr>
                      <w:highlight w:val="none"/>
                    </w:rPr>
                    <w:t>5</w:t>
                  </w:r>
                </w:p>
              </w:tc>
              <w:tc>
                <w:tcPr>
                  <w:tcW w:w="708" w:type="pct"/>
                  <w:tcBorders>
                    <w:tl2br w:val="nil"/>
                    <w:tr2bl w:val="nil"/>
                  </w:tcBorders>
                  <w:noWrap w:val="0"/>
                  <w:vAlign w:val="center"/>
                </w:tcPr>
                <w:p w14:paraId="73D3B159">
                  <w:pPr>
                    <w:jc w:val="center"/>
                    <w:rPr>
                      <w:highlight w:val="none"/>
                    </w:rPr>
                  </w:pPr>
                  <w:r>
                    <w:rPr>
                      <w:rFonts w:hint="eastAsia"/>
                      <w:highlight w:val="none"/>
                      <w:lang w:val="en-US" w:eastAsia="zh-CN"/>
                    </w:rPr>
                    <w:t>镉</w:t>
                  </w:r>
                </w:p>
              </w:tc>
              <w:tc>
                <w:tcPr>
                  <w:tcW w:w="835" w:type="pct"/>
                  <w:tcBorders>
                    <w:tl2br w:val="nil"/>
                    <w:tr2bl w:val="nil"/>
                  </w:tcBorders>
                  <w:noWrap w:val="0"/>
                  <w:vAlign w:val="center"/>
                </w:tcPr>
                <w:p w14:paraId="092EC748">
                  <w:pPr>
                    <w:jc w:val="center"/>
                    <w:rPr>
                      <w:highlight w:val="none"/>
                    </w:rPr>
                  </w:pPr>
                  <w:r>
                    <w:rPr>
                      <w:rFonts w:hint="eastAsia"/>
                      <w:highlight w:val="none"/>
                      <w:lang w:val="en-US" w:eastAsia="zh-CN"/>
                    </w:rPr>
                    <w:t>0.13</w:t>
                  </w:r>
                </w:p>
              </w:tc>
              <w:tc>
                <w:tcPr>
                  <w:tcW w:w="965" w:type="pct"/>
                  <w:tcBorders>
                    <w:tl2br w:val="nil"/>
                    <w:tr2bl w:val="nil"/>
                  </w:tcBorders>
                  <w:noWrap w:val="0"/>
                  <w:vAlign w:val="center"/>
                </w:tcPr>
                <w:p w14:paraId="24A481FA">
                  <w:pPr>
                    <w:jc w:val="center"/>
                    <w:rPr>
                      <w:rFonts w:hint="default"/>
                      <w:highlight w:val="none"/>
                      <w:lang w:val="en-US"/>
                    </w:rPr>
                  </w:pPr>
                  <w:r>
                    <w:rPr>
                      <w:rFonts w:hint="eastAsia"/>
                      <w:highlight w:val="none"/>
                      <w:lang w:val="en-US" w:eastAsia="zh-CN"/>
                    </w:rPr>
                    <w:t>0.6</w:t>
                  </w:r>
                </w:p>
              </w:tc>
              <w:tc>
                <w:tcPr>
                  <w:tcW w:w="965" w:type="pct"/>
                  <w:tcBorders>
                    <w:tl2br w:val="nil"/>
                    <w:tr2bl w:val="nil"/>
                  </w:tcBorders>
                  <w:noWrap w:val="0"/>
                  <w:vAlign w:val="center"/>
                </w:tcPr>
                <w:p w14:paraId="35FB153B">
                  <w:pPr>
                    <w:jc w:val="center"/>
                    <w:rPr>
                      <w:rFonts w:hint="default"/>
                      <w:highlight w:val="none"/>
                      <w:lang w:val="en-US" w:eastAsia="zh-CN"/>
                    </w:rPr>
                  </w:pPr>
                  <w:r>
                    <w:rPr>
                      <w:rFonts w:hint="eastAsia"/>
                      <w:highlight w:val="none"/>
                      <w:lang w:val="en-US" w:eastAsia="zh-CN"/>
                    </w:rPr>
                    <w:t>4.0</w:t>
                  </w:r>
                </w:p>
              </w:tc>
              <w:tc>
                <w:tcPr>
                  <w:tcW w:w="589" w:type="pct"/>
                  <w:tcBorders>
                    <w:tl2br w:val="nil"/>
                    <w:tr2bl w:val="nil"/>
                  </w:tcBorders>
                  <w:noWrap w:val="0"/>
                  <w:vAlign w:val="center"/>
                </w:tcPr>
                <w:p w14:paraId="5D116E30">
                  <w:pPr>
                    <w:jc w:val="center"/>
                    <w:rPr>
                      <w:highlight w:val="none"/>
                    </w:rPr>
                  </w:pPr>
                  <w:r>
                    <w:rPr>
                      <w:highlight w:val="none"/>
                    </w:rPr>
                    <w:t>达标</w:t>
                  </w:r>
                </w:p>
              </w:tc>
            </w:tr>
            <w:tr w14:paraId="0A3F20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5440DD9E">
                  <w:pPr>
                    <w:jc w:val="center"/>
                    <w:rPr>
                      <w:highlight w:val="none"/>
                    </w:rPr>
                  </w:pPr>
                </w:p>
              </w:tc>
              <w:tc>
                <w:tcPr>
                  <w:tcW w:w="437" w:type="pct"/>
                  <w:tcBorders>
                    <w:tl2br w:val="nil"/>
                    <w:tr2bl w:val="nil"/>
                  </w:tcBorders>
                  <w:noWrap w:val="0"/>
                  <w:vAlign w:val="center"/>
                </w:tcPr>
                <w:p w14:paraId="7A2B1DA7">
                  <w:pPr>
                    <w:jc w:val="center"/>
                    <w:rPr>
                      <w:highlight w:val="none"/>
                    </w:rPr>
                  </w:pPr>
                  <w:r>
                    <w:rPr>
                      <w:highlight w:val="none"/>
                    </w:rPr>
                    <w:t>6</w:t>
                  </w:r>
                </w:p>
              </w:tc>
              <w:tc>
                <w:tcPr>
                  <w:tcW w:w="708" w:type="pct"/>
                  <w:tcBorders>
                    <w:tl2br w:val="nil"/>
                    <w:tr2bl w:val="nil"/>
                  </w:tcBorders>
                  <w:noWrap w:val="0"/>
                  <w:vAlign w:val="center"/>
                </w:tcPr>
                <w:p w14:paraId="58DF8E13">
                  <w:pPr>
                    <w:jc w:val="center"/>
                    <w:rPr>
                      <w:rFonts w:hint="eastAsia"/>
                      <w:highlight w:val="none"/>
                    </w:rPr>
                  </w:pPr>
                  <w:r>
                    <w:rPr>
                      <w:rFonts w:hint="eastAsia"/>
                      <w:highlight w:val="none"/>
                      <w:lang w:val="en-US" w:eastAsia="zh-CN"/>
                    </w:rPr>
                    <w:t>砷</w:t>
                  </w:r>
                </w:p>
              </w:tc>
              <w:tc>
                <w:tcPr>
                  <w:tcW w:w="835" w:type="pct"/>
                  <w:tcBorders>
                    <w:tl2br w:val="nil"/>
                    <w:tr2bl w:val="nil"/>
                  </w:tcBorders>
                  <w:noWrap w:val="0"/>
                  <w:vAlign w:val="center"/>
                </w:tcPr>
                <w:p w14:paraId="0C61DAA3">
                  <w:pPr>
                    <w:jc w:val="center"/>
                    <w:rPr>
                      <w:highlight w:val="none"/>
                    </w:rPr>
                  </w:pPr>
                  <w:r>
                    <w:rPr>
                      <w:rFonts w:hint="eastAsia"/>
                      <w:highlight w:val="none"/>
                      <w:lang w:val="en-US" w:eastAsia="zh-CN"/>
                    </w:rPr>
                    <w:t>6.18</w:t>
                  </w:r>
                </w:p>
              </w:tc>
              <w:tc>
                <w:tcPr>
                  <w:tcW w:w="965" w:type="pct"/>
                  <w:tcBorders>
                    <w:tl2br w:val="nil"/>
                    <w:tr2bl w:val="nil"/>
                  </w:tcBorders>
                  <w:noWrap w:val="0"/>
                  <w:vAlign w:val="center"/>
                </w:tcPr>
                <w:p w14:paraId="04444733">
                  <w:pPr>
                    <w:jc w:val="center"/>
                    <w:rPr>
                      <w:rFonts w:hint="default" w:eastAsia="宋体"/>
                      <w:highlight w:val="none"/>
                      <w:lang w:val="en-US" w:eastAsia="zh-CN"/>
                    </w:rPr>
                  </w:pPr>
                  <w:r>
                    <w:rPr>
                      <w:rFonts w:hint="eastAsia"/>
                      <w:highlight w:val="none"/>
                      <w:lang w:val="en-US" w:eastAsia="zh-CN"/>
                    </w:rPr>
                    <w:t>25</w:t>
                  </w:r>
                </w:p>
              </w:tc>
              <w:tc>
                <w:tcPr>
                  <w:tcW w:w="965" w:type="pct"/>
                  <w:tcBorders>
                    <w:tl2br w:val="nil"/>
                    <w:tr2bl w:val="nil"/>
                  </w:tcBorders>
                  <w:noWrap w:val="0"/>
                  <w:vAlign w:val="center"/>
                </w:tcPr>
                <w:p w14:paraId="3E12B5BF">
                  <w:pPr>
                    <w:jc w:val="center"/>
                    <w:rPr>
                      <w:rFonts w:hint="default"/>
                      <w:highlight w:val="none"/>
                      <w:lang w:val="en-US" w:eastAsia="zh-CN"/>
                    </w:rPr>
                  </w:pPr>
                  <w:r>
                    <w:rPr>
                      <w:rFonts w:hint="eastAsia"/>
                      <w:highlight w:val="none"/>
                      <w:lang w:val="en-US" w:eastAsia="zh-CN"/>
                    </w:rPr>
                    <w:t>100</w:t>
                  </w:r>
                </w:p>
              </w:tc>
              <w:tc>
                <w:tcPr>
                  <w:tcW w:w="589" w:type="pct"/>
                  <w:tcBorders>
                    <w:tl2br w:val="nil"/>
                    <w:tr2bl w:val="nil"/>
                  </w:tcBorders>
                  <w:noWrap w:val="0"/>
                  <w:vAlign w:val="center"/>
                </w:tcPr>
                <w:p w14:paraId="1E67E22F">
                  <w:pPr>
                    <w:jc w:val="center"/>
                    <w:rPr>
                      <w:highlight w:val="none"/>
                    </w:rPr>
                  </w:pPr>
                  <w:r>
                    <w:rPr>
                      <w:highlight w:val="none"/>
                    </w:rPr>
                    <w:t>达标</w:t>
                  </w:r>
                </w:p>
              </w:tc>
            </w:tr>
            <w:tr w14:paraId="224C07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5FE6E7C">
                  <w:pPr>
                    <w:jc w:val="center"/>
                    <w:rPr>
                      <w:highlight w:val="none"/>
                    </w:rPr>
                  </w:pPr>
                </w:p>
              </w:tc>
              <w:tc>
                <w:tcPr>
                  <w:tcW w:w="437" w:type="pct"/>
                  <w:tcBorders>
                    <w:tl2br w:val="nil"/>
                    <w:tr2bl w:val="nil"/>
                  </w:tcBorders>
                  <w:noWrap w:val="0"/>
                  <w:vAlign w:val="center"/>
                </w:tcPr>
                <w:p w14:paraId="41B69045">
                  <w:pPr>
                    <w:jc w:val="center"/>
                    <w:rPr>
                      <w:highlight w:val="none"/>
                    </w:rPr>
                  </w:pPr>
                  <w:r>
                    <w:rPr>
                      <w:highlight w:val="none"/>
                    </w:rPr>
                    <w:t>7</w:t>
                  </w:r>
                </w:p>
              </w:tc>
              <w:tc>
                <w:tcPr>
                  <w:tcW w:w="708" w:type="pct"/>
                  <w:tcBorders>
                    <w:tl2br w:val="nil"/>
                    <w:tr2bl w:val="nil"/>
                  </w:tcBorders>
                  <w:noWrap w:val="0"/>
                  <w:vAlign w:val="center"/>
                </w:tcPr>
                <w:p w14:paraId="5489A156">
                  <w:pPr>
                    <w:jc w:val="center"/>
                    <w:rPr>
                      <w:rFonts w:hint="eastAsia"/>
                      <w:highlight w:val="none"/>
                      <w:lang w:val="en-US" w:eastAsia="zh-CN"/>
                    </w:rPr>
                  </w:pPr>
                  <w:r>
                    <w:rPr>
                      <w:rFonts w:hint="eastAsia"/>
                      <w:highlight w:val="none"/>
                      <w:lang w:val="en-US" w:eastAsia="zh-CN"/>
                    </w:rPr>
                    <w:t>汞</w:t>
                  </w:r>
                </w:p>
              </w:tc>
              <w:tc>
                <w:tcPr>
                  <w:tcW w:w="835" w:type="pct"/>
                  <w:tcBorders>
                    <w:tl2br w:val="nil"/>
                    <w:tr2bl w:val="nil"/>
                  </w:tcBorders>
                  <w:noWrap w:val="0"/>
                  <w:vAlign w:val="center"/>
                </w:tcPr>
                <w:p w14:paraId="583617F0">
                  <w:pPr>
                    <w:jc w:val="center"/>
                    <w:rPr>
                      <w:rFonts w:hint="eastAsia"/>
                      <w:highlight w:val="none"/>
                      <w:lang w:val="en-US" w:eastAsia="zh-CN"/>
                    </w:rPr>
                  </w:pPr>
                  <w:r>
                    <w:rPr>
                      <w:rFonts w:hint="eastAsia"/>
                      <w:highlight w:val="none"/>
                      <w:lang w:val="en-US" w:eastAsia="zh-CN"/>
                    </w:rPr>
                    <w:t>0.086</w:t>
                  </w:r>
                </w:p>
              </w:tc>
              <w:tc>
                <w:tcPr>
                  <w:tcW w:w="965" w:type="pct"/>
                  <w:tcBorders>
                    <w:tl2br w:val="nil"/>
                    <w:tr2bl w:val="nil"/>
                  </w:tcBorders>
                  <w:noWrap w:val="0"/>
                  <w:vAlign w:val="center"/>
                </w:tcPr>
                <w:p w14:paraId="53D23719">
                  <w:pPr>
                    <w:jc w:val="center"/>
                    <w:rPr>
                      <w:rFonts w:hint="default"/>
                      <w:highlight w:val="none"/>
                      <w:lang w:val="en-US"/>
                    </w:rPr>
                  </w:pPr>
                  <w:r>
                    <w:rPr>
                      <w:rFonts w:hint="eastAsia"/>
                      <w:highlight w:val="none"/>
                      <w:lang w:val="en-US" w:eastAsia="zh-CN"/>
                    </w:rPr>
                    <w:t>3.4</w:t>
                  </w:r>
                </w:p>
              </w:tc>
              <w:tc>
                <w:tcPr>
                  <w:tcW w:w="965" w:type="pct"/>
                  <w:tcBorders>
                    <w:tl2br w:val="nil"/>
                    <w:tr2bl w:val="nil"/>
                  </w:tcBorders>
                  <w:noWrap w:val="0"/>
                  <w:vAlign w:val="center"/>
                </w:tcPr>
                <w:p w14:paraId="503A75DF">
                  <w:pPr>
                    <w:jc w:val="center"/>
                    <w:rPr>
                      <w:rFonts w:hint="default"/>
                      <w:highlight w:val="none"/>
                      <w:lang w:val="en-US" w:eastAsia="zh-CN"/>
                    </w:rPr>
                  </w:pPr>
                  <w:r>
                    <w:rPr>
                      <w:rFonts w:hint="eastAsia"/>
                      <w:highlight w:val="none"/>
                      <w:lang w:val="en-US" w:eastAsia="zh-CN"/>
                    </w:rPr>
                    <w:t>6.0</w:t>
                  </w:r>
                </w:p>
              </w:tc>
              <w:tc>
                <w:tcPr>
                  <w:tcW w:w="589" w:type="pct"/>
                  <w:tcBorders>
                    <w:tl2br w:val="nil"/>
                    <w:tr2bl w:val="nil"/>
                  </w:tcBorders>
                  <w:noWrap w:val="0"/>
                  <w:vAlign w:val="center"/>
                </w:tcPr>
                <w:p w14:paraId="09381C94">
                  <w:pPr>
                    <w:jc w:val="center"/>
                    <w:rPr>
                      <w:highlight w:val="none"/>
                    </w:rPr>
                  </w:pPr>
                  <w:r>
                    <w:rPr>
                      <w:highlight w:val="none"/>
                    </w:rPr>
                    <w:t>达标</w:t>
                  </w:r>
                </w:p>
              </w:tc>
            </w:tr>
            <w:tr w14:paraId="3FD607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18977F1F">
                  <w:pPr>
                    <w:jc w:val="center"/>
                    <w:rPr>
                      <w:highlight w:val="none"/>
                    </w:rPr>
                  </w:pPr>
                </w:p>
              </w:tc>
              <w:tc>
                <w:tcPr>
                  <w:tcW w:w="437" w:type="pct"/>
                  <w:tcBorders>
                    <w:tl2br w:val="nil"/>
                    <w:tr2bl w:val="nil"/>
                  </w:tcBorders>
                  <w:noWrap w:val="0"/>
                  <w:vAlign w:val="center"/>
                </w:tcPr>
                <w:p w14:paraId="7B4CD685">
                  <w:pPr>
                    <w:jc w:val="center"/>
                    <w:rPr>
                      <w:highlight w:val="none"/>
                    </w:rPr>
                  </w:pPr>
                  <w:r>
                    <w:rPr>
                      <w:highlight w:val="none"/>
                    </w:rPr>
                    <w:t>8</w:t>
                  </w:r>
                </w:p>
              </w:tc>
              <w:tc>
                <w:tcPr>
                  <w:tcW w:w="708" w:type="pct"/>
                  <w:tcBorders>
                    <w:tl2br w:val="nil"/>
                    <w:tr2bl w:val="nil"/>
                  </w:tcBorders>
                  <w:noWrap w:val="0"/>
                  <w:vAlign w:val="center"/>
                </w:tcPr>
                <w:p w14:paraId="4AF71F8B">
                  <w:pPr>
                    <w:jc w:val="center"/>
                    <w:rPr>
                      <w:rFonts w:hint="eastAsia"/>
                      <w:highlight w:val="none"/>
                      <w:lang w:val="en-US" w:eastAsia="zh-CN"/>
                    </w:rPr>
                  </w:pPr>
                  <w:r>
                    <w:rPr>
                      <w:rFonts w:hint="eastAsia"/>
                      <w:highlight w:val="none"/>
                      <w:lang w:val="en-US" w:eastAsia="zh-CN"/>
                    </w:rPr>
                    <w:t>锌</w:t>
                  </w:r>
                </w:p>
              </w:tc>
              <w:tc>
                <w:tcPr>
                  <w:tcW w:w="835" w:type="pct"/>
                  <w:tcBorders>
                    <w:tl2br w:val="nil"/>
                    <w:tr2bl w:val="nil"/>
                  </w:tcBorders>
                  <w:noWrap w:val="0"/>
                  <w:vAlign w:val="center"/>
                </w:tcPr>
                <w:p w14:paraId="4F3018AE">
                  <w:pPr>
                    <w:jc w:val="center"/>
                    <w:rPr>
                      <w:rFonts w:hint="eastAsia"/>
                      <w:highlight w:val="none"/>
                      <w:lang w:val="en-US" w:eastAsia="zh-CN"/>
                    </w:rPr>
                  </w:pPr>
                  <w:r>
                    <w:rPr>
                      <w:rFonts w:hint="eastAsia"/>
                      <w:highlight w:val="none"/>
                      <w:lang w:val="en-US" w:eastAsia="zh-CN"/>
                    </w:rPr>
                    <w:t>60</w:t>
                  </w:r>
                </w:p>
              </w:tc>
              <w:tc>
                <w:tcPr>
                  <w:tcW w:w="965" w:type="pct"/>
                  <w:tcBorders>
                    <w:tl2br w:val="nil"/>
                    <w:tr2bl w:val="nil"/>
                  </w:tcBorders>
                  <w:noWrap w:val="0"/>
                  <w:vAlign w:val="center"/>
                </w:tcPr>
                <w:p w14:paraId="33D2BC7C">
                  <w:pPr>
                    <w:jc w:val="center"/>
                    <w:rPr>
                      <w:rFonts w:hint="default"/>
                      <w:highlight w:val="none"/>
                      <w:lang w:val="en-US"/>
                    </w:rPr>
                  </w:pPr>
                  <w:r>
                    <w:rPr>
                      <w:rFonts w:hint="eastAsia"/>
                      <w:highlight w:val="none"/>
                      <w:lang w:val="en-US" w:eastAsia="zh-CN"/>
                    </w:rPr>
                    <w:t>300</w:t>
                  </w:r>
                </w:p>
              </w:tc>
              <w:tc>
                <w:tcPr>
                  <w:tcW w:w="965" w:type="pct"/>
                  <w:tcBorders>
                    <w:tl2br w:val="nil"/>
                    <w:tr2bl w:val="nil"/>
                  </w:tcBorders>
                  <w:noWrap w:val="0"/>
                  <w:vAlign w:val="center"/>
                </w:tcPr>
                <w:p w14:paraId="324D12A7">
                  <w:pPr>
                    <w:jc w:val="center"/>
                    <w:rPr>
                      <w:rFonts w:hint="eastAsia"/>
                      <w:highlight w:val="none"/>
                      <w:lang w:val="en-US" w:eastAsia="zh-CN"/>
                    </w:rPr>
                  </w:pPr>
                  <w:r>
                    <w:rPr>
                      <w:rFonts w:hint="eastAsia"/>
                      <w:highlight w:val="none"/>
                      <w:lang w:val="en-US" w:eastAsia="zh-CN"/>
                    </w:rPr>
                    <w:t>/</w:t>
                  </w:r>
                </w:p>
              </w:tc>
              <w:tc>
                <w:tcPr>
                  <w:tcW w:w="589" w:type="pct"/>
                  <w:tcBorders>
                    <w:tl2br w:val="nil"/>
                    <w:tr2bl w:val="nil"/>
                  </w:tcBorders>
                  <w:noWrap w:val="0"/>
                  <w:vAlign w:val="center"/>
                </w:tcPr>
                <w:p w14:paraId="1E68AA70">
                  <w:pPr>
                    <w:jc w:val="center"/>
                    <w:rPr>
                      <w:highlight w:val="none"/>
                    </w:rPr>
                  </w:pPr>
                  <w:r>
                    <w:rPr>
                      <w:highlight w:val="none"/>
                    </w:rPr>
                    <w:t>达标</w:t>
                  </w:r>
                </w:p>
              </w:tc>
            </w:tr>
            <w:tr w14:paraId="6F8AB7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663A73CE">
                  <w:pPr>
                    <w:jc w:val="center"/>
                    <w:rPr>
                      <w:highlight w:val="none"/>
                    </w:rPr>
                  </w:pPr>
                </w:p>
              </w:tc>
              <w:tc>
                <w:tcPr>
                  <w:tcW w:w="437" w:type="pct"/>
                  <w:tcBorders>
                    <w:tl2br w:val="nil"/>
                    <w:tr2bl w:val="nil"/>
                  </w:tcBorders>
                  <w:noWrap w:val="0"/>
                  <w:vAlign w:val="center"/>
                </w:tcPr>
                <w:p w14:paraId="4AB35F2D">
                  <w:pPr>
                    <w:jc w:val="center"/>
                    <w:rPr>
                      <w:highlight w:val="none"/>
                    </w:rPr>
                  </w:pPr>
                  <w:r>
                    <w:rPr>
                      <w:highlight w:val="none"/>
                    </w:rPr>
                    <w:t>9</w:t>
                  </w:r>
                </w:p>
              </w:tc>
              <w:tc>
                <w:tcPr>
                  <w:tcW w:w="708" w:type="pct"/>
                  <w:tcBorders>
                    <w:tl2br w:val="nil"/>
                    <w:tr2bl w:val="nil"/>
                  </w:tcBorders>
                  <w:noWrap w:val="0"/>
                  <w:vAlign w:val="center"/>
                </w:tcPr>
                <w:p w14:paraId="27C6CF99">
                  <w:pPr>
                    <w:jc w:val="center"/>
                    <w:rPr>
                      <w:rFonts w:hint="eastAsia"/>
                      <w:highlight w:val="none"/>
                      <w:lang w:val="en-US" w:eastAsia="zh-CN"/>
                    </w:rPr>
                  </w:pPr>
                  <w:r>
                    <w:rPr>
                      <w:rFonts w:hint="eastAsia"/>
                      <w:highlight w:val="none"/>
                      <w:lang w:val="en-US" w:eastAsia="zh-CN"/>
                    </w:rPr>
                    <w:t>铬</w:t>
                  </w:r>
                </w:p>
              </w:tc>
              <w:tc>
                <w:tcPr>
                  <w:tcW w:w="835" w:type="pct"/>
                  <w:tcBorders>
                    <w:tl2br w:val="nil"/>
                    <w:tr2bl w:val="nil"/>
                  </w:tcBorders>
                  <w:noWrap w:val="0"/>
                  <w:vAlign w:val="center"/>
                </w:tcPr>
                <w:p w14:paraId="6D638D00">
                  <w:pPr>
                    <w:jc w:val="center"/>
                    <w:rPr>
                      <w:rFonts w:hint="eastAsia"/>
                      <w:highlight w:val="none"/>
                      <w:lang w:val="en-US" w:eastAsia="zh-CN"/>
                    </w:rPr>
                  </w:pPr>
                  <w:r>
                    <w:rPr>
                      <w:rFonts w:hint="eastAsia"/>
                      <w:highlight w:val="none"/>
                      <w:lang w:val="en-US" w:eastAsia="zh-CN"/>
                    </w:rPr>
                    <w:t>45</w:t>
                  </w:r>
                </w:p>
              </w:tc>
              <w:tc>
                <w:tcPr>
                  <w:tcW w:w="965" w:type="pct"/>
                  <w:tcBorders>
                    <w:tl2br w:val="nil"/>
                    <w:tr2bl w:val="nil"/>
                  </w:tcBorders>
                  <w:noWrap w:val="0"/>
                  <w:vAlign w:val="center"/>
                </w:tcPr>
                <w:p w14:paraId="2815C83F">
                  <w:pPr>
                    <w:jc w:val="center"/>
                    <w:rPr>
                      <w:highlight w:val="none"/>
                    </w:rPr>
                  </w:pPr>
                  <w:r>
                    <w:rPr>
                      <w:rFonts w:hint="eastAsia"/>
                      <w:highlight w:val="none"/>
                      <w:lang w:val="en-US" w:eastAsia="zh-CN"/>
                    </w:rPr>
                    <w:t>250</w:t>
                  </w:r>
                </w:p>
              </w:tc>
              <w:tc>
                <w:tcPr>
                  <w:tcW w:w="965" w:type="pct"/>
                  <w:tcBorders>
                    <w:tl2br w:val="nil"/>
                    <w:tr2bl w:val="nil"/>
                  </w:tcBorders>
                  <w:noWrap w:val="0"/>
                  <w:vAlign w:val="center"/>
                </w:tcPr>
                <w:p w14:paraId="66CD99FE">
                  <w:pPr>
                    <w:jc w:val="center"/>
                    <w:rPr>
                      <w:rFonts w:hint="default"/>
                      <w:highlight w:val="none"/>
                      <w:lang w:val="en-US" w:eastAsia="zh-CN"/>
                    </w:rPr>
                  </w:pPr>
                  <w:r>
                    <w:rPr>
                      <w:rFonts w:hint="eastAsia"/>
                      <w:highlight w:val="none"/>
                      <w:lang w:val="en-US" w:eastAsia="zh-CN"/>
                    </w:rPr>
                    <w:t>1300</w:t>
                  </w:r>
                </w:p>
              </w:tc>
              <w:tc>
                <w:tcPr>
                  <w:tcW w:w="589" w:type="pct"/>
                  <w:tcBorders>
                    <w:tl2br w:val="nil"/>
                    <w:tr2bl w:val="nil"/>
                  </w:tcBorders>
                  <w:noWrap w:val="0"/>
                  <w:vAlign w:val="center"/>
                </w:tcPr>
                <w:p w14:paraId="05121761">
                  <w:pPr>
                    <w:jc w:val="center"/>
                    <w:rPr>
                      <w:highlight w:val="none"/>
                    </w:rPr>
                  </w:pPr>
                  <w:r>
                    <w:rPr>
                      <w:highlight w:val="none"/>
                    </w:rPr>
                    <w:t>达标</w:t>
                  </w:r>
                </w:p>
              </w:tc>
            </w:tr>
            <w:tr w14:paraId="2884C0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restart"/>
                  <w:tcBorders>
                    <w:tl2br w:val="nil"/>
                    <w:tr2bl w:val="nil"/>
                  </w:tcBorders>
                  <w:noWrap w:val="0"/>
                  <w:vAlign w:val="center"/>
                </w:tcPr>
                <w:p w14:paraId="49070A63">
                  <w:pPr>
                    <w:jc w:val="center"/>
                    <w:rPr>
                      <w:rFonts w:hint="default" w:eastAsia="宋体"/>
                      <w:highlight w:val="none"/>
                      <w:lang w:val="en-US" w:eastAsia="zh-CN"/>
                    </w:rPr>
                  </w:pPr>
                  <w:r>
                    <w:rPr>
                      <w:rFonts w:hint="eastAsia"/>
                      <w:highlight w:val="none"/>
                      <w:lang w:val="en-US" w:eastAsia="zh-CN"/>
                    </w:rPr>
                    <w:t>D2</w:t>
                  </w:r>
                </w:p>
              </w:tc>
              <w:tc>
                <w:tcPr>
                  <w:tcW w:w="437" w:type="pct"/>
                  <w:tcBorders>
                    <w:tl2br w:val="nil"/>
                    <w:tr2bl w:val="nil"/>
                  </w:tcBorders>
                  <w:noWrap w:val="0"/>
                  <w:vAlign w:val="center"/>
                </w:tcPr>
                <w:p w14:paraId="3A16B264">
                  <w:pPr>
                    <w:jc w:val="center"/>
                    <w:rPr>
                      <w:rFonts w:ascii="Times New Roman" w:hAnsi="Times New Roman" w:eastAsia="宋体" w:cs="Times New Roman"/>
                      <w:kern w:val="2"/>
                      <w:sz w:val="21"/>
                      <w:szCs w:val="24"/>
                      <w:highlight w:val="none"/>
                      <w:lang w:val="en-US" w:eastAsia="zh-CN" w:bidi="ar-SA"/>
                    </w:rPr>
                  </w:pPr>
                  <w:r>
                    <w:rPr>
                      <w:highlight w:val="none"/>
                    </w:rPr>
                    <w:t>1</w:t>
                  </w:r>
                </w:p>
              </w:tc>
              <w:tc>
                <w:tcPr>
                  <w:tcW w:w="708" w:type="pct"/>
                  <w:tcBorders>
                    <w:tl2br w:val="nil"/>
                    <w:tr2bl w:val="nil"/>
                  </w:tcBorders>
                  <w:noWrap w:val="0"/>
                  <w:vAlign w:val="center"/>
                </w:tcPr>
                <w:p w14:paraId="07F70434">
                  <w:pPr>
                    <w:jc w:val="center"/>
                    <w:rPr>
                      <w:rFonts w:hint="eastAsia"/>
                      <w:highlight w:val="none"/>
                      <w:lang w:val="en-US" w:eastAsia="zh-CN"/>
                    </w:rPr>
                  </w:pPr>
                  <w:r>
                    <w:rPr>
                      <w:rFonts w:hint="eastAsia"/>
                      <w:highlight w:val="none"/>
                      <w:lang w:val="en-US" w:eastAsia="zh-CN"/>
                    </w:rPr>
                    <w:t>pH</w:t>
                  </w:r>
                </w:p>
              </w:tc>
              <w:tc>
                <w:tcPr>
                  <w:tcW w:w="835" w:type="pct"/>
                  <w:tcBorders>
                    <w:tl2br w:val="nil"/>
                    <w:tr2bl w:val="nil"/>
                  </w:tcBorders>
                  <w:noWrap w:val="0"/>
                  <w:vAlign w:val="center"/>
                </w:tcPr>
                <w:p w14:paraId="044180DB">
                  <w:pPr>
                    <w:jc w:val="center"/>
                    <w:rPr>
                      <w:rFonts w:hint="eastAsia"/>
                      <w:highlight w:val="none"/>
                      <w:lang w:val="en-US" w:eastAsia="zh-CN"/>
                    </w:rPr>
                  </w:pPr>
                  <w:r>
                    <w:rPr>
                      <w:rFonts w:hint="eastAsia"/>
                      <w:highlight w:val="none"/>
                      <w:lang w:val="en-US" w:eastAsia="zh-CN"/>
                    </w:rPr>
                    <w:t>7.69</w:t>
                  </w:r>
                </w:p>
              </w:tc>
              <w:tc>
                <w:tcPr>
                  <w:tcW w:w="965" w:type="pct"/>
                  <w:tcBorders>
                    <w:tl2br w:val="nil"/>
                    <w:tr2bl w:val="nil"/>
                  </w:tcBorders>
                  <w:noWrap w:val="0"/>
                  <w:vAlign w:val="center"/>
                </w:tcPr>
                <w:p w14:paraId="53CD3A5B">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w:t>
                  </w:r>
                </w:p>
              </w:tc>
              <w:tc>
                <w:tcPr>
                  <w:tcW w:w="965" w:type="pct"/>
                  <w:tcBorders>
                    <w:tl2br w:val="nil"/>
                    <w:tr2bl w:val="nil"/>
                  </w:tcBorders>
                  <w:noWrap w:val="0"/>
                  <w:vAlign w:val="center"/>
                </w:tcPr>
                <w:p w14:paraId="07C5BDC3">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w:t>
                  </w:r>
                </w:p>
              </w:tc>
              <w:tc>
                <w:tcPr>
                  <w:tcW w:w="589" w:type="pct"/>
                  <w:tcBorders>
                    <w:tl2br w:val="nil"/>
                    <w:tr2bl w:val="nil"/>
                  </w:tcBorders>
                  <w:noWrap w:val="0"/>
                  <w:vAlign w:val="center"/>
                </w:tcPr>
                <w:p w14:paraId="0EA763A8">
                  <w:pPr>
                    <w:jc w:val="center"/>
                    <w:rPr>
                      <w:rFonts w:ascii="Times New Roman" w:hAnsi="Times New Roman" w:eastAsia="宋体" w:cs="Times New Roman"/>
                      <w:kern w:val="2"/>
                      <w:sz w:val="21"/>
                      <w:szCs w:val="24"/>
                      <w:highlight w:val="none"/>
                      <w:lang w:val="en-US" w:eastAsia="zh-CN" w:bidi="ar-SA"/>
                    </w:rPr>
                  </w:pPr>
                  <w:r>
                    <w:rPr>
                      <w:highlight w:val="none"/>
                    </w:rPr>
                    <w:t>/</w:t>
                  </w:r>
                </w:p>
              </w:tc>
            </w:tr>
            <w:tr w14:paraId="56F06A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444CFD9A">
                  <w:pPr>
                    <w:jc w:val="center"/>
                    <w:rPr>
                      <w:highlight w:val="none"/>
                    </w:rPr>
                  </w:pPr>
                </w:p>
              </w:tc>
              <w:tc>
                <w:tcPr>
                  <w:tcW w:w="437" w:type="pct"/>
                  <w:tcBorders>
                    <w:tl2br w:val="nil"/>
                    <w:tr2bl w:val="nil"/>
                  </w:tcBorders>
                  <w:noWrap w:val="0"/>
                  <w:vAlign w:val="center"/>
                </w:tcPr>
                <w:p w14:paraId="36B64848">
                  <w:pPr>
                    <w:jc w:val="center"/>
                    <w:rPr>
                      <w:rFonts w:ascii="Times New Roman" w:hAnsi="Times New Roman" w:eastAsia="宋体" w:cs="Times New Roman"/>
                      <w:kern w:val="2"/>
                      <w:sz w:val="21"/>
                      <w:szCs w:val="24"/>
                      <w:highlight w:val="none"/>
                      <w:lang w:val="en-US" w:eastAsia="zh-CN" w:bidi="ar-SA"/>
                    </w:rPr>
                  </w:pPr>
                  <w:r>
                    <w:rPr>
                      <w:highlight w:val="none"/>
                    </w:rPr>
                    <w:t>2</w:t>
                  </w:r>
                </w:p>
              </w:tc>
              <w:tc>
                <w:tcPr>
                  <w:tcW w:w="708" w:type="pct"/>
                  <w:tcBorders>
                    <w:tl2br w:val="nil"/>
                    <w:tr2bl w:val="nil"/>
                  </w:tcBorders>
                  <w:noWrap w:val="0"/>
                  <w:vAlign w:val="center"/>
                </w:tcPr>
                <w:p w14:paraId="257B41EC">
                  <w:pPr>
                    <w:jc w:val="center"/>
                    <w:rPr>
                      <w:rFonts w:hint="eastAsia"/>
                      <w:highlight w:val="none"/>
                      <w:lang w:val="en-US" w:eastAsia="zh-CN"/>
                    </w:rPr>
                  </w:pPr>
                  <w:r>
                    <w:rPr>
                      <w:rFonts w:hint="eastAsia"/>
                      <w:highlight w:val="none"/>
                      <w:lang w:val="en-US" w:eastAsia="zh-CN"/>
                    </w:rPr>
                    <w:t>铜</w:t>
                  </w:r>
                </w:p>
              </w:tc>
              <w:tc>
                <w:tcPr>
                  <w:tcW w:w="835" w:type="pct"/>
                  <w:tcBorders>
                    <w:tl2br w:val="nil"/>
                    <w:tr2bl w:val="nil"/>
                  </w:tcBorders>
                  <w:noWrap w:val="0"/>
                  <w:vAlign w:val="center"/>
                </w:tcPr>
                <w:p w14:paraId="204F8F42">
                  <w:pPr>
                    <w:jc w:val="center"/>
                    <w:rPr>
                      <w:rFonts w:hint="eastAsia"/>
                      <w:highlight w:val="none"/>
                      <w:lang w:val="en-US" w:eastAsia="zh-CN"/>
                    </w:rPr>
                  </w:pPr>
                  <w:r>
                    <w:rPr>
                      <w:rFonts w:hint="eastAsia"/>
                      <w:highlight w:val="none"/>
                      <w:lang w:val="en-US" w:eastAsia="zh-CN"/>
                    </w:rPr>
                    <w:t>23</w:t>
                  </w:r>
                </w:p>
              </w:tc>
              <w:tc>
                <w:tcPr>
                  <w:tcW w:w="965" w:type="pct"/>
                  <w:tcBorders>
                    <w:tl2br w:val="nil"/>
                    <w:tr2bl w:val="nil"/>
                  </w:tcBorders>
                  <w:noWrap w:val="0"/>
                  <w:vAlign w:val="center"/>
                </w:tcPr>
                <w:p w14:paraId="5EE567AE">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100</w:t>
                  </w:r>
                </w:p>
              </w:tc>
              <w:tc>
                <w:tcPr>
                  <w:tcW w:w="965" w:type="pct"/>
                  <w:tcBorders>
                    <w:tl2br w:val="nil"/>
                    <w:tr2bl w:val="nil"/>
                  </w:tcBorders>
                  <w:noWrap w:val="0"/>
                  <w:vAlign w:val="center"/>
                </w:tcPr>
                <w:p w14:paraId="2B5DEEF5">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w:t>
                  </w:r>
                </w:p>
              </w:tc>
              <w:tc>
                <w:tcPr>
                  <w:tcW w:w="589" w:type="pct"/>
                  <w:tcBorders>
                    <w:tl2br w:val="nil"/>
                    <w:tr2bl w:val="nil"/>
                  </w:tcBorders>
                  <w:noWrap w:val="0"/>
                  <w:vAlign w:val="center"/>
                </w:tcPr>
                <w:p w14:paraId="052B4CD8">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478247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2866412D">
                  <w:pPr>
                    <w:jc w:val="center"/>
                    <w:rPr>
                      <w:highlight w:val="none"/>
                    </w:rPr>
                  </w:pPr>
                </w:p>
              </w:tc>
              <w:tc>
                <w:tcPr>
                  <w:tcW w:w="437" w:type="pct"/>
                  <w:tcBorders>
                    <w:tl2br w:val="nil"/>
                    <w:tr2bl w:val="nil"/>
                  </w:tcBorders>
                  <w:noWrap w:val="0"/>
                  <w:vAlign w:val="center"/>
                </w:tcPr>
                <w:p w14:paraId="28A55413">
                  <w:pPr>
                    <w:jc w:val="center"/>
                    <w:rPr>
                      <w:rFonts w:ascii="Times New Roman" w:hAnsi="Times New Roman" w:eastAsia="宋体" w:cs="Times New Roman"/>
                      <w:kern w:val="2"/>
                      <w:sz w:val="21"/>
                      <w:szCs w:val="24"/>
                      <w:highlight w:val="none"/>
                      <w:lang w:val="en-US" w:eastAsia="zh-CN" w:bidi="ar-SA"/>
                    </w:rPr>
                  </w:pPr>
                  <w:r>
                    <w:rPr>
                      <w:highlight w:val="none"/>
                    </w:rPr>
                    <w:t>3</w:t>
                  </w:r>
                </w:p>
              </w:tc>
              <w:tc>
                <w:tcPr>
                  <w:tcW w:w="708" w:type="pct"/>
                  <w:tcBorders>
                    <w:tl2br w:val="nil"/>
                    <w:tr2bl w:val="nil"/>
                  </w:tcBorders>
                  <w:noWrap w:val="0"/>
                  <w:vAlign w:val="center"/>
                </w:tcPr>
                <w:p w14:paraId="3CB1E61C">
                  <w:pPr>
                    <w:jc w:val="center"/>
                    <w:rPr>
                      <w:rFonts w:hint="eastAsia"/>
                      <w:highlight w:val="none"/>
                      <w:lang w:val="en-US" w:eastAsia="zh-CN"/>
                    </w:rPr>
                  </w:pPr>
                  <w:r>
                    <w:rPr>
                      <w:rFonts w:hint="eastAsia"/>
                      <w:highlight w:val="none"/>
                      <w:lang w:val="en-US" w:eastAsia="zh-CN"/>
                    </w:rPr>
                    <w:t>镍</w:t>
                  </w:r>
                </w:p>
              </w:tc>
              <w:tc>
                <w:tcPr>
                  <w:tcW w:w="835" w:type="pct"/>
                  <w:tcBorders>
                    <w:tl2br w:val="nil"/>
                    <w:tr2bl w:val="nil"/>
                  </w:tcBorders>
                  <w:noWrap w:val="0"/>
                  <w:vAlign w:val="center"/>
                </w:tcPr>
                <w:p w14:paraId="5217768B">
                  <w:pPr>
                    <w:jc w:val="center"/>
                    <w:rPr>
                      <w:rFonts w:hint="eastAsia"/>
                      <w:highlight w:val="none"/>
                      <w:lang w:val="en-US" w:eastAsia="zh-CN"/>
                    </w:rPr>
                  </w:pPr>
                  <w:r>
                    <w:rPr>
                      <w:rFonts w:hint="eastAsia"/>
                      <w:highlight w:val="none"/>
                      <w:lang w:val="en-US" w:eastAsia="zh-CN"/>
                    </w:rPr>
                    <w:t>45</w:t>
                  </w:r>
                </w:p>
              </w:tc>
              <w:tc>
                <w:tcPr>
                  <w:tcW w:w="965" w:type="pct"/>
                  <w:tcBorders>
                    <w:tl2br w:val="nil"/>
                    <w:tr2bl w:val="nil"/>
                  </w:tcBorders>
                  <w:noWrap w:val="0"/>
                  <w:vAlign w:val="center"/>
                </w:tcPr>
                <w:p w14:paraId="7301DD17">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190</w:t>
                  </w:r>
                </w:p>
              </w:tc>
              <w:tc>
                <w:tcPr>
                  <w:tcW w:w="965" w:type="pct"/>
                  <w:tcBorders>
                    <w:tl2br w:val="nil"/>
                    <w:tr2bl w:val="nil"/>
                  </w:tcBorders>
                  <w:noWrap w:val="0"/>
                  <w:vAlign w:val="center"/>
                </w:tcPr>
                <w:p w14:paraId="0E822D53">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w:t>
                  </w:r>
                </w:p>
              </w:tc>
              <w:tc>
                <w:tcPr>
                  <w:tcW w:w="589" w:type="pct"/>
                  <w:tcBorders>
                    <w:tl2br w:val="nil"/>
                    <w:tr2bl w:val="nil"/>
                  </w:tcBorders>
                  <w:noWrap w:val="0"/>
                  <w:vAlign w:val="center"/>
                </w:tcPr>
                <w:p w14:paraId="60DE391E">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21FA27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B527138">
                  <w:pPr>
                    <w:jc w:val="center"/>
                    <w:rPr>
                      <w:highlight w:val="none"/>
                    </w:rPr>
                  </w:pPr>
                </w:p>
              </w:tc>
              <w:tc>
                <w:tcPr>
                  <w:tcW w:w="437" w:type="pct"/>
                  <w:tcBorders>
                    <w:tl2br w:val="nil"/>
                    <w:tr2bl w:val="nil"/>
                  </w:tcBorders>
                  <w:noWrap w:val="0"/>
                  <w:vAlign w:val="center"/>
                </w:tcPr>
                <w:p w14:paraId="7D2A6EF6">
                  <w:pPr>
                    <w:jc w:val="center"/>
                    <w:rPr>
                      <w:rFonts w:ascii="Times New Roman" w:hAnsi="Times New Roman" w:eastAsia="宋体" w:cs="Times New Roman"/>
                      <w:kern w:val="2"/>
                      <w:sz w:val="21"/>
                      <w:szCs w:val="24"/>
                      <w:highlight w:val="none"/>
                      <w:lang w:val="en-US" w:eastAsia="zh-CN" w:bidi="ar-SA"/>
                    </w:rPr>
                  </w:pPr>
                  <w:r>
                    <w:rPr>
                      <w:highlight w:val="none"/>
                    </w:rPr>
                    <w:t>4</w:t>
                  </w:r>
                </w:p>
              </w:tc>
              <w:tc>
                <w:tcPr>
                  <w:tcW w:w="708" w:type="pct"/>
                  <w:tcBorders>
                    <w:tl2br w:val="nil"/>
                    <w:tr2bl w:val="nil"/>
                  </w:tcBorders>
                  <w:noWrap w:val="0"/>
                  <w:vAlign w:val="center"/>
                </w:tcPr>
                <w:p w14:paraId="659FBB0B">
                  <w:pPr>
                    <w:jc w:val="center"/>
                    <w:rPr>
                      <w:rFonts w:hint="eastAsia"/>
                      <w:highlight w:val="none"/>
                      <w:lang w:val="en-US" w:eastAsia="zh-CN"/>
                    </w:rPr>
                  </w:pPr>
                  <w:r>
                    <w:rPr>
                      <w:rFonts w:hint="eastAsia"/>
                      <w:highlight w:val="none"/>
                      <w:lang w:val="en-US" w:eastAsia="zh-CN"/>
                    </w:rPr>
                    <w:t>铅</w:t>
                  </w:r>
                </w:p>
              </w:tc>
              <w:tc>
                <w:tcPr>
                  <w:tcW w:w="835" w:type="pct"/>
                  <w:tcBorders>
                    <w:tl2br w:val="nil"/>
                    <w:tr2bl w:val="nil"/>
                  </w:tcBorders>
                  <w:noWrap w:val="0"/>
                  <w:vAlign w:val="center"/>
                </w:tcPr>
                <w:p w14:paraId="068CC669">
                  <w:pPr>
                    <w:jc w:val="center"/>
                    <w:rPr>
                      <w:rFonts w:hint="eastAsia"/>
                      <w:highlight w:val="none"/>
                      <w:lang w:val="en-US" w:eastAsia="zh-CN"/>
                    </w:rPr>
                  </w:pPr>
                  <w:r>
                    <w:rPr>
                      <w:rFonts w:hint="eastAsia"/>
                      <w:highlight w:val="none"/>
                      <w:lang w:val="en-US" w:eastAsia="zh-CN"/>
                    </w:rPr>
                    <w:t>33</w:t>
                  </w:r>
                </w:p>
              </w:tc>
              <w:tc>
                <w:tcPr>
                  <w:tcW w:w="965" w:type="pct"/>
                  <w:tcBorders>
                    <w:tl2br w:val="nil"/>
                    <w:tr2bl w:val="nil"/>
                  </w:tcBorders>
                  <w:noWrap w:val="0"/>
                  <w:vAlign w:val="center"/>
                </w:tcPr>
                <w:p w14:paraId="6121D68D">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170</w:t>
                  </w:r>
                </w:p>
              </w:tc>
              <w:tc>
                <w:tcPr>
                  <w:tcW w:w="965" w:type="pct"/>
                  <w:tcBorders>
                    <w:tl2br w:val="nil"/>
                    <w:tr2bl w:val="nil"/>
                  </w:tcBorders>
                  <w:noWrap w:val="0"/>
                  <w:vAlign w:val="center"/>
                </w:tcPr>
                <w:p w14:paraId="1CE2AE67">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1000</w:t>
                  </w:r>
                </w:p>
              </w:tc>
              <w:tc>
                <w:tcPr>
                  <w:tcW w:w="589" w:type="pct"/>
                  <w:tcBorders>
                    <w:tl2br w:val="nil"/>
                    <w:tr2bl w:val="nil"/>
                  </w:tcBorders>
                  <w:noWrap w:val="0"/>
                  <w:vAlign w:val="center"/>
                </w:tcPr>
                <w:p w14:paraId="187EEDAE">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1B25CF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2810B33E">
                  <w:pPr>
                    <w:jc w:val="center"/>
                    <w:rPr>
                      <w:highlight w:val="none"/>
                    </w:rPr>
                  </w:pPr>
                </w:p>
              </w:tc>
              <w:tc>
                <w:tcPr>
                  <w:tcW w:w="437" w:type="pct"/>
                  <w:tcBorders>
                    <w:tl2br w:val="nil"/>
                    <w:tr2bl w:val="nil"/>
                  </w:tcBorders>
                  <w:noWrap w:val="0"/>
                  <w:vAlign w:val="center"/>
                </w:tcPr>
                <w:p w14:paraId="6C9AD569">
                  <w:pPr>
                    <w:jc w:val="center"/>
                    <w:rPr>
                      <w:rFonts w:ascii="Times New Roman" w:hAnsi="Times New Roman" w:eastAsia="宋体" w:cs="Times New Roman"/>
                      <w:kern w:val="2"/>
                      <w:sz w:val="21"/>
                      <w:szCs w:val="24"/>
                      <w:highlight w:val="none"/>
                      <w:lang w:val="en-US" w:eastAsia="zh-CN" w:bidi="ar-SA"/>
                    </w:rPr>
                  </w:pPr>
                  <w:r>
                    <w:rPr>
                      <w:highlight w:val="none"/>
                    </w:rPr>
                    <w:t>5</w:t>
                  </w:r>
                </w:p>
              </w:tc>
              <w:tc>
                <w:tcPr>
                  <w:tcW w:w="708" w:type="pct"/>
                  <w:tcBorders>
                    <w:tl2br w:val="nil"/>
                    <w:tr2bl w:val="nil"/>
                  </w:tcBorders>
                  <w:noWrap w:val="0"/>
                  <w:vAlign w:val="center"/>
                </w:tcPr>
                <w:p w14:paraId="6080E326">
                  <w:pPr>
                    <w:jc w:val="center"/>
                    <w:rPr>
                      <w:rFonts w:hint="eastAsia"/>
                      <w:highlight w:val="none"/>
                      <w:lang w:val="en-US" w:eastAsia="zh-CN"/>
                    </w:rPr>
                  </w:pPr>
                  <w:r>
                    <w:rPr>
                      <w:rFonts w:hint="eastAsia"/>
                      <w:highlight w:val="none"/>
                      <w:lang w:val="en-US" w:eastAsia="zh-CN"/>
                    </w:rPr>
                    <w:t>镉</w:t>
                  </w:r>
                </w:p>
              </w:tc>
              <w:tc>
                <w:tcPr>
                  <w:tcW w:w="835" w:type="pct"/>
                  <w:tcBorders>
                    <w:tl2br w:val="nil"/>
                    <w:tr2bl w:val="nil"/>
                  </w:tcBorders>
                  <w:noWrap w:val="0"/>
                  <w:vAlign w:val="center"/>
                </w:tcPr>
                <w:p w14:paraId="72931752">
                  <w:pPr>
                    <w:jc w:val="center"/>
                    <w:rPr>
                      <w:rFonts w:hint="eastAsia"/>
                      <w:highlight w:val="none"/>
                      <w:lang w:val="en-US" w:eastAsia="zh-CN"/>
                    </w:rPr>
                  </w:pPr>
                  <w:r>
                    <w:rPr>
                      <w:rFonts w:hint="eastAsia"/>
                      <w:highlight w:val="none"/>
                      <w:lang w:val="en-US" w:eastAsia="zh-CN"/>
                    </w:rPr>
                    <w:t>0.1</w:t>
                  </w:r>
                </w:p>
              </w:tc>
              <w:tc>
                <w:tcPr>
                  <w:tcW w:w="965" w:type="pct"/>
                  <w:tcBorders>
                    <w:tl2br w:val="nil"/>
                    <w:tr2bl w:val="nil"/>
                  </w:tcBorders>
                  <w:noWrap w:val="0"/>
                  <w:vAlign w:val="center"/>
                </w:tcPr>
                <w:p w14:paraId="47530887">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0.6</w:t>
                  </w:r>
                </w:p>
              </w:tc>
              <w:tc>
                <w:tcPr>
                  <w:tcW w:w="965" w:type="pct"/>
                  <w:tcBorders>
                    <w:tl2br w:val="nil"/>
                    <w:tr2bl w:val="nil"/>
                  </w:tcBorders>
                  <w:noWrap w:val="0"/>
                  <w:vAlign w:val="center"/>
                </w:tcPr>
                <w:p w14:paraId="7BA36180">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4.0</w:t>
                  </w:r>
                </w:p>
              </w:tc>
              <w:tc>
                <w:tcPr>
                  <w:tcW w:w="589" w:type="pct"/>
                  <w:tcBorders>
                    <w:tl2br w:val="nil"/>
                    <w:tr2bl w:val="nil"/>
                  </w:tcBorders>
                  <w:noWrap w:val="0"/>
                  <w:vAlign w:val="center"/>
                </w:tcPr>
                <w:p w14:paraId="729B3FDC">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3222D1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4175A452">
                  <w:pPr>
                    <w:jc w:val="center"/>
                    <w:rPr>
                      <w:highlight w:val="none"/>
                    </w:rPr>
                  </w:pPr>
                </w:p>
              </w:tc>
              <w:tc>
                <w:tcPr>
                  <w:tcW w:w="437" w:type="pct"/>
                  <w:tcBorders>
                    <w:tl2br w:val="nil"/>
                    <w:tr2bl w:val="nil"/>
                  </w:tcBorders>
                  <w:noWrap w:val="0"/>
                  <w:vAlign w:val="center"/>
                </w:tcPr>
                <w:p w14:paraId="7FCCD376">
                  <w:pPr>
                    <w:jc w:val="center"/>
                    <w:rPr>
                      <w:rFonts w:ascii="Times New Roman" w:hAnsi="Times New Roman" w:eastAsia="宋体" w:cs="Times New Roman"/>
                      <w:kern w:val="2"/>
                      <w:sz w:val="21"/>
                      <w:szCs w:val="24"/>
                      <w:highlight w:val="none"/>
                      <w:lang w:val="en-US" w:eastAsia="zh-CN" w:bidi="ar-SA"/>
                    </w:rPr>
                  </w:pPr>
                  <w:r>
                    <w:rPr>
                      <w:highlight w:val="none"/>
                    </w:rPr>
                    <w:t>6</w:t>
                  </w:r>
                </w:p>
              </w:tc>
              <w:tc>
                <w:tcPr>
                  <w:tcW w:w="708" w:type="pct"/>
                  <w:tcBorders>
                    <w:tl2br w:val="nil"/>
                    <w:tr2bl w:val="nil"/>
                  </w:tcBorders>
                  <w:noWrap w:val="0"/>
                  <w:vAlign w:val="center"/>
                </w:tcPr>
                <w:p w14:paraId="5916DCE0">
                  <w:pPr>
                    <w:jc w:val="center"/>
                    <w:rPr>
                      <w:rFonts w:hint="eastAsia"/>
                      <w:highlight w:val="none"/>
                      <w:lang w:val="en-US" w:eastAsia="zh-CN"/>
                    </w:rPr>
                  </w:pPr>
                  <w:r>
                    <w:rPr>
                      <w:rFonts w:hint="eastAsia"/>
                      <w:highlight w:val="none"/>
                      <w:lang w:val="en-US" w:eastAsia="zh-CN"/>
                    </w:rPr>
                    <w:t>砷</w:t>
                  </w:r>
                </w:p>
              </w:tc>
              <w:tc>
                <w:tcPr>
                  <w:tcW w:w="835" w:type="pct"/>
                  <w:tcBorders>
                    <w:tl2br w:val="nil"/>
                    <w:tr2bl w:val="nil"/>
                  </w:tcBorders>
                  <w:noWrap w:val="0"/>
                  <w:vAlign w:val="center"/>
                </w:tcPr>
                <w:p w14:paraId="5C77870A">
                  <w:pPr>
                    <w:jc w:val="center"/>
                    <w:rPr>
                      <w:rFonts w:hint="eastAsia"/>
                      <w:highlight w:val="none"/>
                      <w:lang w:val="en-US" w:eastAsia="zh-CN"/>
                    </w:rPr>
                  </w:pPr>
                  <w:r>
                    <w:rPr>
                      <w:rFonts w:hint="eastAsia"/>
                      <w:highlight w:val="none"/>
                      <w:lang w:val="en-US" w:eastAsia="zh-CN"/>
                    </w:rPr>
                    <w:t>6.66</w:t>
                  </w:r>
                </w:p>
              </w:tc>
              <w:tc>
                <w:tcPr>
                  <w:tcW w:w="965" w:type="pct"/>
                  <w:tcBorders>
                    <w:tl2br w:val="nil"/>
                    <w:tr2bl w:val="nil"/>
                  </w:tcBorders>
                  <w:noWrap w:val="0"/>
                  <w:vAlign w:val="center"/>
                </w:tcPr>
                <w:p w14:paraId="77E31586">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25</w:t>
                  </w:r>
                </w:p>
              </w:tc>
              <w:tc>
                <w:tcPr>
                  <w:tcW w:w="965" w:type="pct"/>
                  <w:tcBorders>
                    <w:tl2br w:val="nil"/>
                    <w:tr2bl w:val="nil"/>
                  </w:tcBorders>
                  <w:noWrap w:val="0"/>
                  <w:vAlign w:val="center"/>
                </w:tcPr>
                <w:p w14:paraId="244A6A32">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100</w:t>
                  </w:r>
                </w:p>
              </w:tc>
              <w:tc>
                <w:tcPr>
                  <w:tcW w:w="589" w:type="pct"/>
                  <w:tcBorders>
                    <w:tl2br w:val="nil"/>
                    <w:tr2bl w:val="nil"/>
                  </w:tcBorders>
                  <w:noWrap w:val="0"/>
                  <w:vAlign w:val="center"/>
                </w:tcPr>
                <w:p w14:paraId="380C3780">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6629A7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6889D6D9">
                  <w:pPr>
                    <w:jc w:val="center"/>
                    <w:rPr>
                      <w:highlight w:val="none"/>
                    </w:rPr>
                  </w:pPr>
                </w:p>
              </w:tc>
              <w:tc>
                <w:tcPr>
                  <w:tcW w:w="437" w:type="pct"/>
                  <w:tcBorders>
                    <w:tl2br w:val="nil"/>
                    <w:tr2bl w:val="nil"/>
                  </w:tcBorders>
                  <w:noWrap w:val="0"/>
                  <w:vAlign w:val="center"/>
                </w:tcPr>
                <w:p w14:paraId="2011B52A">
                  <w:pPr>
                    <w:jc w:val="center"/>
                    <w:rPr>
                      <w:rFonts w:ascii="Times New Roman" w:hAnsi="Times New Roman" w:eastAsia="宋体" w:cs="Times New Roman"/>
                      <w:kern w:val="2"/>
                      <w:sz w:val="21"/>
                      <w:szCs w:val="24"/>
                      <w:highlight w:val="none"/>
                      <w:lang w:val="en-US" w:eastAsia="zh-CN" w:bidi="ar-SA"/>
                    </w:rPr>
                  </w:pPr>
                  <w:r>
                    <w:rPr>
                      <w:highlight w:val="none"/>
                    </w:rPr>
                    <w:t>7</w:t>
                  </w:r>
                </w:p>
              </w:tc>
              <w:tc>
                <w:tcPr>
                  <w:tcW w:w="708" w:type="pct"/>
                  <w:tcBorders>
                    <w:tl2br w:val="nil"/>
                    <w:tr2bl w:val="nil"/>
                  </w:tcBorders>
                  <w:noWrap w:val="0"/>
                  <w:vAlign w:val="center"/>
                </w:tcPr>
                <w:p w14:paraId="068A71E5">
                  <w:pPr>
                    <w:jc w:val="center"/>
                    <w:rPr>
                      <w:rFonts w:hint="eastAsia"/>
                      <w:highlight w:val="none"/>
                      <w:lang w:val="en-US" w:eastAsia="zh-CN"/>
                    </w:rPr>
                  </w:pPr>
                  <w:r>
                    <w:rPr>
                      <w:rFonts w:hint="eastAsia"/>
                      <w:highlight w:val="none"/>
                      <w:lang w:val="en-US" w:eastAsia="zh-CN"/>
                    </w:rPr>
                    <w:t>汞</w:t>
                  </w:r>
                </w:p>
              </w:tc>
              <w:tc>
                <w:tcPr>
                  <w:tcW w:w="835" w:type="pct"/>
                  <w:tcBorders>
                    <w:tl2br w:val="nil"/>
                    <w:tr2bl w:val="nil"/>
                  </w:tcBorders>
                  <w:noWrap w:val="0"/>
                  <w:vAlign w:val="center"/>
                </w:tcPr>
                <w:p w14:paraId="332B4B16">
                  <w:pPr>
                    <w:jc w:val="center"/>
                    <w:rPr>
                      <w:rFonts w:hint="eastAsia"/>
                      <w:highlight w:val="none"/>
                      <w:lang w:val="en-US" w:eastAsia="zh-CN"/>
                    </w:rPr>
                  </w:pPr>
                  <w:r>
                    <w:rPr>
                      <w:rFonts w:hint="eastAsia"/>
                      <w:highlight w:val="none"/>
                      <w:lang w:val="en-US" w:eastAsia="zh-CN"/>
                    </w:rPr>
                    <w:t>0.104</w:t>
                  </w:r>
                </w:p>
              </w:tc>
              <w:tc>
                <w:tcPr>
                  <w:tcW w:w="965" w:type="pct"/>
                  <w:tcBorders>
                    <w:tl2br w:val="nil"/>
                    <w:tr2bl w:val="nil"/>
                  </w:tcBorders>
                  <w:noWrap w:val="0"/>
                  <w:vAlign w:val="center"/>
                </w:tcPr>
                <w:p w14:paraId="4F55A74F">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3.4</w:t>
                  </w:r>
                </w:p>
              </w:tc>
              <w:tc>
                <w:tcPr>
                  <w:tcW w:w="965" w:type="pct"/>
                  <w:tcBorders>
                    <w:tl2br w:val="nil"/>
                    <w:tr2bl w:val="nil"/>
                  </w:tcBorders>
                  <w:noWrap w:val="0"/>
                  <w:vAlign w:val="center"/>
                </w:tcPr>
                <w:p w14:paraId="171AABE2">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6.0</w:t>
                  </w:r>
                </w:p>
              </w:tc>
              <w:tc>
                <w:tcPr>
                  <w:tcW w:w="589" w:type="pct"/>
                  <w:tcBorders>
                    <w:tl2br w:val="nil"/>
                    <w:tr2bl w:val="nil"/>
                  </w:tcBorders>
                  <w:noWrap w:val="0"/>
                  <w:vAlign w:val="center"/>
                </w:tcPr>
                <w:p w14:paraId="7ACC802F">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64B5D0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0D00A207">
                  <w:pPr>
                    <w:jc w:val="center"/>
                    <w:rPr>
                      <w:highlight w:val="none"/>
                    </w:rPr>
                  </w:pPr>
                </w:p>
              </w:tc>
              <w:tc>
                <w:tcPr>
                  <w:tcW w:w="437" w:type="pct"/>
                  <w:tcBorders>
                    <w:tl2br w:val="nil"/>
                    <w:tr2bl w:val="nil"/>
                  </w:tcBorders>
                  <w:noWrap w:val="0"/>
                  <w:vAlign w:val="center"/>
                </w:tcPr>
                <w:p w14:paraId="38824FC4">
                  <w:pPr>
                    <w:jc w:val="center"/>
                    <w:rPr>
                      <w:rFonts w:ascii="Times New Roman" w:hAnsi="Times New Roman" w:eastAsia="宋体" w:cs="Times New Roman"/>
                      <w:kern w:val="2"/>
                      <w:sz w:val="21"/>
                      <w:szCs w:val="24"/>
                      <w:highlight w:val="none"/>
                      <w:lang w:val="en-US" w:eastAsia="zh-CN" w:bidi="ar-SA"/>
                    </w:rPr>
                  </w:pPr>
                  <w:r>
                    <w:rPr>
                      <w:highlight w:val="none"/>
                    </w:rPr>
                    <w:t>8</w:t>
                  </w:r>
                </w:p>
              </w:tc>
              <w:tc>
                <w:tcPr>
                  <w:tcW w:w="708" w:type="pct"/>
                  <w:tcBorders>
                    <w:tl2br w:val="nil"/>
                    <w:tr2bl w:val="nil"/>
                  </w:tcBorders>
                  <w:noWrap w:val="0"/>
                  <w:vAlign w:val="center"/>
                </w:tcPr>
                <w:p w14:paraId="1325416A">
                  <w:pPr>
                    <w:jc w:val="center"/>
                    <w:rPr>
                      <w:rFonts w:hint="eastAsia"/>
                      <w:highlight w:val="none"/>
                      <w:lang w:val="en-US" w:eastAsia="zh-CN"/>
                    </w:rPr>
                  </w:pPr>
                  <w:r>
                    <w:rPr>
                      <w:rFonts w:hint="eastAsia"/>
                      <w:highlight w:val="none"/>
                      <w:lang w:val="en-US" w:eastAsia="zh-CN"/>
                    </w:rPr>
                    <w:t>锌</w:t>
                  </w:r>
                </w:p>
              </w:tc>
              <w:tc>
                <w:tcPr>
                  <w:tcW w:w="835" w:type="pct"/>
                  <w:tcBorders>
                    <w:tl2br w:val="nil"/>
                    <w:tr2bl w:val="nil"/>
                  </w:tcBorders>
                  <w:noWrap w:val="0"/>
                  <w:vAlign w:val="center"/>
                </w:tcPr>
                <w:p w14:paraId="25E57E98">
                  <w:pPr>
                    <w:jc w:val="center"/>
                    <w:rPr>
                      <w:rFonts w:hint="eastAsia"/>
                      <w:highlight w:val="none"/>
                      <w:lang w:val="en-US" w:eastAsia="zh-CN"/>
                    </w:rPr>
                  </w:pPr>
                  <w:r>
                    <w:rPr>
                      <w:rFonts w:hint="eastAsia"/>
                      <w:highlight w:val="none"/>
                      <w:lang w:val="en-US" w:eastAsia="zh-CN"/>
                    </w:rPr>
                    <w:t>58</w:t>
                  </w:r>
                </w:p>
              </w:tc>
              <w:tc>
                <w:tcPr>
                  <w:tcW w:w="965" w:type="pct"/>
                  <w:tcBorders>
                    <w:tl2br w:val="nil"/>
                    <w:tr2bl w:val="nil"/>
                  </w:tcBorders>
                  <w:noWrap w:val="0"/>
                  <w:vAlign w:val="center"/>
                </w:tcPr>
                <w:p w14:paraId="4CB2D933">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300</w:t>
                  </w:r>
                </w:p>
              </w:tc>
              <w:tc>
                <w:tcPr>
                  <w:tcW w:w="965" w:type="pct"/>
                  <w:tcBorders>
                    <w:tl2br w:val="nil"/>
                    <w:tr2bl w:val="nil"/>
                  </w:tcBorders>
                  <w:noWrap w:val="0"/>
                  <w:vAlign w:val="center"/>
                </w:tcPr>
                <w:p w14:paraId="4EB18E66">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w:t>
                  </w:r>
                </w:p>
              </w:tc>
              <w:tc>
                <w:tcPr>
                  <w:tcW w:w="589" w:type="pct"/>
                  <w:tcBorders>
                    <w:tl2br w:val="nil"/>
                    <w:tr2bl w:val="nil"/>
                  </w:tcBorders>
                  <w:noWrap w:val="0"/>
                  <w:vAlign w:val="center"/>
                </w:tcPr>
                <w:p w14:paraId="3FEF39A9">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3AD138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55A5A1A">
                  <w:pPr>
                    <w:jc w:val="center"/>
                    <w:rPr>
                      <w:highlight w:val="none"/>
                    </w:rPr>
                  </w:pPr>
                </w:p>
              </w:tc>
              <w:tc>
                <w:tcPr>
                  <w:tcW w:w="437" w:type="pct"/>
                  <w:tcBorders>
                    <w:tl2br w:val="nil"/>
                    <w:tr2bl w:val="nil"/>
                  </w:tcBorders>
                  <w:noWrap w:val="0"/>
                  <w:vAlign w:val="center"/>
                </w:tcPr>
                <w:p w14:paraId="0C3EB079">
                  <w:pPr>
                    <w:jc w:val="center"/>
                    <w:rPr>
                      <w:rFonts w:ascii="Times New Roman" w:hAnsi="Times New Roman" w:eastAsia="宋体" w:cs="Times New Roman"/>
                      <w:kern w:val="2"/>
                      <w:sz w:val="21"/>
                      <w:szCs w:val="24"/>
                      <w:highlight w:val="none"/>
                      <w:lang w:val="en-US" w:eastAsia="zh-CN" w:bidi="ar-SA"/>
                    </w:rPr>
                  </w:pPr>
                  <w:r>
                    <w:rPr>
                      <w:highlight w:val="none"/>
                    </w:rPr>
                    <w:t>9</w:t>
                  </w:r>
                </w:p>
              </w:tc>
              <w:tc>
                <w:tcPr>
                  <w:tcW w:w="708" w:type="pct"/>
                  <w:tcBorders>
                    <w:tl2br w:val="nil"/>
                    <w:tr2bl w:val="nil"/>
                  </w:tcBorders>
                  <w:noWrap w:val="0"/>
                  <w:vAlign w:val="center"/>
                </w:tcPr>
                <w:p w14:paraId="780B5002">
                  <w:pPr>
                    <w:jc w:val="center"/>
                    <w:rPr>
                      <w:rFonts w:hint="eastAsia"/>
                      <w:highlight w:val="none"/>
                      <w:lang w:val="en-US" w:eastAsia="zh-CN"/>
                    </w:rPr>
                  </w:pPr>
                  <w:r>
                    <w:rPr>
                      <w:rFonts w:hint="eastAsia"/>
                      <w:highlight w:val="none"/>
                      <w:lang w:val="en-US" w:eastAsia="zh-CN"/>
                    </w:rPr>
                    <w:t>铬</w:t>
                  </w:r>
                </w:p>
              </w:tc>
              <w:tc>
                <w:tcPr>
                  <w:tcW w:w="835" w:type="pct"/>
                  <w:tcBorders>
                    <w:tl2br w:val="nil"/>
                    <w:tr2bl w:val="nil"/>
                  </w:tcBorders>
                  <w:noWrap w:val="0"/>
                  <w:vAlign w:val="center"/>
                </w:tcPr>
                <w:p w14:paraId="480EECBF">
                  <w:pPr>
                    <w:jc w:val="center"/>
                    <w:rPr>
                      <w:rFonts w:hint="eastAsia"/>
                      <w:highlight w:val="none"/>
                      <w:lang w:val="en-US" w:eastAsia="zh-CN"/>
                    </w:rPr>
                  </w:pPr>
                  <w:r>
                    <w:rPr>
                      <w:rFonts w:hint="eastAsia"/>
                      <w:highlight w:val="none"/>
                      <w:lang w:val="en-US" w:eastAsia="zh-CN"/>
                    </w:rPr>
                    <w:t>62</w:t>
                  </w:r>
                </w:p>
              </w:tc>
              <w:tc>
                <w:tcPr>
                  <w:tcW w:w="965" w:type="pct"/>
                  <w:tcBorders>
                    <w:tl2br w:val="nil"/>
                    <w:tr2bl w:val="nil"/>
                  </w:tcBorders>
                  <w:noWrap w:val="0"/>
                  <w:vAlign w:val="center"/>
                </w:tcPr>
                <w:p w14:paraId="4C8D4F5B">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250</w:t>
                  </w:r>
                </w:p>
              </w:tc>
              <w:tc>
                <w:tcPr>
                  <w:tcW w:w="965" w:type="pct"/>
                  <w:tcBorders>
                    <w:tl2br w:val="nil"/>
                    <w:tr2bl w:val="nil"/>
                  </w:tcBorders>
                  <w:noWrap w:val="0"/>
                  <w:vAlign w:val="center"/>
                </w:tcPr>
                <w:p w14:paraId="643DE2EB">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1300</w:t>
                  </w:r>
                </w:p>
              </w:tc>
              <w:tc>
                <w:tcPr>
                  <w:tcW w:w="589" w:type="pct"/>
                  <w:tcBorders>
                    <w:tl2br w:val="nil"/>
                    <w:tr2bl w:val="nil"/>
                  </w:tcBorders>
                  <w:noWrap w:val="0"/>
                  <w:vAlign w:val="center"/>
                </w:tcPr>
                <w:p w14:paraId="1E7BE38B">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71DD77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restart"/>
                  <w:tcBorders>
                    <w:tl2br w:val="nil"/>
                    <w:tr2bl w:val="nil"/>
                  </w:tcBorders>
                  <w:noWrap w:val="0"/>
                  <w:vAlign w:val="center"/>
                </w:tcPr>
                <w:p w14:paraId="290825BC">
                  <w:pPr>
                    <w:jc w:val="center"/>
                    <w:rPr>
                      <w:rFonts w:hint="default" w:eastAsia="宋体"/>
                      <w:highlight w:val="none"/>
                      <w:lang w:val="en-US" w:eastAsia="zh-CN"/>
                    </w:rPr>
                  </w:pPr>
                  <w:r>
                    <w:rPr>
                      <w:rFonts w:hint="eastAsia"/>
                      <w:highlight w:val="none"/>
                      <w:lang w:val="en-US" w:eastAsia="zh-CN"/>
                    </w:rPr>
                    <w:t>D3</w:t>
                  </w:r>
                </w:p>
              </w:tc>
              <w:tc>
                <w:tcPr>
                  <w:tcW w:w="437" w:type="pct"/>
                  <w:tcBorders>
                    <w:tl2br w:val="nil"/>
                    <w:tr2bl w:val="nil"/>
                  </w:tcBorders>
                  <w:noWrap w:val="0"/>
                  <w:vAlign w:val="center"/>
                </w:tcPr>
                <w:p w14:paraId="75861B7D">
                  <w:pPr>
                    <w:jc w:val="center"/>
                    <w:rPr>
                      <w:rFonts w:ascii="Times New Roman" w:hAnsi="Times New Roman" w:eastAsia="宋体" w:cs="Times New Roman"/>
                      <w:kern w:val="2"/>
                      <w:sz w:val="21"/>
                      <w:szCs w:val="24"/>
                      <w:highlight w:val="none"/>
                      <w:lang w:val="en-US" w:eastAsia="zh-CN" w:bidi="ar-SA"/>
                    </w:rPr>
                  </w:pPr>
                  <w:r>
                    <w:rPr>
                      <w:highlight w:val="none"/>
                    </w:rPr>
                    <w:t>1</w:t>
                  </w:r>
                </w:p>
              </w:tc>
              <w:tc>
                <w:tcPr>
                  <w:tcW w:w="708" w:type="pct"/>
                  <w:tcBorders>
                    <w:tl2br w:val="nil"/>
                    <w:tr2bl w:val="nil"/>
                  </w:tcBorders>
                  <w:noWrap w:val="0"/>
                  <w:vAlign w:val="center"/>
                </w:tcPr>
                <w:p w14:paraId="164F0B44">
                  <w:pPr>
                    <w:jc w:val="center"/>
                    <w:rPr>
                      <w:rFonts w:hint="eastAsia"/>
                      <w:highlight w:val="none"/>
                      <w:lang w:val="en-US" w:eastAsia="zh-CN"/>
                    </w:rPr>
                  </w:pPr>
                  <w:r>
                    <w:rPr>
                      <w:rFonts w:hint="eastAsia"/>
                      <w:highlight w:val="none"/>
                      <w:lang w:val="en-US" w:eastAsia="zh-CN"/>
                    </w:rPr>
                    <w:t>pH</w:t>
                  </w:r>
                </w:p>
              </w:tc>
              <w:tc>
                <w:tcPr>
                  <w:tcW w:w="835" w:type="pct"/>
                  <w:tcBorders>
                    <w:tl2br w:val="nil"/>
                    <w:tr2bl w:val="nil"/>
                  </w:tcBorders>
                  <w:noWrap w:val="0"/>
                  <w:vAlign w:val="center"/>
                </w:tcPr>
                <w:p w14:paraId="286421EB">
                  <w:pPr>
                    <w:jc w:val="center"/>
                    <w:rPr>
                      <w:rFonts w:hint="eastAsia"/>
                      <w:highlight w:val="none"/>
                      <w:lang w:val="en-US" w:eastAsia="zh-CN"/>
                    </w:rPr>
                  </w:pPr>
                  <w:r>
                    <w:rPr>
                      <w:rFonts w:hint="eastAsia"/>
                      <w:highlight w:val="none"/>
                      <w:lang w:val="en-US" w:eastAsia="zh-CN"/>
                    </w:rPr>
                    <w:t>8.13</w:t>
                  </w:r>
                </w:p>
              </w:tc>
              <w:tc>
                <w:tcPr>
                  <w:tcW w:w="965" w:type="pct"/>
                  <w:tcBorders>
                    <w:tl2br w:val="nil"/>
                    <w:tr2bl w:val="nil"/>
                  </w:tcBorders>
                  <w:noWrap w:val="0"/>
                  <w:vAlign w:val="center"/>
                </w:tcPr>
                <w:p w14:paraId="5BF89FFA">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w:t>
                  </w:r>
                </w:p>
              </w:tc>
              <w:tc>
                <w:tcPr>
                  <w:tcW w:w="965" w:type="pct"/>
                  <w:tcBorders>
                    <w:tl2br w:val="nil"/>
                    <w:tr2bl w:val="nil"/>
                  </w:tcBorders>
                  <w:noWrap w:val="0"/>
                  <w:vAlign w:val="center"/>
                </w:tcPr>
                <w:p w14:paraId="15F40AB2">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w:t>
                  </w:r>
                </w:p>
              </w:tc>
              <w:tc>
                <w:tcPr>
                  <w:tcW w:w="589" w:type="pct"/>
                  <w:tcBorders>
                    <w:tl2br w:val="nil"/>
                    <w:tr2bl w:val="nil"/>
                  </w:tcBorders>
                  <w:noWrap w:val="0"/>
                  <w:vAlign w:val="center"/>
                </w:tcPr>
                <w:p w14:paraId="0FADF7B3">
                  <w:pPr>
                    <w:jc w:val="center"/>
                    <w:rPr>
                      <w:rFonts w:ascii="Times New Roman" w:hAnsi="Times New Roman" w:eastAsia="宋体" w:cs="Times New Roman"/>
                      <w:kern w:val="2"/>
                      <w:sz w:val="21"/>
                      <w:szCs w:val="24"/>
                      <w:highlight w:val="none"/>
                      <w:lang w:val="en-US" w:eastAsia="zh-CN" w:bidi="ar-SA"/>
                    </w:rPr>
                  </w:pPr>
                  <w:r>
                    <w:rPr>
                      <w:highlight w:val="none"/>
                    </w:rPr>
                    <w:t>/</w:t>
                  </w:r>
                </w:p>
              </w:tc>
            </w:tr>
            <w:tr w14:paraId="4F5922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195A80FB">
                  <w:pPr>
                    <w:jc w:val="center"/>
                    <w:rPr>
                      <w:highlight w:val="none"/>
                    </w:rPr>
                  </w:pPr>
                </w:p>
              </w:tc>
              <w:tc>
                <w:tcPr>
                  <w:tcW w:w="437" w:type="pct"/>
                  <w:tcBorders>
                    <w:tl2br w:val="nil"/>
                    <w:tr2bl w:val="nil"/>
                  </w:tcBorders>
                  <w:noWrap w:val="0"/>
                  <w:vAlign w:val="center"/>
                </w:tcPr>
                <w:p w14:paraId="25C46DA7">
                  <w:pPr>
                    <w:jc w:val="center"/>
                    <w:rPr>
                      <w:rFonts w:ascii="Times New Roman" w:hAnsi="Times New Roman" w:eastAsia="宋体" w:cs="Times New Roman"/>
                      <w:kern w:val="2"/>
                      <w:sz w:val="21"/>
                      <w:szCs w:val="24"/>
                      <w:highlight w:val="none"/>
                      <w:lang w:val="en-US" w:eastAsia="zh-CN" w:bidi="ar-SA"/>
                    </w:rPr>
                  </w:pPr>
                  <w:r>
                    <w:rPr>
                      <w:highlight w:val="none"/>
                    </w:rPr>
                    <w:t>2</w:t>
                  </w:r>
                </w:p>
              </w:tc>
              <w:tc>
                <w:tcPr>
                  <w:tcW w:w="708" w:type="pct"/>
                  <w:tcBorders>
                    <w:tl2br w:val="nil"/>
                    <w:tr2bl w:val="nil"/>
                  </w:tcBorders>
                  <w:noWrap w:val="0"/>
                  <w:vAlign w:val="center"/>
                </w:tcPr>
                <w:p w14:paraId="3693BAC5">
                  <w:pPr>
                    <w:jc w:val="center"/>
                    <w:rPr>
                      <w:rFonts w:hint="eastAsia"/>
                      <w:highlight w:val="none"/>
                      <w:lang w:val="en-US" w:eastAsia="zh-CN"/>
                    </w:rPr>
                  </w:pPr>
                  <w:r>
                    <w:rPr>
                      <w:rFonts w:hint="eastAsia"/>
                      <w:highlight w:val="none"/>
                      <w:lang w:val="en-US" w:eastAsia="zh-CN"/>
                    </w:rPr>
                    <w:t>铜</w:t>
                  </w:r>
                </w:p>
              </w:tc>
              <w:tc>
                <w:tcPr>
                  <w:tcW w:w="835" w:type="pct"/>
                  <w:tcBorders>
                    <w:tl2br w:val="nil"/>
                    <w:tr2bl w:val="nil"/>
                  </w:tcBorders>
                  <w:noWrap w:val="0"/>
                  <w:vAlign w:val="center"/>
                </w:tcPr>
                <w:p w14:paraId="68B08BB9">
                  <w:pPr>
                    <w:jc w:val="center"/>
                    <w:rPr>
                      <w:rFonts w:hint="eastAsia"/>
                      <w:highlight w:val="none"/>
                      <w:lang w:val="en-US" w:eastAsia="zh-CN"/>
                    </w:rPr>
                  </w:pPr>
                  <w:r>
                    <w:rPr>
                      <w:rFonts w:hint="eastAsia"/>
                      <w:highlight w:val="none"/>
                      <w:lang w:val="en-US" w:eastAsia="zh-CN"/>
                    </w:rPr>
                    <w:t>23</w:t>
                  </w:r>
                </w:p>
              </w:tc>
              <w:tc>
                <w:tcPr>
                  <w:tcW w:w="965" w:type="pct"/>
                  <w:tcBorders>
                    <w:tl2br w:val="nil"/>
                    <w:tr2bl w:val="nil"/>
                  </w:tcBorders>
                  <w:noWrap w:val="0"/>
                  <w:vAlign w:val="center"/>
                </w:tcPr>
                <w:p w14:paraId="48148694">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100</w:t>
                  </w:r>
                </w:p>
              </w:tc>
              <w:tc>
                <w:tcPr>
                  <w:tcW w:w="965" w:type="pct"/>
                  <w:tcBorders>
                    <w:tl2br w:val="nil"/>
                    <w:tr2bl w:val="nil"/>
                  </w:tcBorders>
                  <w:noWrap w:val="0"/>
                  <w:vAlign w:val="center"/>
                </w:tcPr>
                <w:p w14:paraId="48025625">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w:t>
                  </w:r>
                </w:p>
              </w:tc>
              <w:tc>
                <w:tcPr>
                  <w:tcW w:w="589" w:type="pct"/>
                  <w:tcBorders>
                    <w:tl2br w:val="nil"/>
                    <w:tr2bl w:val="nil"/>
                  </w:tcBorders>
                  <w:noWrap w:val="0"/>
                  <w:vAlign w:val="center"/>
                </w:tcPr>
                <w:p w14:paraId="605B4911">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2E4435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2B89404">
                  <w:pPr>
                    <w:jc w:val="center"/>
                    <w:rPr>
                      <w:highlight w:val="none"/>
                    </w:rPr>
                  </w:pPr>
                </w:p>
              </w:tc>
              <w:tc>
                <w:tcPr>
                  <w:tcW w:w="437" w:type="pct"/>
                  <w:tcBorders>
                    <w:tl2br w:val="nil"/>
                    <w:tr2bl w:val="nil"/>
                  </w:tcBorders>
                  <w:noWrap w:val="0"/>
                  <w:vAlign w:val="center"/>
                </w:tcPr>
                <w:p w14:paraId="11B87BB2">
                  <w:pPr>
                    <w:jc w:val="center"/>
                    <w:rPr>
                      <w:rFonts w:ascii="Times New Roman" w:hAnsi="Times New Roman" w:eastAsia="宋体" w:cs="Times New Roman"/>
                      <w:kern w:val="2"/>
                      <w:sz w:val="21"/>
                      <w:szCs w:val="24"/>
                      <w:highlight w:val="none"/>
                      <w:lang w:val="en-US" w:eastAsia="zh-CN" w:bidi="ar-SA"/>
                    </w:rPr>
                  </w:pPr>
                  <w:r>
                    <w:rPr>
                      <w:highlight w:val="none"/>
                    </w:rPr>
                    <w:t>3</w:t>
                  </w:r>
                </w:p>
              </w:tc>
              <w:tc>
                <w:tcPr>
                  <w:tcW w:w="708" w:type="pct"/>
                  <w:tcBorders>
                    <w:tl2br w:val="nil"/>
                    <w:tr2bl w:val="nil"/>
                  </w:tcBorders>
                  <w:noWrap w:val="0"/>
                  <w:vAlign w:val="center"/>
                </w:tcPr>
                <w:p w14:paraId="67C77F79">
                  <w:pPr>
                    <w:jc w:val="center"/>
                    <w:rPr>
                      <w:rFonts w:hint="eastAsia"/>
                      <w:highlight w:val="none"/>
                      <w:lang w:val="en-US" w:eastAsia="zh-CN"/>
                    </w:rPr>
                  </w:pPr>
                  <w:r>
                    <w:rPr>
                      <w:rFonts w:hint="eastAsia"/>
                      <w:highlight w:val="none"/>
                      <w:lang w:val="en-US" w:eastAsia="zh-CN"/>
                    </w:rPr>
                    <w:t>镍</w:t>
                  </w:r>
                </w:p>
              </w:tc>
              <w:tc>
                <w:tcPr>
                  <w:tcW w:w="835" w:type="pct"/>
                  <w:tcBorders>
                    <w:tl2br w:val="nil"/>
                    <w:tr2bl w:val="nil"/>
                  </w:tcBorders>
                  <w:noWrap w:val="0"/>
                  <w:vAlign w:val="center"/>
                </w:tcPr>
                <w:p w14:paraId="40563FD1">
                  <w:pPr>
                    <w:jc w:val="center"/>
                    <w:rPr>
                      <w:rFonts w:hint="eastAsia"/>
                      <w:highlight w:val="none"/>
                      <w:lang w:val="en-US" w:eastAsia="zh-CN"/>
                    </w:rPr>
                  </w:pPr>
                  <w:r>
                    <w:rPr>
                      <w:rFonts w:hint="eastAsia"/>
                      <w:highlight w:val="none"/>
                      <w:lang w:val="en-US" w:eastAsia="zh-CN"/>
                    </w:rPr>
                    <w:t>47</w:t>
                  </w:r>
                </w:p>
              </w:tc>
              <w:tc>
                <w:tcPr>
                  <w:tcW w:w="965" w:type="pct"/>
                  <w:tcBorders>
                    <w:tl2br w:val="nil"/>
                    <w:tr2bl w:val="nil"/>
                  </w:tcBorders>
                  <w:noWrap w:val="0"/>
                  <w:vAlign w:val="center"/>
                </w:tcPr>
                <w:p w14:paraId="6CC18344">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190</w:t>
                  </w:r>
                </w:p>
              </w:tc>
              <w:tc>
                <w:tcPr>
                  <w:tcW w:w="965" w:type="pct"/>
                  <w:tcBorders>
                    <w:tl2br w:val="nil"/>
                    <w:tr2bl w:val="nil"/>
                  </w:tcBorders>
                  <w:noWrap w:val="0"/>
                  <w:vAlign w:val="center"/>
                </w:tcPr>
                <w:p w14:paraId="78D417CF">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w:t>
                  </w:r>
                </w:p>
              </w:tc>
              <w:tc>
                <w:tcPr>
                  <w:tcW w:w="589" w:type="pct"/>
                  <w:tcBorders>
                    <w:tl2br w:val="nil"/>
                    <w:tr2bl w:val="nil"/>
                  </w:tcBorders>
                  <w:noWrap w:val="0"/>
                  <w:vAlign w:val="center"/>
                </w:tcPr>
                <w:p w14:paraId="1EEDCB66">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483873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4AC006FE">
                  <w:pPr>
                    <w:jc w:val="center"/>
                    <w:rPr>
                      <w:highlight w:val="none"/>
                    </w:rPr>
                  </w:pPr>
                </w:p>
              </w:tc>
              <w:tc>
                <w:tcPr>
                  <w:tcW w:w="437" w:type="pct"/>
                  <w:tcBorders>
                    <w:tl2br w:val="nil"/>
                    <w:tr2bl w:val="nil"/>
                  </w:tcBorders>
                  <w:noWrap w:val="0"/>
                  <w:vAlign w:val="center"/>
                </w:tcPr>
                <w:p w14:paraId="402309DD">
                  <w:pPr>
                    <w:jc w:val="center"/>
                    <w:rPr>
                      <w:rFonts w:ascii="Times New Roman" w:hAnsi="Times New Roman" w:eastAsia="宋体" w:cs="Times New Roman"/>
                      <w:kern w:val="2"/>
                      <w:sz w:val="21"/>
                      <w:szCs w:val="24"/>
                      <w:highlight w:val="none"/>
                      <w:lang w:val="en-US" w:eastAsia="zh-CN" w:bidi="ar-SA"/>
                    </w:rPr>
                  </w:pPr>
                  <w:r>
                    <w:rPr>
                      <w:highlight w:val="none"/>
                    </w:rPr>
                    <w:t>4</w:t>
                  </w:r>
                </w:p>
              </w:tc>
              <w:tc>
                <w:tcPr>
                  <w:tcW w:w="708" w:type="pct"/>
                  <w:tcBorders>
                    <w:tl2br w:val="nil"/>
                    <w:tr2bl w:val="nil"/>
                  </w:tcBorders>
                  <w:noWrap w:val="0"/>
                  <w:vAlign w:val="center"/>
                </w:tcPr>
                <w:p w14:paraId="7EB073D7">
                  <w:pPr>
                    <w:jc w:val="center"/>
                    <w:rPr>
                      <w:rFonts w:hint="eastAsia"/>
                      <w:highlight w:val="none"/>
                      <w:lang w:val="en-US" w:eastAsia="zh-CN"/>
                    </w:rPr>
                  </w:pPr>
                  <w:r>
                    <w:rPr>
                      <w:rFonts w:hint="eastAsia"/>
                      <w:highlight w:val="none"/>
                      <w:lang w:val="en-US" w:eastAsia="zh-CN"/>
                    </w:rPr>
                    <w:t>铅</w:t>
                  </w:r>
                </w:p>
              </w:tc>
              <w:tc>
                <w:tcPr>
                  <w:tcW w:w="835" w:type="pct"/>
                  <w:tcBorders>
                    <w:tl2br w:val="nil"/>
                    <w:tr2bl w:val="nil"/>
                  </w:tcBorders>
                  <w:noWrap w:val="0"/>
                  <w:vAlign w:val="center"/>
                </w:tcPr>
                <w:p w14:paraId="23CD6DAF">
                  <w:pPr>
                    <w:jc w:val="center"/>
                    <w:rPr>
                      <w:rFonts w:hint="eastAsia"/>
                      <w:highlight w:val="none"/>
                      <w:lang w:val="en-US" w:eastAsia="zh-CN"/>
                    </w:rPr>
                  </w:pPr>
                  <w:r>
                    <w:rPr>
                      <w:rFonts w:hint="eastAsia"/>
                      <w:highlight w:val="none"/>
                      <w:lang w:val="en-US" w:eastAsia="zh-CN"/>
                    </w:rPr>
                    <w:t>22</w:t>
                  </w:r>
                </w:p>
              </w:tc>
              <w:tc>
                <w:tcPr>
                  <w:tcW w:w="965" w:type="pct"/>
                  <w:tcBorders>
                    <w:tl2br w:val="nil"/>
                    <w:tr2bl w:val="nil"/>
                  </w:tcBorders>
                  <w:noWrap w:val="0"/>
                  <w:vAlign w:val="center"/>
                </w:tcPr>
                <w:p w14:paraId="06D2C354">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170</w:t>
                  </w:r>
                </w:p>
              </w:tc>
              <w:tc>
                <w:tcPr>
                  <w:tcW w:w="965" w:type="pct"/>
                  <w:tcBorders>
                    <w:tl2br w:val="nil"/>
                    <w:tr2bl w:val="nil"/>
                  </w:tcBorders>
                  <w:noWrap w:val="0"/>
                  <w:vAlign w:val="center"/>
                </w:tcPr>
                <w:p w14:paraId="103DF1CC">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1000</w:t>
                  </w:r>
                </w:p>
              </w:tc>
              <w:tc>
                <w:tcPr>
                  <w:tcW w:w="589" w:type="pct"/>
                  <w:tcBorders>
                    <w:tl2br w:val="nil"/>
                    <w:tr2bl w:val="nil"/>
                  </w:tcBorders>
                  <w:noWrap w:val="0"/>
                  <w:vAlign w:val="center"/>
                </w:tcPr>
                <w:p w14:paraId="0623D1F5">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19716B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146C4583">
                  <w:pPr>
                    <w:jc w:val="center"/>
                    <w:rPr>
                      <w:highlight w:val="none"/>
                    </w:rPr>
                  </w:pPr>
                </w:p>
              </w:tc>
              <w:tc>
                <w:tcPr>
                  <w:tcW w:w="437" w:type="pct"/>
                  <w:tcBorders>
                    <w:tl2br w:val="nil"/>
                    <w:tr2bl w:val="nil"/>
                  </w:tcBorders>
                  <w:noWrap w:val="0"/>
                  <w:vAlign w:val="center"/>
                </w:tcPr>
                <w:p w14:paraId="48EC1601">
                  <w:pPr>
                    <w:jc w:val="center"/>
                    <w:rPr>
                      <w:rFonts w:ascii="Times New Roman" w:hAnsi="Times New Roman" w:eastAsia="宋体" w:cs="Times New Roman"/>
                      <w:kern w:val="2"/>
                      <w:sz w:val="21"/>
                      <w:szCs w:val="24"/>
                      <w:highlight w:val="none"/>
                      <w:lang w:val="en-US" w:eastAsia="zh-CN" w:bidi="ar-SA"/>
                    </w:rPr>
                  </w:pPr>
                  <w:r>
                    <w:rPr>
                      <w:highlight w:val="none"/>
                    </w:rPr>
                    <w:t>5</w:t>
                  </w:r>
                </w:p>
              </w:tc>
              <w:tc>
                <w:tcPr>
                  <w:tcW w:w="708" w:type="pct"/>
                  <w:tcBorders>
                    <w:tl2br w:val="nil"/>
                    <w:tr2bl w:val="nil"/>
                  </w:tcBorders>
                  <w:noWrap w:val="0"/>
                  <w:vAlign w:val="center"/>
                </w:tcPr>
                <w:p w14:paraId="67C42AD5">
                  <w:pPr>
                    <w:jc w:val="center"/>
                    <w:rPr>
                      <w:rFonts w:hint="eastAsia"/>
                      <w:highlight w:val="none"/>
                      <w:lang w:val="en-US" w:eastAsia="zh-CN"/>
                    </w:rPr>
                  </w:pPr>
                  <w:r>
                    <w:rPr>
                      <w:rFonts w:hint="eastAsia"/>
                      <w:highlight w:val="none"/>
                      <w:lang w:val="en-US" w:eastAsia="zh-CN"/>
                    </w:rPr>
                    <w:t>镉</w:t>
                  </w:r>
                </w:p>
              </w:tc>
              <w:tc>
                <w:tcPr>
                  <w:tcW w:w="835" w:type="pct"/>
                  <w:tcBorders>
                    <w:tl2br w:val="nil"/>
                    <w:tr2bl w:val="nil"/>
                  </w:tcBorders>
                  <w:noWrap w:val="0"/>
                  <w:vAlign w:val="center"/>
                </w:tcPr>
                <w:p w14:paraId="7A184E61">
                  <w:pPr>
                    <w:jc w:val="center"/>
                    <w:rPr>
                      <w:rFonts w:hint="eastAsia"/>
                      <w:highlight w:val="none"/>
                      <w:lang w:val="en-US" w:eastAsia="zh-CN"/>
                    </w:rPr>
                  </w:pPr>
                  <w:r>
                    <w:rPr>
                      <w:rFonts w:hint="eastAsia"/>
                      <w:highlight w:val="none"/>
                      <w:lang w:val="en-US" w:eastAsia="zh-CN"/>
                    </w:rPr>
                    <w:t>0.14</w:t>
                  </w:r>
                </w:p>
              </w:tc>
              <w:tc>
                <w:tcPr>
                  <w:tcW w:w="965" w:type="pct"/>
                  <w:tcBorders>
                    <w:tl2br w:val="nil"/>
                    <w:tr2bl w:val="nil"/>
                  </w:tcBorders>
                  <w:noWrap w:val="0"/>
                  <w:vAlign w:val="center"/>
                </w:tcPr>
                <w:p w14:paraId="0C0E36F6">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0.6</w:t>
                  </w:r>
                </w:p>
              </w:tc>
              <w:tc>
                <w:tcPr>
                  <w:tcW w:w="965" w:type="pct"/>
                  <w:tcBorders>
                    <w:tl2br w:val="nil"/>
                    <w:tr2bl w:val="nil"/>
                  </w:tcBorders>
                  <w:noWrap w:val="0"/>
                  <w:vAlign w:val="center"/>
                </w:tcPr>
                <w:p w14:paraId="06595F48">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4.0</w:t>
                  </w:r>
                </w:p>
              </w:tc>
              <w:tc>
                <w:tcPr>
                  <w:tcW w:w="589" w:type="pct"/>
                  <w:tcBorders>
                    <w:tl2br w:val="nil"/>
                    <w:tr2bl w:val="nil"/>
                  </w:tcBorders>
                  <w:noWrap w:val="0"/>
                  <w:vAlign w:val="center"/>
                </w:tcPr>
                <w:p w14:paraId="466F263F">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4BFB4F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1ADA601B">
                  <w:pPr>
                    <w:jc w:val="center"/>
                    <w:rPr>
                      <w:highlight w:val="none"/>
                    </w:rPr>
                  </w:pPr>
                </w:p>
              </w:tc>
              <w:tc>
                <w:tcPr>
                  <w:tcW w:w="437" w:type="pct"/>
                  <w:tcBorders>
                    <w:tl2br w:val="nil"/>
                    <w:tr2bl w:val="nil"/>
                  </w:tcBorders>
                  <w:noWrap w:val="0"/>
                  <w:vAlign w:val="center"/>
                </w:tcPr>
                <w:p w14:paraId="52FA4E3F">
                  <w:pPr>
                    <w:jc w:val="center"/>
                    <w:rPr>
                      <w:rFonts w:ascii="Times New Roman" w:hAnsi="Times New Roman" w:eastAsia="宋体" w:cs="Times New Roman"/>
                      <w:kern w:val="2"/>
                      <w:sz w:val="21"/>
                      <w:szCs w:val="24"/>
                      <w:highlight w:val="none"/>
                      <w:lang w:val="en-US" w:eastAsia="zh-CN" w:bidi="ar-SA"/>
                    </w:rPr>
                  </w:pPr>
                  <w:r>
                    <w:rPr>
                      <w:highlight w:val="none"/>
                    </w:rPr>
                    <w:t>6</w:t>
                  </w:r>
                </w:p>
              </w:tc>
              <w:tc>
                <w:tcPr>
                  <w:tcW w:w="708" w:type="pct"/>
                  <w:tcBorders>
                    <w:tl2br w:val="nil"/>
                    <w:tr2bl w:val="nil"/>
                  </w:tcBorders>
                  <w:noWrap w:val="0"/>
                  <w:vAlign w:val="center"/>
                </w:tcPr>
                <w:p w14:paraId="4E4AF909">
                  <w:pPr>
                    <w:jc w:val="center"/>
                    <w:rPr>
                      <w:rFonts w:hint="eastAsia"/>
                      <w:highlight w:val="none"/>
                      <w:lang w:val="en-US" w:eastAsia="zh-CN"/>
                    </w:rPr>
                  </w:pPr>
                  <w:r>
                    <w:rPr>
                      <w:rFonts w:hint="eastAsia"/>
                      <w:highlight w:val="none"/>
                      <w:lang w:val="en-US" w:eastAsia="zh-CN"/>
                    </w:rPr>
                    <w:t>砷</w:t>
                  </w:r>
                </w:p>
              </w:tc>
              <w:tc>
                <w:tcPr>
                  <w:tcW w:w="835" w:type="pct"/>
                  <w:tcBorders>
                    <w:tl2br w:val="nil"/>
                    <w:tr2bl w:val="nil"/>
                  </w:tcBorders>
                  <w:noWrap w:val="0"/>
                  <w:vAlign w:val="center"/>
                </w:tcPr>
                <w:p w14:paraId="2F54E3DC">
                  <w:pPr>
                    <w:jc w:val="center"/>
                    <w:rPr>
                      <w:rFonts w:hint="eastAsia"/>
                      <w:highlight w:val="none"/>
                      <w:lang w:val="en-US" w:eastAsia="zh-CN"/>
                    </w:rPr>
                  </w:pPr>
                  <w:r>
                    <w:rPr>
                      <w:rFonts w:hint="eastAsia"/>
                      <w:highlight w:val="none"/>
                      <w:lang w:val="en-US" w:eastAsia="zh-CN"/>
                    </w:rPr>
                    <w:t>6.82</w:t>
                  </w:r>
                </w:p>
              </w:tc>
              <w:tc>
                <w:tcPr>
                  <w:tcW w:w="965" w:type="pct"/>
                  <w:tcBorders>
                    <w:tl2br w:val="nil"/>
                    <w:tr2bl w:val="nil"/>
                  </w:tcBorders>
                  <w:noWrap w:val="0"/>
                  <w:vAlign w:val="center"/>
                </w:tcPr>
                <w:p w14:paraId="20F71E17">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25</w:t>
                  </w:r>
                </w:p>
              </w:tc>
              <w:tc>
                <w:tcPr>
                  <w:tcW w:w="965" w:type="pct"/>
                  <w:tcBorders>
                    <w:tl2br w:val="nil"/>
                    <w:tr2bl w:val="nil"/>
                  </w:tcBorders>
                  <w:noWrap w:val="0"/>
                  <w:vAlign w:val="center"/>
                </w:tcPr>
                <w:p w14:paraId="612271FC">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100</w:t>
                  </w:r>
                </w:p>
              </w:tc>
              <w:tc>
                <w:tcPr>
                  <w:tcW w:w="589" w:type="pct"/>
                  <w:tcBorders>
                    <w:tl2br w:val="nil"/>
                    <w:tr2bl w:val="nil"/>
                  </w:tcBorders>
                  <w:noWrap w:val="0"/>
                  <w:vAlign w:val="center"/>
                </w:tcPr>
                <w:p w14:paraId="07E1DFA1">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6D29EC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6BB1E0F1">
                  <w:pPr>
                    <w:jc w:val="center"/>
                    <w:rPr>
                      <w:highlight w:val="none"/>
                    </w:rPr>
                  </w:pPr>
                </w:p>
              </w:tc>
              <w:tc>
                <w:tcPr>
                  <w:tcW w:w="437" w:type="pct"/>
                  <w:tcBorders>
                    <w:tl2br w:val="nil"/>
                    <w:tr2bl w:val="nil"/>
                  </w:tcBorders>
                  <w:noWrap w:val="0"/>
                  <w:vAlign w:val="center"/>
                </w:tcPr>
                <w:p w14:paraId="213EAA40">
                  <w:pPr>
                    <w:jc w:val="center"/>
                    <w:rPr>
                      <w:rFonts w:ascii="Times New Roman" w:hAnsi="Times New Roman" w:eastAsia="宋体" w:cs="Times New Roman"/>
                      <w:kern w:val="2"/>
                      <w:sz w:val="21"/>
                      <w:szCs w:val="24"/>
                      <w:highlight w:val="none"/>
                      <w:lang w:val="en-US" w:eastAsia="zh-CN" w:bidi="ar-SA"/>
                    </w:rPr>
                  </w:pPr>
                  <w:r>
                    <w:rPr>
                      <w:highlight w:val="none"/>
                    </w:rPr>
                    <w:t>7</w:t>
                  </w:r>
                </w:p>
              </w:tc>
              <w:tc>
                <w:tcPr>
                  <w:tcW w:w="708" w:type="pct"/>
                  <w:tcBorders>
                    <w:tl2br w:val="nil"/>
                    <w:tr2bl w:val="nil"/>
                  </w:tcBorders>
                  <w:noWrap w:val="0"/>
                  <w:vAlign w:val="center"/>
                </w:tcPr>
                <w:p w14:paraId="61E0812B">
                  <w:pPr>
                    <w:jc w:val="center"/>
                    <w:rPr>
                      <w:rFonts w:hint="eastAsia"/>
                      <w:highlight w:val="none"/>
                      <w:lang w:val="en-US" w:eastAsia="zh-CN"/>
                    </w:rPr>
                  </w:pPr>
                  <w:r>
                    <w:rPr>
                      <w:rFonts w:hint="eastAsia"/>
                      <w:highlight w:val="none"/>
                      <w:lang w:val="en-US" w:eastAsia="zh-CN"/>
                    </w:rPr>
                    <w:t>汞</w:t>
                  </w:r>
                </w:p>
              </w:tc>
              <w:tc>
                <w:tcPr>
                  <w:tcW w:w="835" w:type="pct"/>
                  <w:tcBorders>
                    <w:tl2br w:val="nil"/>
                    <w:tr2bl w:val="nil"/>
                  </w:tcBorders>
                  <w:noWrap w:val="0"/>
                  <w:vAlign w:val="center"/>
                </w:tcPr>
                <w:p w14:paraId="6C25689B">
                  <w:pPr>
                    <w:jc w:val="center"/>
                    <w:rPr>
                      <w:rFonts w:hint="eastAsia"/>
                      <w:highlight w:val="none"/>
                      <w:lang w:val="en-US" w:eastAsia="zh-CN"/>
                    </w:rPr>
                  </w:pPr>
                  <w:r>
                    <w:rPr>
                      <w:rFonts w:hint="eastAsia"/>
                      <w:highlight w:val="none"/>
                      <w:lang w:val="en-US" w:eastAsia="zh-CN"/>
                    </w:rPr>
                    <w:t>0.226</w:t>
                  </w:r>
                </w:p>
              </w:tc>
              <w:tc>
                <w:tcPr>
                  <w:tcW w:w="965" w:type="pct"/>
                  <w:tcBorders>
                    <w:tl2br w:val="nil"/>
                    <w:tr2bl w:val="nil"/>
                  </w:tcBorders>
                  <w:noWrap w:val="0"/>
                  <w:vAlign w:val="center"/>
                </w:tcPr>
                <w:p w14:paraId="42EFE539">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3.4</w:t>
                  </w:r>
                </w:p>
              </w:tc>
              <w:tc>
                <w:tcPr>
                  <w:tcW w:w="965" w:type="pct"/>
                  <w:tcBorders>
                    <w:tl2br w:val="nil"/>
                    <w:tr2bl w:val="nil"/>
                  </w:tcBorders>
                  <w:noWrap w:val="0"/>
                  <w:vAlign w:val="center"/>
                </w:tcPr>
                <w:p w14:paraId="6DF9F046">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6.0</w:t>
                  </w:r>
                </w:p>
              </w:tc>
              <w:tc>
                <w:tcPr>
                  <w:tcW w:w="589" w:type="pct"/>
                  <w:tcBorders>
                    <w:tl2br w:val="nil"/>
                    <w:tr2bl w:val="nil"/>
                  </w:tcBorders>
                  <w:noWrap w:val="0"/>
                  <w:vAlign w:val="center"/>
                </w:tcPr>
                <w:p w14:paraId="4A66C0C3">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2A1532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51F6939F">
                  <w:pPr>
                    <w:jc w:val="center"/>
                    <w:rPr>
                      <w:highlight w:val="none"/>
                    </w:rPr>
                  </w:pPr>
                </w:p>
              </w:tc>
              <w:tc>
                <w:tcPr>
                  <w:tcW w:w="437" w:type="pct"/>
                  <w:tcBorders>
                    <w:tl2br w:val="nil"/>
                    <w:tr2bl w:val="nil"/>
                  </w:tcBorders>
                  <w:noWrap w:val="0"/>
                  <w:vAlign w:val="center"/>
                </w:tcPr>
                <w:p w14:paraId="1E3A9A29">
                  <w:pPr>
                    <w:jc w:val="center"/>
                    <w:rPr>
                      <w:rFonts w:ascii="Times New Roman" w:hAnsi="Times New Roman" w:eastAsia="宋体" w:cs="Times New Roman"/>
                      <w:kern w:val="2"/>
                      <w:sz w:val="21"/>
                      <w:szCs w:val="24"/>
                      <w:highlight w:val="none"/>
                      <w:lang w:val="en-US" w:eastAsia="zh-CN" w:bidi="ar-SA"/>
                    </w:rPr>
                  </w:pPr>
                  <w:r>
                    <w:rPr>
                      <w:highlight w:val="none"/>
                    </w:rPr>
                    <w:t>8</w:t>
                  </w:r>
                </w:p>
              </w:tc>
              <w:tc>
                <w:tcPr>
                  <w:tcW w:w="708" w:type="pct"/>
                  <w:tcBorders>
                    <w:tl2br w:val="nil"/>
                    <w:tr2bl w:val="nil"/>
                  </w:tcBorders>
                  <w:noWrap w:val="0"/>
                  <w:vAlign w:val="center"/>
                </w:tcPr>
                <w:p w14:paraId="086E7015">
                  <w:pPr>
                    <w:jc w:val="center"/>
                    <w:rPr>
                      <w:rFonts w:hint="eastAsia"/>
                      <w:highlight w:val="none"/>
                      <w:lang w:val="en-US" w:eastAsia="zh-CN"/>
                    </w:rPr>
                  </w:pPr>
                  <w:r>
                    <w:rPr>
                      <w:rFonts w:hint="eastAsia"/>
                      <w:highlight w:val="none"/>
                      <w:lang w:val="en-US" w:eastAsia="zh-CN"/>
                    </w:rPr>
                    <w:t>锌</w:t>
                  </w:r>
                </w:p>
              </w:tc>
              <w:tc>
                <w:tcPr>
                  <w:tcW w:w="835" w:type="pct"/>
                  <w:tcBorders>
                    <w:tl2br w:val="nil"/>
                    <w:tr2bl w:val="nil"/>
                  </w:tcBorders>
                  <w:noWrap w:val="0"/>
                  <w:vAlign w:val="center"/>
                </w:tcPr>
                <w:p w14:paraId="0DFE1FB8">
                  <w:pPr>
                    <w:jc w:val="center"/>
                    <w:rPr>
                      <w:rFonts w:hint="eastAsia"/>
                      <w:highlight w:val="none"/>
                      <w:lang w:val="en-US" w:eastAsia="zh-CN"/>
                    </w:rPr>
                  </w:pPr>
                  <w:r>
                    <w:rPr>
                      <w:rFonts w:hint="eastAsia"/>
                      <w:highlight w:val="none"/>
                      <w:lang w:val="en-US" w:eastAsia="zh-CN"/>
                    </w:rPr>
                    <w:t>57</w:t>
                  </w:r>
                </w:p>
              </w:tc>
              <w:tc>
                <w:tcPr>
                  <w:tcW w:w="965" w:type="pct"/>
                  <w:tcBorders>
                    <w:tl2br w:val="nil"/>
                    <w:tr2bl w:val="nil"/>
                  </w:tcBorders>
                  <w:noWrap w:val="0"/>
                  <w:vAlign w:val="center"/>
                </w:tcPr>
                <w:p w14:paraId="4E578C2D">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300</w:t>
                  </w:r>
                </w:p>
              </w:tc>
              <w:tc>
                <w:tcPr>
                  <w:tcW w:w="965" w:type="pct"/>
                  <w:tcBorders>
                    <w:tl2br w:val="nil"/>
                    <w:tr2bl w:val="nil"/>
                  </w:tcBorders>
                  <w:noWrap w:val="0"/>
                  <w:vAlign w:val="center"/>
                </w:tcPr>
                <w:p w14:paraId="7F794F98">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w:t>
                  </w:r>
                </w:p>
              </w:tc>
              <w:tc>
                <w:tcPr>
                  <w:tcW w:w="589" w:type="pct"/>
                  <w:tcBorders>
                    <w:tl2br w:val="nil"/>
                    <w:tr2bl w:val="nil"/>
                  </w:tcBorders>
                  <w:noWrap w:val="0"/>
                  <w:vAlign w:val="center"/>
                </w:tcPr>
                <w:p w14:paraId="599C8DE1">
                  <w:pPr>
                    <w:jc w:val="center"/>
                    <w:rPr>
                      <w:rFonts w:ascii="Times New Roman" w:hAnsi="Times New Roman" w:eastAsia="宋体" w:cs="Times New Roman"/>
                      <w:kern w:val="2"/>
                      <w:sz w:val="21"/>
                      <w:szCs w:val="24"/>
                      <w:highlight w:val="none"/>
                      <w:lang w:val="en-US" w:eastAsia="zh-CN" w:bidi="ar-SA"/>
                    </w:rPr>
                  </w:pPr>
                  <w:r>
                    <w:rPr>
                      <w:highlight w:val="none"/>
                    </w:rPr>
                    <w:t>达标</w:t>
                  </w:r>
                </w:p>
              </w:tc>
            </w:tr>
            <w:tr w14:paraId="2D864A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1E9F07D6">
                  <w:pPr>
                    <w:jc w:val="center"/>
                    <w:rPr>
                      <w:highlight w:val="none"/>
                    </w:rPr>
                  </w:pPr>
                </w:p>
              </w:tc>
              <w:tc>
                <w:tcPr>
                  <w:tcW w:w="437" w:type="pct"/>
                  <w:tcBorders>
                    <w:tl2br w:val="nil"/>
                    <w:tr2bl w:val="nil"/>
                  </w:tcBorders>
                  <w:noWrap w:val="0"/>
                  <w:vAlign w:val="center"/>
                </w:tcPr>
                <w:p w14:paraId="7CE4920F">
                  <w:pPr>
                    <w:jc w:val="center"/>
                    <w:rPr>
                      <w:rFonts w:ascii="Times New Roman" w:hAnsi="Times New Roman" w:eastAsia="宋体" w:cs="Times New Roman"/>
                      <w:kern w:val="2"/>
                      <w:sz w:val="21"/>
                      <w:szCs w:val="24"/>
                      <w:highlight w:val="none"/>
                      <w:lang w:val="en-US" w:eastAsia="zh-CN" w:bidi="ar-SA"/>
                    </w:rPr>
                  </w:pPr>
                  <w:r>
                    <w:rPr>
                      <w:highlight w:val="none"/>
                    </w:rPr>
                    <w:t>9</w:t>
                  </w:r>
                </w:p>
              </w:tc>
              <w:tc>
                <w:tcPr>
                  <w:tcW w:w="708" w:type="pct"/>
                  <w:tcBorders>
                    <w:tl2br w:val="nil"/>
                    <w:tr2bl w:val="nil"/>
                  </w:tcBorders>
                  <w:noWrap w:val="0"/>
                  <w:vAlign w:val="center"/>
                </w:tcPr>
                <w:p w14:paraId="20A9F74B">
                  <w:pPr>
                    <w:jc w:val="center"/>
                    <w:rPr>
                      <w:rFonts w:hint="eastAsia"/>
                      <w:highlight w:val="none"/>
                      <w:lang w:val="en-US" w:eastAsia="zh-CN"/>
                    </w:rPr>
                  </w:pPr>
                  <w:r>
                    <w:rPr>
                      <w:rFonts w:hint="eastAsia"/>
                      <w:highlight w:val="none"/>
                      <w:lang w:val="en-US" w:eastAsia="zh-CN"/>
                    </w:rPr>
                    <w:t>铬</w:t>
                  </w:r>
                </w:p>
              </w:tc>
              <w:tc>
                <w:tcPr>
                  <w:tcW w:w="835" w:type="pct"/>
                  <w:tcBorders>
                    <w:tl2br w:val="nil"/>
                    <w:tr2bl w:val="nil"/>
                  </w:tcBorders>
                  <w:noWrap w:val="0"/>
                  <w:vAlign w:val="center"/>
                </w:tcPr>
                <w:p w14:paraId="33886B06">
                  <w:pPr>
                    <w:jc w:val="center"/>
                    <w:rPr>
                      <w:rFonts w:hint="eastAsia"/>
                      <w:highlight w:val="none"/>
                      <w:lang w:val="en-US" w:eastAsia="zh-CN"/>
                    </w:rPr>
                  </w:pPr>
                  <w:r>
                    <w:rPr>
                      <w:rFonts w:hint="eastAsia"/>
                      <w:highlight w:val="none"/>
                      <w:lang w:val="en-US" w:eastAsia="zh-CN"/>
                    </w:rPr>
                    <w:t>50</w:t>
                  </w:r>
                </w:p>
              </w:tc>
              <w:tc>
                <w:tcPr>
                  <w:tcW w:w="965" w:type="pct"/>
                  <w:tcBorders>
                    <w:tl2br w:val="nil"/>
                    <w:tr2bl w:val="nil"/>
                  </w:tcBorders>
                  <w:noWrap w:val="0"/>
                  <w:vAlign w:val="center"/>
                </w:tcPr>
                <w:p w14:paraId="1E074554">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250</w:t>
                  </w:r>
                </w:p>
              </w:tc>
              <w:tc>
                <w:tcPr>
                  <w:tcW w:w="965" w:type="pct"/>
                  <w:tcBorders>
                    <w:tl2br w:val="nil"/>
                    <w:tr2bl w:val="nil"/>
                  </w:tcBorders>
                  <w:noWrap w:val="0"/>
                  <w:vAlign w:val="center"/>
                </w:tcPr>
                <w:p w14:paraId="764100D3">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1300</w:t>
                  </w:r>
                </w:p>
              </w:tc>
              <w:tc>
                <w:tcPr>
                  <w:tcW w:w="589" w:type="pct"/>
                  <w:tcBorders>
                    <w:tl2br w:val="nil"/>
                    <w:tr2bl w:val="nil"/>
                  </w:tcBorders>
                  <w:noWrap w:val="0"/>
                  <w:vAlign w:val="center"/>
                </w:tcPr>
                <w:p w14:paraId="06DB53DD">
                  <w:pPr>
                    <w:jc w:val="center"/>
                    <w:rPr>
                      <w:rFonts w:ascii="Times New Roman" w:hAnsi="Times New Roman" w:eastAsia="宋体" w:cs="Times New Roman"/>
                      <w:kern w:val="2"/>
                      <w:sz w:val="21"/>
                      <w:szCs w:val="24"/>
                      <w:highlight w:val="none"/>
                      <w:lang w:val="en-US" w:eastAsia="zh-CN" w:bidi="ar-SA"/>
                    </w:rPr>
                  </w:pPr>
                  <w:r>
                    <w:rPr>
                      <w:highlight w:val="none"/>
                    </w:rPr>
                    <w:t>达标</w:t>
                  </w:r>
                </w:p>
              </w:tc>
            </w:tr>
          </w:tbl>
          <w:p w14:paraId="4A5BBE4B">
            <w:pPr>
              <w:adjustRightInd w:val="0"/>
              <w:snapToGrid w:val="0"/>
              <w:spacing w:line="460" w:lineRule="exact"/>
              <w:ind w:firstLine="420" w:firstLineChars="200"/>
              <w:rPr>
                <w:rFonts w:hint="default" w:ascii="Times New Roman" w:hAnsi="Times New Roman" w:eastAsia="宋体" w:cs="Times New Roman"/>
                <w:sz w:val="24"/>
                <w:szCs w:val="24"/>
              </w:rPr>
            </w:pPr>
            <w:r>
              <w:rPr>
                <w:rFonts w:hint="default" w:ascii="宋体" w:eastAsia="宋体"/>
                <w:sz w:val="21"/>
                <w:szCs w:val="24"/>
                <w:highlight w:val="none"/>
              </w:rPr>
              <w:t>注：pH单位无量纲。</w:t>
            </w:r>
          </w:p>
          <w:p w14:paraId="03DDA8BA">
            <w:pPr>
              <w:adjustRightInd w:val="0"/>
              <w:snapToGrid w:val="0"/>
              <w:spacing w:line="460" w:lineRule="exact"/>
              <w:ind w:firstLine="482" w:firstLineChars="200"/>
              <w:rPr>
                <w:rFonts w:hint="default" w:ascii="Times New Roman" w:hAnsi="Times New Roman" w:eastAsia="宋体" w:cs="Times New Roman"/>
                <w:sz w:val="24"/>
                <w:szCs w:val="24"/>
                <w:lang w:val="en-US" w:eastAsia="zh-CN"/>
              </w:rPr>
            </w:pPr>
            <w:r>
              <w:rPr>
                <w:rFonts w:hint="eastAsia" w:cs="Times New Roman"/>
                <w:b/>
                <w:bCs/>
                <w:kern w:val="0"/>
                <w:sz w:val="24"/>
                <w:szCs w:val="24"/>
                <w:lang w:val="en-US" w:eastAsia="zh-CN"/>
              </w:rPr>
              <w:t>3.2.5</w:t>
            </w:r>
            <w:r>
              <w:rPr>
                <w:rFonts w:hint="default" w:ascii="Times New Roman" w:hAnsi="Times New Roman" w:eastAsia="宋体" w:cs="Times New Roman"/>
                <w:b/>
                <w:bCs/>
                <w:kern w:val="0"/>
                <w:sz w:val="24"/>
                <w:szCs w:val="24"/>
                <w:lang w:val="en-US" w:eastAsia="zh-CN"/>
              </w:rPr>
              <w:t>生态环境现状调查</w:t>
            </w:r>
          </w:p>
          <w:p w14:paraId="14B95CEA">
            <w:pPr>
              <w:adjustRightInd w:val="0"/>
              <w:snapToGrid w:val="0"/>
              <w:spacing w:line="460" w:lineRule="exact"/>
              <w:ind w:firstLine="482" w:firstLineChars="200"/>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1、</w:t>
            </w:r>
            <w:r>
              <w:rPr>
                <w:rFonts w:hint="default" w:ascii="Times New Roman" w:hAnsi="Times New Roman" w:eastAsia="宋体" w:cs="Times New Roman"/>
                <w:b/>
                <w:bCs/>
                <w:sz w:val="24"/>
                <w:szCs w:val="24"/>
                <w:lang w:val="en-US" w:eastAsia="zh-CN"/>
              </w:rPr>
              <w:t>陆域生态现状</w:t>
            </w:r>
          </w:p>
          <w:p w14:paraId="37FE8A8F">
            <w:pPr>
              <w:adjustRightInd w:val="0"/>
              <w:snapToGrid w:val="0"/>
              <w:spacing w:line="460" w:lineRule="exact"/>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陆域动物：</w:t>
            </w:r>
          </w:p>
          <w:p w14:paraId="3AC1AE73">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本项目评价区域受人类活动影响，地表植被以人工植被为主，大型野生动物已相继绝迹，区域内现有野生动物以两栖爬行动物、鸟类和小型哺乳动物为主。</w:t>
            </w:r>
          </w:p>
          <w:p w14:paraId="7F6794DC">
            <w:pPr>
              <w:widowControl/>
              <w:adjustRightInd w:val="0"/>
              <w:snapToGrid w:val="0"/>
              <w:spacing w:line="500" w:lineRule="exact"/>
              <w:ind w:firstLine="480" w:firstLineChars="200"/>
              <w:rPr>
                <w:rFonts w:hint="default" w:ascii="Times New Roman" w:hAnsi="Times New Roman" w:eastAsia="宋体" w:cs="Times New Roman"/>
                <w:b w:val="0"/>
                <w:bCs w:val="0"/>
                <w:color w:val="auto"/>
                <w:kern w:val="0"/>
                <w:sz w:val="24"/>
                <w:szCs w:val="24"/>
              </w:rPr>
            </w:pPr>
            <w:r>
              <w:rPr>
                <w:rFonts w:hint="eastAsia" w:cs="Times New Roman"/>
                <w:b w:val="0"/>
                <w:bCs w:val="0"/>
                <w:color w:val="auto"/>
                <w:kern w:val="0"/>
                <w:sz w:val="24"/>
                <w:szCs w:val="24"/>
                <w:lang w:val="en-US" w:eastAsia="zh-CN"/>
              </w:rPr>
              <w:t>（1）</w:t>
            </w:r>
            <w:r>
              <w:rPr>
                <w:rFonts w:hint="default" w:ascii="Times New Roman" w:hAnsi="Times New Roman" w:eastAsia="宋体" w:cs="Times New Roman"/>
                <w:b w:val="0"/>
                <w:bCs w:val="0"/>
                <w:color w:val="auto"/>
                <w:kern w:val="0"/>
                <w:sz w:val="24"/>
                <w:szCs w:val="24"/>
              </w:rPr>
              <w:t>两栖动物</w:t>
            </w:r>
          </w:p>
          <w:p w14:paraId="5F266BFA">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评价范围人工开发程度高，以农田为主导，林地、水域占比较少，两栖动物以泽陆蛙、中华蟾蜍等为主，无重点保护种类动物。</w:t>
            </w:r>
          </w:p>
          <w:p w14:paraId="022A7084">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评价范围内两栖动物生态类型仅为1种，即陆栖－静水型。陆栖静水型（TQ）。两栖动物根据生境条件不同，可分为草地、灌丛、农田、水域、乔木五类栖息地类型。</w:t>
            </w:r>
          </w:p>
          <w:p w14:paraId="496CB50E">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草地型：以草本植物为主（伴有水塘、水坑）的生境类型，有黑斑侧褶蛙和金线侧褶蛙。</w:t>
            </w:r>
          </w:p>
          <w:p w14:paraId="2EC0383F">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灌丛型：以低矮灌丛为主（伴有水塘、水坑）的生境类型，有黑斑侧褶蛙、金线侧褶蛙、泽陆蛙和中华蟾蜍。</w:t>
            </w:r>
          </w:p>
          <w:p w14:paraId="16872139">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农田型：以村庄附近农田为主的生境类型，4类物种均有发现。</w:t>
            </w:r>
          </w:p>
          <w:p w14:paraId="47D37C64">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蛙类喜在稻田或静水环境中产卵，在水域多和杂草灌木丰茂的地区常常喜欢聚集，评价区内多以低矮灌木丛和草地，农田水域生境为主，其生境较为符合蛙类的栖息地类型。</w:t>
            </w:r>
          </w:p>
          <w:p w14:paraId="3DBAC2D2">
            <w:pPr>
              <w:widowControl/>
              <w:adjustRightInd w:val="0"/>
              <w:snapToGrid w:val="0"/>
              <w:spacing w:line="500" w:lineRule="exact"/>
              <w:ind w:firstLine="480" w:firstLineChars="200"/>
              <w:rPr>
                <w:rFonts w:hint="default" w:ascii="Times New Roman" w:hAnsi="Times New Roman" w:eastAsia="宋体" w:cs="Times New Roman"/>
                <w:b w:val="0"/>
                <w:bCs w:val="0"/>
                <w:color w:val="auto"/>
                <w:kern w:val="0"/>
                <w:sz w:val="24"/>
                <w:szCs w:val="24"/>
              </w:rPr>
            </w:pPr>
            <w:r>
              <w:rPr>
                <w:rFonts w:hint="eastAsia" w:cs="Times New Roman"/>
                <w:b w:val="0"/>
                <w:bCs w:val="0"/>
                <w:color w:val="auto"/>
                <w:kern w:val="0"/>
                <w:sz w:val="24"/>
                <w:szCs w:val="24"/>
                <w:lang w:val="en-US" w:eastAsia="zh-CN"/>
              </w:rPr>
              <w:t>（2）</w:t>
            </w:r>
            <w:r>
              <w:rPr>
                <w:rFonts w:hint="default" w:ascii="Times New Roman" w:hAnsi="Times New Roman" w:eastAsia="宋体" w:cs="Times New Roman"/>
                <w:b w:val="0"/>
                <w:bCs w:val="0"/>
                <w:color w:val="auto"/>
                <w:kern w:val="0"/>
                <w:sz w:val="24"/>
                <w:szCs w:val="24"/>
              </w:rPr>
              <w:t>爬行动物</w:t>
            </w:r>
          </w:p>
          <w:p w14:paraId="7F6242A7">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评价区内爬行动物主要为壁虎、赤链蛇、鳖等，无国家级重点保护物种。</w:t>
            </w:r>
          </w:p>
          <w:p w14:paraId="64341915">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依据爬行动物成体的主要栖息地，并参考相关资料和文献，可将爬行动物生态类型分为6种，住宅型、灌丛石隙型、水栖型、林栖傍水型、土栖型和树栖型。评价区爬行类共有4种生态类型。分别是：</w:t>
            </w:r>
          </w:p>
          <w:p w14:paraId="238C0A52">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住宅型，无蹼壁虎是在江苏省广泛分布的一种小型爬行动物，它们主要生活在农村老式砖瓦房和木质结构的房屋内，一般昼伏夜出，将卵产在墙壁的缝隙中自然孵化；</w:t>
            </w:r>
          </w:p>
          <w:p w14:paraId="03696A77">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灌丛石隙型，铜蜓蜥、赤链蛇归属于该类型；</w:t>
            </w:r>
          </w:p>
          <w:p w14:paraId="041F59AA">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水栖型，鳖、红纹滞卵蛇经常栖息在小水塘、池塘水库及稻田中；</w:t>
            </w:r>
          </w:p>
          <w:p w14:paraId="15859833">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林栖傍水型，双斑锦蛇经常活动在森林边缘有水源的地方，如山坡溪流旁的灌丛、草丛中。</w:t>
            </w:r>
          </w:p>
          <w:p w14:paraId="52F49DF4">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土栖型和树栖型爬行动物均未发现。</w:t>
            </w:r>
          </w:p>
          <w:p w14:paraId="5C834921">
            <w:pPr>
              <w:widowControl/>
              <w:adjustRightInd w:val="0"/>
              <w:snapToGrid w:val="0"/>
              <w:spacing w:line="500" w:lineRule="exact"/>
              <w:ind w:firstLine="480" w:firstLineChars="200"/>
              <w:rPr>
                <w:rFonts w:hint="default" w:ascii="Times New Roman" w:hAnsi="Times New Roman" w:eastAsia="宋体" w:cs="Times New Roman"/>
                <w:b w:val="0"/>
                <w:bCs w:val="0"/>
                <w:color w:val="auto"/>
                <w:kern w:val="0"/>
                <w:sz w:val="24"/>
                <w:szCs w:val="24"/>
              </w:rPr>
            </w:pPr>
            <w:r>
              <w:rPr>
                <w:rFonts w:hint="eastAsia" w:cs="Times New Roman"/>
                <w:b w:val="0"/>
                <w:bCs w:val="0"/>
                <w:color w:val="auto"/>
                <w:kern w:val="0"/>
                <w:sz w:val="24"/>
                <w:szCs w:val="24"/>
                <w:lang w:val="en-US" w:eastAsia="zh-CN"/>
              </w:rPr>
              <w:t>（3）</w:t>
            </w:r>
            <w:r>
              <w:rPr>
                <w:rFonts w:hint="default" w:ascii="Times New Roman" w:hAnsi="Times New Roman" w:eastAsia="宋体" w:cs="Times New Roman"/>
                <w:b w:val="0"/>
                <w:bCs w:val="0"/>
                <w:color w:val="auto"/>
                <w:kern w:val="0"/>
                <w:sz w:val="24"/>
                <w:szCs w:val="24"/>
              </w:rPr>
              <w:t>鸟类</w:t>
            </w:r>
          </w:p>
          <w:p w14:paraId="7EFBA2F9">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鸟类群落是生态系统典型生物类群，对环境变化较为敏感。评价范围内的鸟类生境包括水塘、农田、河道、林地、灌草丛、村落等。评价范围内水塘为人工养殖鱼塘，河流为沟渠及京杭运河，京杭运河</w:t>
            </w:r>
            <w:r>
              <w:rPr>
                <w:rFonts w:hint="eastAsia" w:cs="Times New Roman"/>
                <w:color w:val="auto"/>
                <w:kern w:val="0"/>
                <w:sz w:val="24"/>
                <w:szCs w:val="24"/>
                <w:lang w:eastAsia="zh-CN"/>
              </w:rPr>
              <w:t>具有</w:t>
            </w:r>
            <w:r>
              <w:rPr>
                <w:rFonts w:hint="default" w:ascii="Times New Roman" w:hAnsi="Times New Roman" w:eastAsia="宋体" w:cs="Times New Roman"/>
                <w:color w:val="auto"/>
                <w:kern w:val="0"/>
                <w:sz w:val="24"/>
                <w:szCs w:val="24"/>
              </w:rPr>
              <w:t>通航功能，船只众多不合适鸟类觅食、栖息。评价范围内的鸟类生境以农田、村庄和防护林为主，生境面积小，且较为单一，导致鸟类物种多样性也很低，发现到的鸟类大多数为麻雀、喜鹊、乌鸫、珠颈斑鸠等常见留鸟。</w:t>
            </w:r>
          </w:p>
          <w:p w14:paraId="23D602FC">
            <w:pPr>
              <w:widowControl/>
              <w:adjustRightInd w:val="0"/>
              <w:snapToGrid w:val="0"/>
              <w:spacing w:line="500" w:lineRule="exact"/>
              <w:ind w:firstLine="480" w:firstLineChars="200"/>
              <w:rPr>
                <w:rFonts w:hint="default" w:ascii="Times New Roman" w:hAnsi="Times New Roman" w:eastAsia="宋体" w:cs="Times New Roman"/>
                <w:b w:val="0"/>
                <w:bCs w:val="0"/>
                <w:color w:val="auto"/>
                <w:kern w:val="0"/>
                <w:sz w:val="24"/>
                <w:szCs w:val="24"/>
              </w:rPr>
            </w:pPr>
            <w:r>
              <w:rPr>
                <w:rFonts w:hint="eastAsia" w:cs="Times New Roman"/>
                <w:b w:val="0"/>
                <w:bCs w:val="0"/>
                <w:color w:val="auto"/>
                <w:kern w:val="0"/>
                <w:sz w:val="24"/>
                <w:szCs w:val="24"/>
                <w:lang w:val="en-US" w:eastAsia="zh-CN"/>
              </w:rPr>
              <w:t>（4）</w:t>
            </w:r>
            <w:r>
              <w:rPr>
                <w:rFonts w:hint="default" w:ascii="Times New Roman" w:hAnsi="Times New Roman" w:eastAsia="宋体" w:cs="Times New Roman"/>
                <w:b w:val="0"/>
                <w:bCs w:val="0"/>
                <w:color w:val="auto"/>
                <w:kern w:val="0"/>
                <w:sz w:val="24"/>
                <w:szCs w:val="24"/>
              </w:rPr>
              <w:t>哺乳动物</w:t>
            </w:r>
          </w:p>
          <w:p w14:paraId="51E5A4AD">
            <w:pPr>
              <w:widowControl/>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哺乳动物以啮齿类、翼手类为主，其中，褐家鼠、小家鼠、黑线姬鼠一般栖居在城乡住宅、仓库及其附近的田野里，主要活动在阴沟、厨房、畜禽厩舍、垃圾堆、农田、草地及荒地等处。黄鼬主要栖息于林地内及边缘灌丛等隐蔽性较好的生境。东北刺猬适应于野外多种生境，构成了当地兽类的主要组成部分。蝙蝠类在黄昏开始活动，在空中捕食各种小飞虫，凌晨前归隐，栖居于屋檐、墙缝、树洞等处。</w:t>
            </w:r>
          </w:p>
          <w:p w14:paraId="2843081A">
            <w:pPr>
              <w:adjustRightInd w:val="0"/>
              <w:snapToGrid w:val="0"/>
              <w:spacing w:line="460" w:lineRule="exact"/>
              <w:ind w:firstLine="482" w:firstLineChars="200"/>
              <w:rPr>
                <w:rFonts w:hint="default" w:ascii="Times New Roman" w:hAnsi="Times New Roman" w:eastAsia="宋体"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陆域植物：</w:t>
            </w:r>
          </w:p>
          <w:p w14:paraId="3B2E907D">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auto"/>
                <w:kern w:val="0"/>
                <w:sz w:val="24"/>
                <w:szCs w:val="24"/>
              </w:rPr>
              <w:t>本工程评价范围内植物种类以意杨乔木和绿化种植的夹竹桃灌木和麦冬等草本为主，常见的有杨属（</w:t>
            </w:r>
            <w:r>
              <w:rPr>
                <w:rFonts w:hint="default" w:ascii="Times New Roman" w:hAnsi="Times New Roman" w:eastAsia="宋体" w:cs="Times New Roman"/>
                <w:i/>
                <w:color w:val="auto"/>
                <w:kern w:val="0"/>
                <w:sz w:val="24"/>
                <w:szCs w:val="24"/>
              </w:rPr>
              <w:t>Populus</w:t>
            </w:r>
            <w:r>
              <w:rPr>
                <w:rFonts w:hint="eastAsia" w:ascii="Times New Roman" w:hAnsi="Times New Roman" w:eastAsia="宋体" w:cs="Times New Roman"/>
                <w:i/>
                <w:color w:val="auto"/>
                <w:kern w:val="0"/>
                <w:sz w:val="24"/>
                <w:szCs w:val="24"/>
                <w:lang w:val="en-US" w:eastAsia="zh-CN"/>
              </w:rPr>
              <w:t xml:space="preserve"> </w:t>
            </w:r>
            <w:r>
              <w:rPr>
                <w:rFonts w:hint="default" w:ascii="Times New Roman" w:hAnsi="Times New Roman" w:eastAsia="宋体" w:cs="Times New Roman"/>
                <w:i/>
                <w:color w:val="auto"/>
                <w:kern w:val="0"/>
                <w:sz w:val="24"/>
                <w:szCs w:val="24"/>
              </w:rPr>
              <w:t xml:space="preserve"> </w:t>
            </w:r>
            <w:r>
              <w:rPr>
                <w:rFonts w:hint="default" w:ascii="Times New Roman" w:hAnsi="Times New Roman" w:eastAsia="宋体" w:cs="Times New Roman"/>
                <w:color w:val="auto"/>
                <w:kern w:val="0"/>
                <w:sz w:val="24"/>
                <w:szCs w:val="24"/>
              </w:rPr>
              <w:t>L．）、山麦冬属（</w:t>
            </w:r>
            <w:r>
              <w:rPr>
                <w:rFonts w:hint="default" w:ascii="Times New Roman" w:hAnsi="Times New Roman" w:eastAsia="宋体" w:cs="Times New Roman"/>
                <w:i/>
                <w:color w:val="auto"/>
                <w:kern w:val="0"/>
                <w:sz w:val="24"/>
                <w:szCs w:val="24"/>
              </w:rPr>
              <w:t>Liriope</w:t>
            </w:r>
            <w:r>
              <w:rPr>
                <w:rFonts w:hint="default" w:ascii="Times New Roman" w:hAnsi="Times New Roman" w:eastAsia="宋体" w:cs="Times New Roman"/>
                <w:color w:val="auto"/>
                <w:kern w:val="0"/>
                <w:sz w:val="24"/>
                <w:szCs w:val="24"/>
              </w:rPr>
              <w:t xml:space="preserve"> Lour. ）、葎草属（</w:t>
            </w:r>
            <w:r>
              <w:rPr>
                <w:rFonts w:hint="default" w:ascii="Times New Roman" w:hAnsi="Times New Roman" w:eastAsia="宋体" w:cs="Times New Roman"/>
                <w:i/>
                <w:color w:val="auto"/>
                <w:kern w:val="0"/>
                <w:sz w:val="24"/>
                <w:szCs w:val="24"/>
              </w:rPr>
              <w:t>Humulus</w:t>
            </w:r>
            <w:r>
              <w:rPr>
                <w:rFonts w:hint="default" w:ascii="Times New Roman" w:hAnsi="Times New Roman" w:eastAsia="宋体" w:cs="Times New Roman"/>
                <w:color w:val="auto"/>
                <w:kern w:val="0"/>
                <w:sz w:val="24"/>
                <w:szCs w:val="24"/>
              </w:rPr>
              <w:t xml:space="preserve">  L．）、狗尾草属（</w:t>
            </w:r>
            <w:r>
              <w:rPr>
                <w:rFonts w:hint="default" w:ascii="Times New Roman" w:hAnsi="Times New Roman" w:eastAsia="宋体" w:cs="Times New Roman"/>
                <w:i/>
                <w:color w:val="auto"/>
                <w:kern w:val="0"/>
                <w:sz w:val="24"/>
                <w:szCs w:val="24"/>
              </w:rPr>
              <w:t>Setaria</w:t>
            </w:r>
            <w:r>
              <w:rPr>
                <w:rFonts w:hint="default" w:ascii="Times New Roman" w:hAnsi="Times New Roman" w:eastAsia="宋体" w:cs="Times New Roman"/>
                <w:color w:val="auto"/>
                <w:kern w:val="0"/>
                <w:sz w:val="24"/>
                <w:szCs w:val="24"/>
              </w:rPr>
              <w:t xml:space="preserve">  Beauv．）等。</w:t>
            </w:r>
          </w:p>
          <w:p w14:paraId="4830E64F">
            <w:pPr>
              <w:adjustRightInd w:val="0"/>
              <w:snapToGrid w:val="0"/>
              <w:spacing w:line="460" w:lineRule="exact"/>
              <w:ind w:firstLine="482" w:firstLineChars="200"/>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2、</w:t>
            </w:r>
            <w:r>
              <w:rPr>
                <w:rFonts w:hint="default" w:ascii="Times New Roman" w:hAnsi="Times New Roman" w:eastAsia="宋体" w:cs="Times New Roman"/>
                <w:b/>
                <w:bCs/>
                <w:sz w:val="24"/>
                <w:szCs w:val="24"/>
                <w:lang w:val="en-US" w:eastAsia="zh-CN"/>
              </w:rPr>
              <w:t>水域生态现状</w:t>
            </w:r>
          </w:p>
          <w:p w14:paraId="56584FDE">
            <w:pPr>
              <w:widowControl/>
              <w:adjustRightInd w:val="0"/>
              <w:snapToGrid w:val="0"/>
              <w:spacing w:line="500" w:lineRule="exact"/>
              <w:ind w:firstLine="480" w:firstLineChars="200"/>
              <w:rPr>
                <w:color w:val="auto"/>
                <w:kern w:val="0"/>
                <w:sz w:val="24"/>
                <w:szCs w:val="24"/>
              </w:rPr>
            </w:pPr>
            <w:r>
              <w:rPr>
                <w:rFonts w:hint="eastAsia"/>
                <w:color w:val="auto"/>
                <w:kern w:val="0"/>
                <w:sz w:val="24"/>
                <w:szCs w:val="24"/>
                <w:lang w:val="en-US" w:eastAsia="zh-CN"/>
              </w:rPr>
              <w:t>（1）</w:t>
            </w:r>
            <w:r>
              <w:rPr>
                <w:rFonts w:hint="eastAsia"/>
                <w:color w:val="auto"/>
                <w:kern w:val="0"/>
                <w:sz w:val="24"/>
                <w:szCs w:val="24"/>
              </w:rPr>
              <w:t>浮游植物</w:t>
            </w:r>
          </w:p>
          <w:p w14:paraId="1AB44AC3">
            <w:pPr>
              <w:adjustRightInd w:val="0"/>
              <w:snapToGrid w:val="0"/>
              <w:spacing w:line="460" w:lineRule="exact"/>
              <w:ind w:firstLine="480" w:firstLineChars="200"/>
              <w:rPr>
                <w:rFonts w:hint="eastAsia" w:ascii="Times New Roman" w:hAnsi="Times New Roman" w:eastAsia="宋体" w:cs="Times New Roman"/>
                <w:sz w:val="24"/>
                <w:szCs w:val="24"/>
                <w:lang w:val="en-US" w:eastAsia="zh-CN"/>
              </w:rPr>
            </w:pPr>
            <w:r>
              <w:rPr>
                <w:rFonts w:hint="eastAsia"/>
                <w:color w:val="auto"/>
                <w:kern w:val="0"/>
                <w:sz w:val="24"/>
                <w:szCs w:val="24"/>
              </w:rPr>
              <w:t>在评价区水域共有蓝藻门（</w:t>
            </w:r>
            <w:r>
              <w:rPr>
                <w:rFonts w:hint="eastAsia"/>
                <w:i/>
                <w:color w:val="auto"/>
                <w:kern w:val="0"/>
                <w:sz w:val="24"/>
                <w:szCs w:val="24"/>
              </w:rPr>
              <w:t>Cyanophata</w:t>
            </w:r>
            <w:r>
              <w:rPr>
                <w:rFonts w:hint="eastAsia"/>
                <w:color w:val="auto"/>
                <w:kern w:val="0"/>
                <w:sz w:val="24"/>
                <w:szCs w:val="24"/>
              </w:rPr>
              <w:t>）、硅藻门（</w:t>
            </w:r>
            <w:r>
              <w:rPr>
                <w:rFonts w:hint="eastAsia"/>
                <w:i/>
                <w:color w:val="auto"/>
                <w:kern w:val="0"/>
                <w:sz w:val="24"/>
                <w:szCs w:val="24"/>
              </w:rPr>
              <w:t>Bacillariophyta</w:t>
            </w:r>
            <w:r>
              <w:rPr>
                <w:rFonts w:hint="eastAsia"/>
                <w:color w:val="auto"/>
                <w:kern w:val="0"/>
                <w:sz w:val="24"/>
                <w:szCs w:val="24"/>
              </w:rPr>
              <w:t>）和绿藻门（</w:t>
            </w:r>
            <w:r>
              <w:rPr>
                <w:rFonts w:hint="eastAsia"/>
                <w:i/>
                <w:color w:val="auto"/>
                <w:kern w:val="0"/>
                <w:sz w:val="24"/>
                <w:szCs w:val="24"/>
              </w:rPr>
              <w:t>Chlorophyta</w:t>
            </w:r>
            <w:r>
              <w:rPr>
                <w:rFonts w:hint="eastAsia"/>
                <w:color w:val="auto"/>
                <w:kern w:val="0"/>
                <w:sz w:val="24"/>
                <w:szCs w:val="24"/>
              </w:rPr>
              <w:t>）3个门类，25属，33种。其中以绿藻门种类最多，绿藻门为12属16种，硅藻门为9属11种，分别占所鉴定属类的34.6％和种类的32.4％，蓝藻门共4属6种，占属类的15.4％和种类的17.6%，</w:t>
            </w:r>
          </w:p>
          <w:p w14:paraId="5E06C440">
            <w:pPr>
              <w:widowControl/>
              <w:adjustRightInd w:val="0"/>
              <w:snapToGrid w:val="0"/>
              <w:spacing w:line="500" w:lineRule="exact"/>
              <w:ind w:firstLine="480" w:firstLineChars="200"/>
              <w:rPr>
                <w:color w:val="auto"/>
                <w:kern w:val="0"/>
                <w:sz w:val="24"/>
                <w:szCs w:val="24"/>
              </w:rPr>
            </w:pPr>
            <w:r>
              <w:rPr>
                <w:rFonts w:hint="eastAsia"/>
                <w:color w:val="auto"/>
                <w:kern w:val="0"/>
                <w:sz w:val="24"/>
                <w:szCs w:val="24"/>
                <w:lang w:val="en-US" w:eastAsia="zh-CN"/>
              </w:rPr>
              <w:t>（2）</w:t>
            </w:r>
            <w:r>
              <w:rPr>
                <w:rFonts w:hint="eastAsia"/>
                <w:color w:val="auto"/>
                <w:kern w:val="0"/>
                <w:sz w:val="24"/>
                <w:szCs w:val="24"/>
              </w:rPr>
              <w:t>浮游动物</w:t>
            </w:r>
          </w:p>
          <w:p w14:paraId="100B6D79">
            <w:pPr>
              <w:adjustRightInd w:val="0"/>
              <w:snapToGrid w:val="0"/>
              <w:spacing w:line="460" w:lineRule="exact"/>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rPr>
              <w:t>由于评价区内水体为单一的运河，受航运的干扰很大，水生生物较少，以藻（小球藻、舟形藻等）为食的原生动物较少，原生动物中典型的和优势种有蚤状溞Daphnia pulex等。</w:t>
            </w:r>
          </w:p>
          <w:p w14:paraId="15C7E1DE">
            <w:pPr>
              <w:widowControl/>
              <w:adjustRightInd w:val="0"/>
              <w:snapToGrid w:val="0"/>
              <w:spacing w:line="500" w:lineRule="exact"/>
              <w:ind w:firstLine="480" w:firstLineChars="200"/>
              <w:rPr>
                <w:rFonts w:hint="eastAsia" w:ascii="Times New Roman" w:hAnsi="Times New Roman" w:eastAsia="宋体" w:cs="Times New Roman"/>
                <w:color w:val="auto"/>
                <w:kern w:val="0"/>
                <w:sz w:val="24"/>
                <w:szCs w:val="24"/>
              </w:rPr>
            </w:pPr>
            <w:r>
              <w:rPr>
                <w:rFonts w:hint="eastAsia" w:cs="Times New Roman"/>
                <w:color w:val="auto"/>
                <w:kern w:val="0"/>
                <w:sz w:val="24"/>
                <w:szCs w:val="24"/>
                <w:lang w:val="en-US" w:eastAsia="zh-CN"/>
              </w:rPr>
              <w:t>（3）</w:t>
            </w:r>
            <w:r>
              <w:rPr>
                <w:rFonts w:hint="eastAsia" w:ascii="Times New Roman" w:hAnsi="Times New Roman" w:eastAsia="宋体" w:cs="Times New Roman"/>
                <w:color w:val="auto"/>
                <w:kern w:val="0"/>
                <w:sz w:val="24"/>
                <w:szCs w:val="24"/>
              </w:rPr>
              <w:t>底栖生物</w:t>
            </w:r>
          </w:p>
          <w:p w14:paraId="4C082E4E">
            <w:pPr>
              <w:adjustRightInd w:val="0"/>
              <w:snapToGrid w:val="0"/>
              <w:spacing w:line="460" w:lineRule="exact"/>
              <w:ind w:firstLine="480" w:firstLineChars="200"/>
              <w:rPr>
                <w:rFonts w:hint="eastAsia" w:ascii="Times New Roman" w:hAnsi="Times New Roman" w:eastAsia="宋体" w:cs="Times New Roman"/>
                <w:sz w:val="24"/>
                <w:szCs w:val="24"/>
                <w:lang w:val="en-US" w:eastAsia="zh-CN"/>
              </w:rPr>
            </w:pPr>
            <w:r>
              <w:rPr>
                <w:rFonts w:hint="eastAsia"/>
                <w:color w:val="auto"/>
                <w:kern w:val="0"/>
                <w:sz w:val="24"/>
                <w:szCs w:val="24"/>
              </w:rPr>
              <w:t>本次调查共采集到底栖动物2类3种，分别为软体动物环棱螺、</w:t>
            </w:r>
            <w:r>
              <w:rPr>
                <w:color w:val="auto"/>
                <w:kern w:val="0"/>
                <w:sz w:val="24"/>
                <w:szCs w:val="24"/>
              </w:rPr>
              <w:t>河蚬</w:t>
            </w:r>
            <w:r>
              <w:rPr>
                <w:rFonts w:hint="eastAsia"/>
                <w:color w:val="auto"/>
                <w:kern w:val="0"/>
                <w:sz w:val="24"/>
                <w:szCs w:val="24"/>
              </w:rPr>
              <w:t>，及环节动物水丝蚓。各取样点的生物种类和数量均较少，底栖动物的密度及生物量均较低。</w:t>
            </w:r>
          </w:p>
          <w:p w14:paraId="7614A904">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eastAsia" w:cs="Times New Roman"/>
                <w:color w:val="auto"/>
                <w:kern w:val="0"/>
                <w:sz w:val="24"/>
                <w:szCs w:val="24"/>
                <w:lang w:val="en-US" w:eastAsia="zh-CN" w:bidi="ar-SA"/>
              </w:rPr>
              <w:t>（4）</w:t>
            </w:r>
            <w:r>
              <w:rPr>
                <w:rFonts w:hint="default" w:ascii="Times New Roman" w:hAnsi="Times New Roman" w:eastAsia="宋体" w:cs="Times New Roman"/>
                <w:color w:val="auto"/>
                <w:kern w:val="0"/>
                <w:sz w:val="24"/>
                <w:szCs w:val="24"/>
                <w:lang w:eastAsia="zh-CN"/>
              </w:rPr>
              <w:t>渔业资源</w:t>
            </w:r>
          </w:p>
          <w:p w14:paraId="5195A792">
            <w:pPr>
              <w:adjustRightInd w:val="0"/>
              <w:snapToGrid w:val="0"/>
              <w:spacing w:line="460" w:lineRule="exact"/>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调查结果显示，鳀科的刀鲚为优势种，优势度达27.3%，其次是鲤科的䱗，优势度18.2%。红鳍原鲌、乌鳢、鳊优势度均为13.6%，其他鱼类物种优势度＜5%，鱼类物种分布相对均匀。调查到的刀鲚属于湖鲚。</w:t>
            </w:r>
          </w:p>
        </w:tc>
      </w:tr>
      <w:tr w14:paraId="72075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400" w:type="dxa"/>
            <w:vAlign w:val="center"/>
          </w:tcPr>
          <w:p w14:paraId="4768EDC0">
            <w:pPr>
              <w:adjustRightInd w:val="0"/>
              <w:snapToGrid w:val="0"/>
              <w:jc w:val="center"/>
              <w:rPr>
                <w:rFonts w:hint="default" w:ascii="Times New Roman" w:hAnsi="Times New Roman" w:eastAsia="宋体" w:cs="Times New Roman"/>
                <w:kern w:val="0"/>
                <w:sz w:val="24"/>
                <w:szCs w:val="24"/>
                <w:highlight w:val="yellow"/>
              </w:rPr>
            </w:pPr>
            <w:r>
              <w:rPr>
                <w:rFonts w:hint="default" w:ascii="Times New Roman" w:hAnsi="Times New Roman" w:eastAsia="宋体" w:cs="Times New Roman"/>
                <w:kern w:val="0"/>
                <w:sz w:val="24"/>
                <w:szCs w:val="24"/>
              </w:rPr>
              <w:t>与项目有关的原有环境污染和生态破坏问题</w:t>
            </w:r>
          </w:p>
        </w:tc>
        <w:tc>
          <w:tcPr>
            <w:tcW w:w="8122" w:type="dxa"/>
            <w:vAlign w:val="center"/>
          </w:tcPr>
          <w:p w14:paraId="1DF0D7F4">
            <w:pPr>
              <w:widowControl/>
              <w:adjustRightInd w:val="0"/>
              <w:snapToGrid w:val="0"/>
              <w:spacing w:line="500" w:lineRule="exact"/>
              <w:ind w:firstLine="480" w:firstLineChars="200"/>
              <w:rPr>
                <w:rFonts w:ascii="Times New Roman" w:hAnsi="Times New Roman" w:eastAsia="宋体" w:cs="Times New Roman"/>
                <w:color w:val="auto"/>
                <w:kern w:val="0"/>
                <w:sz w:val="24"/>
                <w:szCs w:val="24"/>
              </w:rPr>
            </w:pPr>
            <w:bookmarkStart w:id="5" w:name="_Hlk96101222"/>
            <w:r>
              <w:rPr>
                <w:rFonts w:hint="default" w:ascii="Times New Roman" w:hAnsi="Times New Roman" w:eastAsia="宋体" w:cs="Times New Roman"/>
                <w:color w:val="auto"/>
                <w:kern w:val="0"/>
                <w:sz w:val="24"/>
                <w:szCs w:val="24"/>
                <w:lang w:val="en-US" w:eastAsia="zh-CN"/>
              </w:rPr>
              <w:t>淮安大成港业投资股份有限公司</w:t>
            </w:r>
            <w:r>
              <w:rPr>
                <w:rFonts w:ascii="Times New Roman" w:hAnsi="Times New Roman" w:eastAsia="宋体" w:cs="Times New Roman"/>
                <w:color w:val="auto"/>
                <w:kern w:val="0"/>
                <w:sz w:val="24"/>
                <w:szCs w:val="24"/>
                <w:lang w:val="en-US" w:eastAsia="zh-CN"/>
              </w:rPr>
              <w:t>成立于2011年4月12日，是一家区属国有公司全资控股企业，该公</w:t>
            </w:r>
            <w:r>
              <w:rPr>
                <w:rFonts w:hint="default" w:ascii="Times New Roman" w:hAnsi="Times New Roman" w:eastAsia="宋体" w:cs="Times New Roman"/>
                <w:color w:val="auto"/>
                <w:kern w:val="0"/>
                <w:sz w:val="24"/>
                <w:szCs w:val="24"/>
                <w:lang w:val="en-US" w:eastAsia="zh-CN"/>
              </w:rPr>
              <w:t>司位于江苏省淮安市清江浦区黄码镇，注册资金 3 亿元人民币，主要承载清江浦区临港新城港口、道路、储运等物流基础设施规划、建设、运营、管理等。</w:t>
            </w:r>
          </w:p>
          <w:p w14:paraId="73CE7FDE">
            <w:pPr>
              <w:widowControl/>
              <w:adjustRightInd w:val="0"/>
              <w:snapToGrid w:val="0"/>
              <w:spacing w:line="500" w:lineRule="exact"/>
              <w:ind w:firstLine="480" w:firstLineChars="200"/>
              <w:rPr>
                <w:rFonts w:hint="eastAsia" w:cs="Times New Roman"/>
                <w:color w:val="auto"/>
                <w:kern w:val="0"/>
                <w:sz w:val="24"/>
                <w:szCs w:val="24"/>
                <w:lang w:val="en-US" w:eastAsia="zh-CN"/>
              </w:rPr>
            </w:pPr>
            <w:r>
              <w:rPr>
                <w:rFonts w:ascii="Times New Roman" w:hAnsi="Times New Roman" w:eastAsia="宋体" w:cs="Times New Roman"/>
                <w:color w:val="auto"/>
                <w:kern w:val="0"/>
                <w:sz w:val="24"/>
                <w:szCs w:val="24"/>
              </w:rPr>
              <w:t>淮安大成港业投资股份有限公司</w:t>
            </w:r>
            <w:bookmarkEnd w:id="5"/>
            <w:r>
              <w:rPr>
                <w:rFonts w:ascii="Times New Roman" w:hAnsi="Times New Roman" w:eastAsia="宋体" w:cs="Times New Roman"/>
                <w:color w:val="auto"/>
                <w:kern w:val="0"/>
                <w:sz w:val="24"/>
                <w:szCs w:val="24"/>
              </w:rPr>
              <w:t>于2012年委托编制了《淮安港市区港区黄码作业区项目环境影响报告书》，并于2013年取得原江苏省环境保护厅《关于对淮安港市区港区黄码作业区项目环境影响报告书的批复》（苏环</w:t>
            </w:r>
            <w:r>
              <w:rPr>
                <w:rFonts w:hint="default" w:ascii="Times New Roman" w:hAnsi="Times New Roman" w:eastAsia="宋体" w:cs="Times New Roman"/>
                <w:color w:val="auto"/>
                <w:kern w:val="0"/>
                <w:sz w:val="24"/>
                <w:szCs w:val="24"/>
              </w:rPr>
              <w:t>审〔</w:t>
            </w:r>
            <w:r>
              <w:rPr>
                <w:rFonts w:ascii="Times New Roman" w:hAnsi="Times New Roman" w:eastAsia="宋体" w:cs="Times New Roman"/>
                <w:color w:val="auto"/>
                <w:kern w:val="0"/>
                <w:sz w:val="24"/>
                <w:szCs w:val="24"/>
              </w:rPr>
              <w:t>2013</w:t>
            </w:r>
            <w:r>
              <w:rPr>
                <w:rFonts w:hint="default"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38号）。</w:t>
            </w:r>
            <w:r>
              <w:rPr>
                <w:rFonts w:hint="eastAsia" w:ascii="Times New Roman" w:hAnsi="Times New Roman" w:eastAsia="宋体" w:cs="Times New Roman"/>
                <w:color w:val="auto"/>
                <w:kern w:val="0"/>
                <w:sz w:val="24"/>
                <w:szCs w:val="24"/>
                <w:lang w:val="en-US" w:eastAsia="zh-CN"/>
              </w:rPr>
              <w:t>由于项目取得</w:t>
            </w:r>
            <w:r>
              <w:rPr>
                <w:rFonts w:hint="default" w:ascii="Times New Roman" w:hAnsi="Times New Roman" w:eastAsia="宋体" w:cs="Times New Roman"/>
                <w:color w:val="auto"/>
                <w:kern w:val="0"/>
                <w:sz w:val="24"/>
              </w:rPr>
              <w:t>批复后五年内未开工建设，且随着国家内河航运高质量发展的要求，对港口的建设和运营提出了更高的要求，需要对原设计的作业区总体布置、装卸工艺等进行调整。为此，淮安大成港业投资股份有限公司重新对项目进行备案</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szCs w:val="24"/>
                <w:lang w:val="en-US" w:eastAsia="zh-CN"/>
              </w:rPr>
              <w:t>并重新</w:t>
            </w:r>
            <w:r>
              <w:rPr>
                <w:rFonts w:ascii="Times New Roman" w:hAnsi="Times New Roman" w:eastAsia="宋体" w:cs="Times New Roman"/>
                <w:color w:val="auto"/>
                <w:kern w:val="0"/>
                <w:sz w:val="24"/>
                <w:szCs w:val="24"/>
              </w:rPr>
              <w:t>编制了《淮安港市区港区黄码作业区</w:t>
            </w:r>
            <w:r>
              <w:rPr>
                <w:rFonts w:hint="eastAsia" w:ascii="Times New Roman" w:hAnsi="Times New Roman" w:eastAsia="宋体" w:cs="Times New Roman"/>
                <w:color w:val="auto"/>
                <w:kern w:val="0"/>
                <w:sz w:val="24"/>
                <w:szCs w:val="24"/>
                <w:lang w:val="en-US" w:eastAsia="zh-CN"/>
              </w:rPr>
              <w:t>码头工程</w:t>
            </w:r>
            <w:r>
              <w:rPr>
                <w:rFonts w:ascii="Times New Roman" w:hAnsi="Times New Roman" w:eastAsia="宋体" w:cs="Times New Roman"/>
                <w:color w:val="auto"/>
                <w:kern w:val="0"/>
                <w:sz w:val="24"/>
                <w:szCs w:val="24"/>
              </w:rPr>
              <w:t>环境影响报告书》</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项目位于京杭运河黄码大桥下游段，黄码大桥下游4</w:t>
            </w:r>
            <w:r>
              <w:rPr>
                <w:rFonts w:ascii="Times New Roman" w:hAnsi="Times New Roman" w:eastAsia="宋体" w:cs="Times New Roman"/>
                <w:color w:val="auto"/>
                <w:kern w:val="0"/>
                <w:sz w:val="24"/>
                <w:szCs w:val="24"/>
              </w:rPr>
              <w:t>00</w:t>
            </w:r>
            <w:r>
              <w:rPr>
                <w:rFonts w:hint="default" w:ascii="Times New Roman" w:hAnsi="Times New Roman" w:eastAsia="宋体" w:cs="Times New Roman"/>
                <w:color w:val="auto"/>
                <w:kern w:val="0"/>
                <w:sz w:val="24"/>
                <w:szCs w:val="24"/>
              </w:rPr>
              <w:t>米</w:t>
            </w:r>
            <w:r>
              <w:rPr>
                <w:rFonts w:hint="eastAsia" w:cs="Times New Roman"/>
                <w:color w:val="auto"/>
                <w:kern w:val="0"/>
                <w:sz w:val="24"/>
                <w:szCs w:val="24"/>
                <w:lang w:eastAsia="zh-CN"/>
              </w:rPr>
              <w:t>～</w:t>
            </w:r>
            <w:r>
              <w:rPr>
                <w:rFonts w:ascii="Times New Roman" w:hAnsi="Times New Roman" w:eastAsia="宋体" w:cs="Times New Roman"/>
                <w:color w:val="auto"/>
                <w:kern w:val="0"/>
                <w:sz w:val="24"/>
                <w:szCs w:val="24"/>
              </w:rPr>
              <w:t>2100</w:t>
            </w:r>
            <w:r>
              <w:rPr>
                <w:rFonts w:hint="default" w:ascii="Times New Roman" w:hAnsi="Times New Roman" w:eastAsia="宋体" w:cs="Times New Roman"/>
                <w:color w:val="auto"/>
                <w:kern w:val="0"/>
                <w:sz w:val="24"/>
                <w:szCs w:val="24"/>
              </w:rPr>
              <w:t>米</w:t>
            </w:r>
            <w:r>
              <w:rPr>
                <w:rFonts w:hint="default" w:ascii="Times New Roman" w:hAnsi="Times New Roman" w:eastAsia="宋体" w:cs="Times New Roman"/>
                <w:color w:val="auto"/>
                <w:kern w:val="0"/>
                <w:sz w:val="24"/>
                <w:szCs w:val="24"/>
                <w:lang w:eastAsia="zh-CN"/>
              </w:rPr>
              <w:t>。</w:t>
            </w:r>
            <w:r>
              <w:rPr>
                <w:rFonts w:hint="eastAsia" w:cs="Times New Roman"/>
                <w:color w:val="auto"/>
                <w:kern w:val="0"/>
                <w:sz w:val="24"/>
                <w:szCs w:val="24"/>
                <w:lang w:val="en-US" w:eastAsia="zh-CN"/>
              </w:rPr>
              <w:t>该项目于2022年取得淮安市清江浦生态环境局批复（清环发〔2022〕47号）。</w:t>
            </w:r>
          </w:p>
          <w:p w14:paraId="0F00F311">
            <w:pPr>
              <w:widowControl/>
              <w:adjustRightInd w:val="0"/>
              <w:snapToGrid w:val="0"/>
              <w:spacing w:line="500" w:lineRule="exact"/>
              <w:ind w:firstLine="480" w:firstLineChars="200"/>
              <w:rPr>
                <w:rFonts w:hint="default" w:cs="Times New Roman"/>
                <w:color w:val="auto"/>
                <w:kern w:val="0"/>
                <w:sz w:val="24"/>
                <w:szCs w:val="24"/>
                <w:lang w:val="en-US" w:eastAsia="zh-CN"/>
              </w:rPr>
            </w:pPr>
            <w:r>
              <w:rPr>
                <w:rFonts w:hint="eastAsia" w:cs="Times New Roman"/>
                <w:color w:val="auto"/>
                <w:kern w:val="0"/>
                <w:sz w:val="24"/>
                <w:szCs w:val="24"/>
                <w:lang w:val="en-US" w:eastAsia="zh-CN"/>
              </w:rPr>
              <w:t>目前该项目在建（以下简称“在建项目”），在建项目位于本项目对岸，不在一个厂区，本次评价仅作简单回顾。以下内容来源于</w:t>
            </w:r>
            <w:r>
              <w:rPr>
                <w:rFonts w:ascii="Times New Roman" w:hAnsi="Times New Roman" w:eastAsia="宋体" w:cs="Times New Roman"/>
                <w:color w:val="auto"/>
                <w:kern w:val="0"/>
                <w:sz w:val="24"/>
                <w:szCs w:val="24"/>
              </w:rPr>
              <w:t>《淮安港市区港区黄码作业区</w:t>
            </w:r>
            <w:r>
              <w:rPr>
                <w:rFonts w:hint="eastAsia" w:ascii="Times New Roman" w:hAnsi="Times New Roman" w:eastAsia="宋体" w:cs="Times New Roman"/>
                <w:color w:val="auto"/>
                <w:kern w:val="0"/>
                <w:sz w:val="24"/>
                <w:szCs w:val="24"/>
                <w:lang w:val="en-US" w:eastAsia="zh-CN"/>
              </w:rPr>
              <w:t>码头工程</w:t>
            </w:r>
            <w:r>
              <w:rPr>
                <w:rFonts w:ascii="Times New Roman" w:hAnsi="Times New Roman" w:eastAsia="宋体" w:cs="Times New Roman"/>
                <w:color w:val="auto"/>
                <w:kern w:val="0"/>
                <w:sz w:val="24"/>
                <w:szCs w:val="24"/>
              </w:rPr>
              <w:t>环境影响报告书》</w:t>
            </w:r>
            <w:r>
              <w:rPr>
                <w:rFonts w:hint="eastAsia" w:cs="Times New Roman"/>
                <w:color w:val="auto"/>
                <w:kern w:val="0"/>
                <w:sz w:val="24"/>
                <w:szCs w:val="24"/>
                <w:lang w:eastAsia="zh-CN"/>
              </w:rPr>
              <w:t>。</w:t>
            </w:r>
          </w:p>
          <w:p w14:paraId="70A8E1ED">
            <w:pPr>
              <w:widowControl/>
              <w:adjustRightInd w:val="0"/>
              <w:snapToGrid w:val="0"/>
              <w:spacing w:line="500" w:lineRule="exact"/>
              <w:ind w:firstLine="482" w:firstLineChars="200"/>
              <w:rPr>
                <w:rFonts w:hint="eastAsia" w:cs="Times New Roman"/>
                <w:color w:val="auto"/>
                <w:kern w:val="0"/>
                <w:sz w:val="24"/>
                <w:szCs w:val="24"/>
                <w:lang w:val="en-US" w:eastAsia="zh-CN"/>
              </w:rPr>
            </w:pPr>
            <w:r>
              <w:rPr>
                <w:rFonts w:hint="eastAsia" w:cs="Times New Roman"/>
                <w:b/>
                <w:bCs/>
                <w:color w:val="auto"/>
                <w:kern w:val="0"/>
                <w:sz w:val="24"/>
                <w:szCs w:val="24"/>
                <w:lang w:val="en-US" w:eastAsia="zh-CN"/>
              </w:rPr>
              <w:t>1、在建项目主要建设内容及规模</w:t>
            </w:r>
          </w:p>
          <w:p w14:paraId="10F4FDFF">
            <w:pPr>
              <w:widowControl/>
              <w:adjustRightInd w:val="0"/>
              <w:snapToGrid w:val="0"/>
              <w:spacing w:line="500" w:lineRule="exact"/>
              <w:ind w:firstLine="480" w:firstLineChars="200"/>
              <w:rPr>
                <w:rFonts w:hint="eastAsia" w:cs="Times New Roman"/>
                <w:color w:val="auto"/>
                <w:kern w:val="0"/>
                <w:sz w:val="24"/>
                <w:szCs w:val="24"/>
                <w:lang w:val="en-US" w:eastAsia="zh-CN"/>
              </w:rPr>
            </w:pPr>
            <w:r>
              <w:rPr>
                <w:rFonts w:hint="eastAsia" w:cs="Times New Roman"/>
                <w:color w:val="auto"/>
                <w:kern w:val="0"/>
                <w:sz w:val="24"/>
                <w:szCs w:val="24"/>
                <w:lang w:val="en-US" w:eastAsia="zh-CN"/>
              </w:rPr>
              <w:t>淮安港市区港区黄码作业区新建2000吨级散货泊位7个，1000吨级多用途泊位6个，1000吨级件杂货泊位12个，1000吨级散货泊位4个，并建设相应的堆场、仓库及配套设施，设计通过能力达1624万吨。</w:t>
            </w:r>
          </w:p>
          <w:p w14:paraId="407CD9A1">
            <w:pPr>
              <w:widowControl/>
              <w:adjustRightInd w:val="0"/>
              <w:snapToGrid w:val="0"/>
              <w:spacing w:line="500" w:lineRule="exact"/>
              <w:ind w:firstLine="480" w:firstLineChars="200"/>
              <w:rPr>
                <w:rFonts w:hint="eastAsia" w:cs="Times New Roman"/>
                <w:color w:val="auto"/>
                <w:kern w:val="0"/>
                <w:sz w:val="24"/>
                <w:szCs w:val="24"/>
                <w:lang w:val="en-US" w:eastAsia="zh-CN"/>
              </w:rPr>
            </w:pPr>
            <w:r>
              <w:rPr>
                <w:rFonts w:hint="eastAsia" w:cs="Times New Roman"/>
                <w:color w:val="auto"/>
                <w:kern w:val="0"/>
                <w:sz w:val="24"/>
                <w:szCs w:val="24"/>
                <w:lang w:val="en-US" w:eastAsia="zh-CN"/>
              </w:rPr>
              <w:t>在建项目组成见表3.3-1，主要技术指标见表3.3-2。</w:t>
            </w:r>
          </w:p>
          <w:p w14:paraId="02D4335A">
            <w:pPr>
              <w:widowControl/>
              <w:adjustRightInd w:val="0"/>
              <w:snapToGrid w:val="0"/>
              <w:spacing w:line="500" w:lineRule="exact"/>
              <w:jc w:val="center"/>
              <w:rPr>
                <w:b/>
                <w:color w:val="auto"/>
                <w:kern w:val="0"/>
                <w:sz w:val="24"/>
                <w:szCs w:val="24"/>
              </w:rPr>
            </w:pPr>
            <w:r>
              <w:rPr>
                <w:rFonts w:hint="eastAsia"/>
                <w:b/>
                <w:color w:val="auto"/>
                <w:kern w:val="0"/>
                <w:sz w:val="24"/>
                <w:szCs w:val="24"/>
              </w:rPr>
              <w:t>表</w:t>
            </w:r>
            <w:r>
              <w:rPr>
                <w:b/>
                <w:color w:val="auto"/>
                <w:kern w:val="0"/>
                <w:sz w:val="24"/>
                <w:szCs w:val="24"/>
              </w:rPr>
              <w:t xml:space="preserve">3.3-1 </w:t>
            </w:r>
            <w:r>
              <w:rPr>
                <w:rFonts w:hint="eastAsia"/>
                <w:b/>
                <w:color w:val="auto"/>
                <w:kern w:val="0"/>
                <w:sz w:val="24"/>
                <w:szCs w:val="24"/>
                <w:lang w:val="en-US" w:eastAsia="zh-CN"/>
              </w:rPr>
              <w:t>在建</w:t>
            </w:r>
            <w:r>
              <w:rPr>
                <w:rFonts w:hint="eastAsia"/>
                <w:b/>
                <w:color w:val="auto"/>
                <w:kern w:val="0"/>
                <w:sz w:val="24"/>
                <w:szCs w:val="24"/>
              </w:rPr>
              <w:t>项目主体工程、公辅工程及环保工程一览表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681"/>
              <w:gridCol w:w="1393"/>
              <w:gridCol w:w="6498"/>
            </w:tblGrid>
            <w:tr w14:paraId="58733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66" w:type="pct"/>
                  <w:tcBorders>
                    <w:top w:val="single" w:color="auto" w:sz="12" w:space="0"/>
                    <w:left w:val="nil"/>
                    <w:bottom w:val="single" w:color="auto" w:sz="4" w:space="0"/>
                    <w:right w:val="single" w:color="auto" w:sz="4" w:space="0"/>
                  </w:tcBorders>
                  <w:vAlign w:val="center"/>
                </w:tcPr>
                <w:p w14:paraId="7BA02A60">
                  <w:pPr>
                    <w:adjustRightInd w:val="0"/>
                    <w:snapToGrid w:val="0"/>
                    <w:jc w:val="center"/>
                    <w:rPr>
                      <w:b/>
                      <w:color w:val="auto"/>
                      <w:kern w:val="2"/>
                      <w:sz w:val="21"/>
                      <w:szCs w:val="21"/>
                    </w:rPr>
                  </w:pPr>
                  <w:bookmarkStart w:id="6" w:name="_Hlk95728610"/>
                  <w:r>
                    <w:rPr>
                      <w:rFonts w:hint="eastAsia"/>
                      <w:b/>
                      <w:color w:val="auto"/>
                      <w:kern w:val="2"/>
                      <w:sz w:val="21"/>
                      <w:szCs w:val="21"/>
                    </w:rPr>
                    <w:t>序号</w:t>
                  </w:r>
                </w:p>
              </w:tc>
              <w:tc>
                <w:tcPr>
                  <w:tcW w:w="368" w:type="pct"/>
                  <w:tcBorders>
                    <w:top w:val="single" w:color="auto" w:sz="12" w:space="0"/>
                    <w:left w:val="single" w:color="auto" w:sz="4" w:space="0"/>
                    <w:bottom w:val="single" w:color="auto" w:sz="4" w:space="0"/>
                    <w:right w:val="single" w:color="auto" w:sz="4" w:space="0"/>
                  </w:tcBorders>
                  <w:vAlign w:val="center"/>
                </w:tcPr>
                <w:p w14:paraId="1A7FDEBE">
                  <w:pPr>
                    <w:adjustRightInd w:val="0"/>
                    <w:snapToGrid w:val="0"/>
                    <w:jc w:val="center"/>
                    <w:rPr>
                      <w:b/>
                      <w:color w:val="auto"/>
                      <w:kern w:val="2"/>
                      <w:sz w:val="21"/>
                      <w:szCs w:val="21"/>
                    </w:rPr>
                  </w:pPr>
                  <w:r>
                    <w:rPr>
                      <w:rFonts w:hint="eastAsia"/>
                      <w:b/>
                      <w:color w:val="auto"/>
                      <w:kern w:val="2"/>
                      <w:sz w:val="21"/>
                      <w:szCs w:val="21"/>
                    </w:rPr>
                    <w:t>类型</w:t>
                  </w:r>
                </w:p>
              </w:tc>
              <w:tc>
                <w:tcPr>
                  <w:tcW w:w="753" w:type="pct"/>
                  <w:tcBorders>
                    <w:top w:val="single" w:color="auto" w:sz="12" w:space="0"/>
                    <w:left w:val="single" w:color="auto" w:sz="4" w:space="0"/>
                    <w:bottom w:val="single" w:color="auto" w:sz="4" w:space="0"/>
                    <w:right w:val="single" w:color="auto" w:sz="4" w:space="0"/>
                  </w:tcBorders>
                  <w:vAlign w:val="center"/>
                </w:tcPr>
                <w:p w14:paraId="456E602D">
                  <w:pPr>
                    <w:adjustRightInd w:val="0"/>
                    <w:snapToGrid w:val="0"/>
                    <w:jc w:val="center"/>
                    <w:rPr>
                      <w:b/>
                      <w:color w:val="auto"/>
                      <w:kern w:val="2"/>
                      <w:sz w:val="21"/>
                      <w:szCs w:val="21"/>
                    </w:rPr>
                  </w:pPr>
                  <w:r>
                    <w:rPr>
                      <w:rFonts w:hint="eastAsia"/>
                      <w:b/>
                      <w:color w:val="auto"/>
                      <w:kern w:val="2"/>
                      <w:sz w:val="21"/>
                      <w:szCs w:val="21"/>
                    </w:rPr>
                    <w:t>建设名称</w:t>
                  </w:r>
                </w:p>
              </w:tc>
              <w:tc>
                <w:tcPr>
                  <w:tcW w:w="3513" w:type="pct"/>
                  <w:tcBorders>
                    <w:top w:val="single" w:color="auto" w:sz="12" w:space="0"/>
                    <w:left w:val="single" w:color="auto" w:sz="4" w:space="0"/>
                    <w:bottom w:val="single" w:color="auto" w:sz="4" w:space="0"/>
                    <w:right w:val="nil"/>
                  </w:tcBorders>
                  <w:vAlign w:val="center"/>
                </w:tcPr>
                <w:p w14:paraId="40D06872">
                  <w:pPr>
                    <w:adjustRightInd w:val="0"/>
                    <w:snapToGrid w:val="0"/>
                    <w:jc w:val="center"/>
                    <w:rPr>
                      <w:b/>
                      <w:color w:val="auto"/>
                      <w:kern w:val="2"/>
                      <w:sz w:val="21"/>
                      <w:szCs w:val="21"/>
                    </w:rPr>
                  </w:pPr>
                  <w:r>
                    <w:rPr>
                      <w:rFonts w:hint="eastAsia"/>
                      <w:b/>
                      <w:color w:val="auto"/>
                      <w:kern w:val="2"/>
                      <w:sz w:val="21"/>
                      <w:szCs w:val="21"/>
                    </w:rPr>
                    <w:t>建设规模</w:t>
                  </w:r>
                </w:p>
              </w:tc>
            </w:tr>
            <w:tr w14:paraId="02364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79908D42">
                  <w:pPr>
                    <w:widowControl/>
                    <w:adjustRightInd w:val="0"/>
                    <w:snapToGrid w:val="0"/>
                    <w:spacing w:before="97" w:beforeLines="30" w:after="97" w:afterLines="30"/>
                    <w:jc w:val="center"/>
                    <w:rPr>
                      <w:bCs/>
                      <w:color w:val="auto"/>
                      <w:kern w:val="2"/>
                      <w:sz w:val="24"/>
                      <w:szCs w:val="21"/>
                    </w:rPr>
                  </w:pPr>
                  <w:r>
                    <w:rPr>
                      <w:rFonts w:hint="eastAsia"/>
                      <w:bCs/>
                      <w:color w:val="auto"/>
                      <w:kern w:val="2"/>
                      <w:sz w:val="24"/>
                      <w:szCs w:val="21"/>
                    </w:rPr>
                    <w:t>1</w:t>
                  </w:r>
                </w:p>
              </w:tc>
              <w:tc>
                <w:tcPr>
                  <w:tcW w:w="368" w:type="pct"/>
                  <w:tcBorders>
                    <w:top w:val="single" w:color="auto" w:sz="4" w:space="0"/>
                    <w:left w:val="single" w:color="auto" w:sz="4" w:space="0"/>
                    <w:bottom w:val="single" w:color="auto" w:sz="4" w:space="0"/>
                    <w:right w:val="single" w:color="auto" w:sz="4" w:space="0"/>
                  </w:tcBorders>
                  <w:vAlign w:val="center"/>
                </w:tcPr>
                <w:p w14:paraId="3B579DAA">
                  <w:pPr>
                    <w:adjustRightInd w:val="0"/>
                    <w:snapToGrid w:val="0"/>
                    <w:jc w:val="center"/>
                    <w:rPr>
                      <w:color w:val="auto"/>
                      <w:kern w:val="2"/>
                      <w:sz w:val="21"/>
                      <w:szCs w:val="21"/>
                    </w:rPr>
                  </w:pPr>
                  <w:r>
                    <w:rPr>
                      <w:rFonts w:hint="eastAsia"/>
                      <w:color w:val="auto"/>
                      <w:kern w:val="2"/>
                      <w:sz w:val="21"/>
                      <w:szCs w:val="21"/>
                    </w:rPr>
                    <w:t>主体工程</w:t>
                  </w:r>
                </w:p>
              </w:tc>
              <w:tc>
                <w:tcPr>
                  <w:tcW w:w="753" w:type="pct"/>
                  <w:tcBorders>
                    <w:top w:val="single" w:color="auto" w:sz="4" w:space="0"/>
                    <w:left w:val="single" w:color="auto" w:sz="4" w:space="0"/>
                    <w:bottom w:val="single" w:color="auto" w:sz="4" w:space="0"/>
                    <w:right w:val="single" w:color="auto" w:sz="4" w:space="0"/>
                  </w:tcBorders>
                  <w:vAlign w:val="center"/>
                </w:tcPr>
                <w:p w14:paraId="3FE45315">
                  <w:pPr>
                    <w:widowControl/>
                    <w:adjustRightInd w:val="0"/>
                    <w:snapToGrid w:val="0"/>
                    <w:jc w:val="center"/>
                    <w:rPr>
                      <w:bCs/>
                      <w:color w:val="auto"/>
                      <w:kern w:val="0"/>
                      <w:sz w:val="21"/>
                      <w:szCs w:val="21"/>
                    </w:rPr>
                  </w:pPr>
                  <w:r>
                    <w:rPr>
                      <w:rFonts w:hint="eastAsia"/>
                      <w:bCs/>
                      <w:color w:val="auto"/>
                      <w:kern w:val="0"/>
                      <w:sz w:val="21"/>
                      <w:szCs w:val="21"/>
                    </w:rPr>
                    <w:t>码头</w:t>
                  </w:r>
                </w:p>
              </w:tc>
              <w:tc>
                <w:tcPr>
                  <w:tcW w:w="3513" w:type="pct"/>
                  <w:tcBorders>
                    <w:top w:val="single" w:color="auto" w:sz="4" w:space="0"/>
                    <w:left w:val="single" w:color="auto" w:sz="4" w:space="0"/>
                    <w:bottom w:val="single" w:color="auto" w:sz="4" w:space="0"/>
                    <w:right w:val="nil"/>
                  </w:tcBorders>
                  <w:vAlign w:val="center"/>
                </w:tcPr>
                <w:p w14:paraId="19F995F2">
                  <w:pPr>
                    <w:adjustRightInd w:val="0"/>
                    <w:snapToGrid w:val="0"/>
                    <w:jc w:val="center"/>
                    <w:rPr>
                      <w:color w:val="auto"/>
                      <w:kern w:val="2"/>
                      <w:sz w:val="21"/>
                      <w:szCs w:val="21"/>
                    </w:rPr>
                  </w:pPr>
                  <w:r>
                    <w:rPr>
                      <w:rFonts w:hint="eastAsia"/>
                      <w:color w:val="auto"/>
                      <w:kern w:val="2"/>
                      <w:sz w:val="21"/>
                      <w:szCs w:val="21"/>
                    </w:rPr>
                    <w:t>新建2000吨级散货泊位7个，1000吨级多用途泊位6个，1000吨级件杂货泊位12个，1000吨级散货泊位4个，设计通过能力达1624万吨/年</w:t>
                  </w:r>
                </w:p>
              </w:tc>
            </w:tr>
            <w:tr w14:paraId="275E7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vMerge w:val="restart"/>
                  <w:tcBorders>
                    <w:top w:val="single" w:color="auto" w:sz="4" w:space="0"/>
                    <w:left w:val="nil"/>
                    <w:bottom w:val="single" w:color="auto" w:sz="4" w:space="0"/>
                    <w:right w:val="single" w:color="auto" w:sz="4" w:space="0"/>
                  </w:tcBorders>
                  <w:vAlign w:val="center"/>
                </w:tcPr>
                <w:p w14:paraId="13C24705">
                  <w:pPr>
                    <w:widowControl/>
                    <w:adjustRightInd w:val="0"/>
                    <w:snapToGrid w:val="0"/>
                    <w:spacing w:before="97" w:beforeLines="30" w:after="97" w:afterLines="30"/>
                    <w:jc w:val="center"/>
                    <w:rPr>
                      <w:bCs/>
                      <w:color w:val="auto"/>
                      <w:kern w:val="2"/>
                      <w:sz w:val="24"/>
                      <w:szCs w:val="21"/>
                    </w:rPr>
                  </w:pPr>
                  <w:r>
                    <w:rPr>
                      <w:rFonts w:hint="eastAsia"/>
                      <w:bCs/>
                      <w:color w:val="auto"/>
                      <w:kern w:val="2"/>
                      <w:sz w:val="24"/>
                      <w:szCs w:val="21"/>
                    </w:rPr>
                    <w:t>2</w:t>
                  </w:r>
                </w:p>
              </w:tc>
              <w:tc>
                <w:tcPr>
                  <w:tcW w:w="368" w:type="pct"/>
                  <w:vMerge w:val="restart"/>
                  <w:tcBorders>
                    <w:top w:val="single" w:color="auto" w:sz="4" w:space="0"/>
                    <w:left w:val="single" w:color="auto" w:sz="4" w:space="0"/>
                    <w:bottom w:val="single" w:color="auto" w:sz="4" w:space="0"/>
                    <w:right w:val="single" w:color="auto" w:sz="4" w:space="0"/>
                  </w:tcBorders>
                  <w:vAlign w:val="center"/>
                </w:tcPr>
                <w:p w14:paraId="3321923D">
                  <w:pPr>
                    <w:adjustRightInd w:val="0"/>
                    <w:snapToGrid w:val="0"/>
                    <w:jc w:val="center"/>
                    <w:rPr>
                      <w:color w:val="auto"/>
                      <w:kern w:val="2"/>
                      <w:sz w:val="21"/>
                      <w:szCs w:val="21"/>
                    </w:rPr>
                  </w:pPr>
                  <w:r>
                    <w:rPr>
                      <w:rFonts w:hint="eastAsia"/>
                      <w:color w:val="auto"/>
                      <w:kern w:val="2"/>
                      <w:sz w:val="21"/>
                      <w:szCs w:val="21"/>
                    </w:rPr>
                    <w:t>辅助工程</w:t>
                  </w:r>
                </w:p>
              </w:tc>
              <w:tc>
                <w:tcPr>
                  <w:tcW w:w="753" w:type="pct"/>
                  <w:tcBorders>
                    <w:top w:val="single" w:color="auto" w:sz="4" w:space="0"/>
                    <w:left w:val="single" w:color="auto" w:sz="4" w:space="0"/>
                    <w:bottom w:val="single" w:color="auto" w:sz="4" w:space="0"/>
                    <w:right w:val="single" w:color="auto" w:sz="4" w:space="0"/>
                  </w:tcBorders>
                  <w:vAlign w:val="center"/>
                </w:tcPr>
                <w:p w14:paraId="35E083FA">
                  <w:pPr>
                    <w:widowControl/>
                    <w:adjustRightInd w:val="0"/>
                    <w:snapToGrid w:val="0"/>
                    <w:jc w:val="center"/>
                    <w:rPr>
                      <w:bCs/>
                      <w:color w:val="auto"/>
                      <w:kern w:val="0"/>
                      <w:sz w:val="21"/>
                      <w:szCs w:val="21"/>
                    </w:rPr>
                  </w:pPr>
                  <w:r>
                    <w:rPr>
                      <w:rFonts w:hint="eastAsia"/>
                      <w:bCs/>
                      <w:color w:val="auto"/>
                      <w:kern w:val="0"/>
                      <w:sz w:val="21"/>
                      <w:szCs w:val="21"/>
                    </w:rPr>
                    <w:t>综合楼</w:t>
                  </w:r>
                </w:p>
              </w:tc>
              <w:tc>
                <w:tcPr>
                  <w:tcW w:w="3513" w:type="pct"/>
                  <w:tcBorders>
                    <w:top w:val="single" w:color="auto" w:sz="4" w:space="0"/>
                    <w:left w:val="single" w:color="auto" w:sz="4" w:space="0"/>
                    <w:bottom w:val="single" w:color="auto" w:sz="4" w:space="0"/>
                    <w:right w:val="nil"/>
                  </w:tcBorders>
                  <w:vAlign w:val="center"/>
                </w:tcPr>
                <w:p w14:paraId="62457BAB">
                  <w:pPr>
                    <w:adjustRightInd w:val="0"/>
                    <w:snapToGrid w:val="0"/>
                    <w:jc w:val="center"/>
                    <w:rPr>
                      <w:color w:val="auto"/>
                      <w:kern w:val="2"/>
                      <w:sz w:val="21"/>
                      <w:szCs w:val="21"/>
                    </w:rPr>
                  </w:pPr>
                  <w:r>
                    <w:rPr>
                      <w:rFonts w:hint="eastAsia"/>
                      <w:color w:val="auto"/>
                      <w:kern w:val="2"/>
                      <w:sz w:val="21"/>
                      <w:szCs w:val="21"/>
                    </w:rPr>
                    <w:t>6层，占地面积5</w:t>
                  </w:r>
                  <w:r>
                    <w:rPr>
                      <w:color w:val="auto"/>
                      <w:kern w:val="2"/>
                      <w:sz w:val="21"/>
                      <w:szCs w:val="21"/>
                    </w:rPr>
                    <w:t>399.15m</w:t>
                  </w:r>
                  <w:r>
                    <w:rPr>
                      <w:color w:val="auto"/>
                      <w:kern w:val="2"/>
                      <w:sz w:val="21"/>
                      <w:szCs w:val="21"/>
                      <w:vertAlign w:val="superscript"/>
                    </w:rPr>
                    <w:t>2</w:t>
                  </w:r>
                </w:p>
              </w:tc>
            </w:tr>
            <w:tr w14:paraId="4EFF4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1400A78D">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A35BEB2">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4B99F3F4">
                  <w:pPr>
                    <w:widowControl/>
                    <w:adjustRightInd w:val="0"/>
                    <w:snapToGrid w:val="0"/>
                    <w:jc w:val="center"/>
                    <w:rPr>
                      <w:bCs/>
                      <w:color w:val="auto"/>
                      <w:kern w:val="0"/>
                      <w:sz w:val="21"/>
                      <w:szCs w:val="21"/>
                    </w:rPr>
                  </w:pPr>
                  <w:r>
                    <w:rPr>
                      <w:rFonts w:hint="eastAsia"/>
                      <w:bCs/>
                      <w:color w:val="auto"/>
                      <w:kern w:val="0"/>
                      <w:sz w:val="21"/>
                      <w:szCs w:val="21"/>
                    </w:rPr>
                    <w:t>住宿楼</w:t>
                  </w:r>
                </w:p>
              </w:tc>
              <w:tc>
                <w:tcPr>
                  <w:tcW w:w="3513" w:type="pct"/>
                  <w:tcBorders>
                    <w:top w:val="single" w:color="auto" w:sz="4" w:space="0"/>
                    <w:left w:val="single" w:color="auto" w:sz="4" w:space="0"/>
                    <w:bottom w:val="single" w:color="auto" w:sz="4" w:space="0"/>
                    <w:right w:val="nil"/>
                  </w:tcBorders>
                  <w:vAlign w:val="center"/>
                </w:tcPr>
                <w:p w14:paraId="10C1D11F">
                  <w:pPr>
                    <w:adjustRightInd w:val="0"/>
                    <w:snapToGrid w:val="0"/>
                    <w:jc w:val="center"/>
                    <w:rPr>
                      <w:color w:val="auto"/>
                      <w:kern w:val="2"/>
                      <w:sz w:val="21"/>
                      <w:szCs w:val="21"/>
                    </w:rPr>
                  </w:pPr>
                  <w:r>
                    <w:rPr>
                      <w:rFonts w:hint="eastAsia"/>
                      <w:color w:val="auto"/>
                      <w:kern w:val="2"/>
                      <w:sz w:val="21"/>
                      <w:szCs w:val="21"/>
                    </w:rPr>
                    <w:t>2层，占地面积</w:t>
                  </w:r>
                  <w:r>
                    <w:rPr>
                      <w:color w:val="auto"/>
                      <w:kern w:val="2"/>
                      <w:sz w:val="21"/>
                      <w:szCs w:val="21"/>
                    </w:rPr>
                    <w:t>1328.08m</w:t>
                  </w:r>
                  <w:r>
                    <w:rPr>
                      <w:color w:val="auto"/>
                      <w:kern w:val="2"/>
                      <w:sz w:val="21"/>
                      <w:szCs w:val="21"/>
                      <w:vertAlign w:val="superscript"/>
                    </w:rPr>
                    <w:t>2</w:t>
                  </w:r>
                </w:p>
              </w:tc>
            </w:tr>
            <w:tr w14:paraId="26422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24D929CF">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85BC00D">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1290A7A3">
                  <w:pPr>
                    <w:widowControl/>
                    <w:adjustRightInd w:val="0"/>
                    <w:snapToGrid w:val="0"/>
                    <w:jc w:val="center"/>
                    <w:rPr>
                      <w:bCs/>
                      <w:color w:val="auto"/>
                      <w:kern w:val="0"/>
                      <w:sz w:val="21"/>
                      <w:szCs w:val="21"/>
                    </w:rPr>
                  </w:pPr>
                  <w:r>
                    <w:rPr>
                      <w:rFonts w:hint="eastAsia"/>
                      <w:bCs/>
                      <w:color w:val="auto"/>
                      <w:kern w:val="0"/>
                      <w:sz w:val="21"/>
                      <w:szCs w:val="21"/>
                    </w:rPr>
                    <w:t>食堂</w:t>
                  </w:r>
                </w:p>
              </w:tc>
              <w:tc>
                <w:tcPr>
                  <w:tcW w:w="3513" w:type="pct"/>
                  <w:tcBorders>
                    <w:top w:val="single" w:color="auto" w:sz="4" w:space="0"/>
                    <w:left w:val="single" w:color="auto" w:sz="4" w:space="0"/>
                    <w:bottom w:val="single" w:color="auto" w:sz="4" w:space="0"/>
                    <w:right w:val="nil"/>
                  </w:tcBorders>
                  <w:vAlign w:val="center"/>
                </w:tcPr>
                <w:p w14:paraId="137D64FC">
                  <w:pPr>
                    <w:adjustRightInd w:val="0"/>
                    <w:snapToGrid w:val="0"/>
                    <w:jc w:val="center"/>
                    <w:rPr>
                      <w:color w:val="auto"/>
                      <w:kern w:val="2"/>
                      <w:sz w:val="21"/>
                      <w:szCs w:val="22"/>
                    </w:rPr>
                  </w:pPr>
                  <w:r>
                    <w:rPr>
                      <w:rFonts w:hint="eastAsia"/>
                      <w:color w:val="auto"/>
                      <w:kern w:val="2"/>
                      <w:sz w:val="21"/>
                      <w:szCs w:val="21"/>
                    </w:rPr>
                    <w:t>1层，占地面积</w:t>
                  </w:r>
                  <w:r>
                    <w:rPr>
                      <w:color w:val="auto"/>
                      <w:kern w:val="2"/>
                      <w:sz w:val="21"/>
                      <w:szCs w:val="21"/>
                    </w:rPr>
                    <w:t>329.69m</w:t>
                  </w:r>
                  <w:r>
                    <w:rPr>
                      <w:color w:val="auto"/>
                      <w:kern w:val="2"/>
                      <w:sz w:val="21"/>
                      <w:szCs w:val="21"/>
                      <w:vertAlign w:val="superscript"/>
                    </w:rPr>
                    <w:t>2</w:t>
                  </w:r>
                </w:p>
              </w:tc>
            </w:tr>
            <w:tr w14:paraId="3D3DB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53770357">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1D97273">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18AD70D0">
                  <w:pPr>
                    <w:widowControl/>
                    <w:adjustRightInd w:val="0"/>
                    <w:snapToGrid w:val="0"/>
                    <w:jc w:val="center"/>
                    <w:rPr>
                      <w:bCs/>
                      <w:color w:val="auto"/>
                      <w:kern w:val="0"/>
                      <w:sz w:val="21"/>
                      <w:szCs w:val="21"/>
                    </w:rPr>
                  </w:pPr>
                  <w:r>
                    <w:rPr>
                      <w:rFonts w:hint="eastAsia"/>
                      <w:bCs/>
                      <w:color w:val="auto"/>
                      <w:kern w:val="0"/>
                      <w:sz w:val="21"/>
                      <w:szCs w:val="21"/>
                    </w:rPr>
                    <w:t>调度楼</w:t>
                  </w:r>
                </w:p>
              </w:tc>
              <w:tc>
                <w:tcPr>
                  <w:tcW w:w="3513" w:type="pct"/>
                  <w:tcBorders>
                    <w:top w:val="single" w:color="auto" w:sz="4" w:space="0"/>
                    <w:left w:val="single" w:color="auto" w:sz="4" w:space="0"/>
                    <w:bottom w:val="single" w:color="auto" w:sz="4" w:space="0"/>
                    <w:right w:val="nil"/>
                  </w:tcBorders>
                  <w:vAlign w:val="center"/>
                </w:tcPr>
                <w:p w14:paraId="64FA0DDD">
                  <w:pPr>
                    <w:adjustRightInd w:val="0"/>
                    <w:snapToGrid w:val="0"/>
                    <w:jc w:val="center"/>
                    <w:rPr>
                      <w:color w:val="auto"/>
                      <w:kern w:val="2"/>
                      <w:sz w:val="21"/>
                      <w:szCs w:val="22"/>
                    </w:rPr>
                  </w:pPr>
                  <w:r>
                    <w:rPr>
                      <w:rFonts w:hint="eastAsia"/>
                      <w:color w:val="auto"/>
                      <w:kern w:val="2"/>
                      <w:sz w:val="21"/>
                      <w:szCs w:val="21"/>
                    </w:rPr>
                    <w:t>2层，占地面积</w:t>
                  </w:r>
                  <w:r>
                    <w:rPr>
                      <w:color w:val="auto"/>
                      <w:kern w:val="2"/>
                      <w:sz w:val="21"/>
                      <w:szCs w:val="21"/>
                    </w:rPr>
                    <w:t>984.81m</w:t>
                  </w:r>
                  <w:r>
                    <w:rPr>
                      <w:color w:val="auto"/>
                      <w:kern w:val="2"/>
                      <w:sz w:val="21"/>
                      <w:szCs w:val="21"/>
                      <w:vertAlign w:val="superscript"/>
                    </w:rPr>
                    <w:t>2</w:t>
                  </w:r>
                </w:p>
              </w:tc>
            </w:tr>
            <w:tr w14:paraId="02A09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50ABB15E">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6A19453">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7E077D0D">
                  <w:pPr>
                    <w:widowControl/>
                    <w:adjustRightInd w:val="0"/>
                    <w:snapToGrid w:val="0"/>
                    <w:jc w:val="center"/>
                    <w:rPr>
                      <w:bCs/>
                      <w:color w:val="auto"/>
                      <w:kern w:val="0"/>
                      <w:sz w:val="21"/>
                      <w:szCs w:val="21"/>
                    </w:rPr>
                  </w:pPr>
                  <w:r>
                    <w:rPr>
                      <w:rFonts w:hint="eastAsia"/>
                      <w:bCs/>
                      <w:color w:val="auto"/>
                      <w:kern w:val="0"/>
                      <w:sz w:val="21"/>
                      <w:szCs w:val="21"/>
                    </w:rPr>
                    <w:t>机修材料库</w:t>
                  </w:r>
                </w:p>
              </w:tc>
              <w:tc>
                <w:tcPr>
                  <w:tcW w:w="3513" w:type="pct"/>
                  <w:tcBorders>
                    <w:top w:val="single" w:color="auto" w:sz="4" w:space="0"/>
                    <w:left w:val="single" w:color="auto" w:sz="4" w:space="0"/>
                    <w:bottom w:val="single" w:color="auto" w:sz="4" w:space="0"/>
                    <w:right w:val="nil"/>
                  </w:tcBorders>
                  <w:vAlign w:val="center"/>
                </w:tcPr>
                <w:p w14:paraId="41F6FC80">
                  <w:pPr>
                    <w:adjustRightInd w:val="0"/>
                    <w:snapToGrid w:val="0"/>
                    <w:jc w:val="center"/>
                    <w:rPr>
                      <w:color w:val="auto"/>
                      <w:kern w:val="2"/>
                      <w:sz w:val="21"/>
                      <w:szCs w:val="21"/>
                    </w:rPr>
                  </w:pPr>
                  <w:r>
                    <w:rPr>
                      <w:rFonts w:hint="eastAsia"/>
                      <w:color w:val="auto"/>
                      <w:kern w:val="2"/>
                      <w:sz w:val="21"/>
                      <w:szCs w:val="21"/>
                    </w:rPr>
                    <w:t>1层，占地面积</w:t>
                  </w:r>
                  <w:r>
                    <w:rPr>
                      <w:color w:val="auto"/>
                      <w:kern w:val="2"/>
                      <w:sz w:val="21"/>
                      <w:szCs w:val="21"/>
                    </w:rPr>
                    <w:t>2863m</w:t>
                  </w:r>
                  <w:r>
                    <w:rPr>
                      <w:color w:val="auto"/>
                      <w:kern w:val="2"/>
                      <w:sz w:val="21"/>
                      <w:szCs w:val="21"/>
                      <w:vertAlign w:val="superscript"/>
                    </w:rPr>
                    <w:t>2</w:t>
                  </w:r>
                </w:p>
              </w:tc>
            </w:tr>
            <w:tr w14:paraId="11D63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58ADC4A5">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759234F">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5C253019">
                  <w:pPr>
                    <w:widowControl/>
                    <w:adjustRightInd w:val="0"/>
                    <w:snapToGrid w:val="0"/>
                    <w:jc w:val="center"/>
                    <w:rPr>
                      <w:bCs/>
                      <w:color w:val="auto"/>
                      <w:kern w:val="0"/>
                      <w:sz w:val="21"/>
                      <w:szCs w:val="21"/>
                    </w:rPr>
                  </w:pPr>
                  <w:r>
                    <w:rPr>
                      <w:rFonts w:hint="eastAsia"/>
                      <w:bCs/>
                      <w:color w:val="auto"/>
                      <w:kern w:val="0"/>
                      <w:sz w:val="21"/>
                      <w:szCs w:val="21"/>
                    </w:rPr>
                    <w:t>1</w:t>
                  </w:r>
                  <w:r>
                    <w:rPr>
                      <w:bCs/>
                      <w:color w:val="auto"/>
                      <w:kern w:val="0"/>
                      <w:sz w:val="21"/>
                      <w:szCs w:val="21"/>
                    </w:rPr>
                    <w:t>#-3#</w:t>
                  </w:r>
                  <w:r>
                    <w:rPr>
                      <w:rFonts w:hint="eastAsia"/>
                      <w:bCs/>
                      <w:color w:val="auto"/>
                      <w:kern w:val="0"/>
                      <w:sz w:val="21"/>
                      <w:szCs w:val="21"/>
                    </w:rPr>
                    <w:t>配电房</w:t>
                  </w:r>
                </w:p>
              </w:tc>
              <w:tc>
                <w:tcPr>
                  <w:tcW w:w="3513" w:type="pct"/>
                  <w:tcBorders>
                    <w:top w:val="single" w:color="auto" w:sz="4" w:space="0"/>
                    <w:left w:val="single" w:color="auto" w:sz="4" w:space="0"/>
                    <w:bottom w:val="single" w:color="auto" w:sz="4" w:space="0"/>
                    <w:right w:val="nil"/>
                  </w:tcBorders>
                  <w:vAlign w:val="center"/>
                </w:tcPr>
                <w:p w14:paraId="492426F9">
                  <w:pPr>
                    <w:adjustRightInd w:val="0"/>
                    <w:snapToGrid w:val="0"/>
                    <w:jc w:val="center"/>
                    <w:rPr>
                      <w:color w:val="auto"/>
                      <w:kern w:val="2"/>
                      <w:sz w:val="21"/>
                      <w:szCs w:val="21"/>
                    </w:rPr>
                  </w:pPr>
                  <w:r>
                    <w:rPr>
                      <w:rFonts w:hint="eastAsia"/>
                      <w:color w:val="auto"/>
                      <w:kern w:val="2"/>
                      <w:sz w:val="21"/>
                      <w:szCs w:val="21"/>
                    </w:rPr>
                    <w:t>共3个，每个占地面积1</w:t>
                  </w:r>
                  <w:r>
                    <w:rPr>
                      <w:color w:val="auto"/>
                      <w:kern w:val="2"/>
                      <w:sz w:val="21"/>
                      <w:szCs w:val="21"/>
                    </w:rPr>
                    <w:t>68.16 m</w:t>
                  </w:r>
                  <w:r>
                    <w:rPr>
                      <w:color w:val="auto"/>
                      <w:kern w:val="2"/>
                      <w:sz w:val="21"/>
                      <w:szCs w:val="21"/>
                      <w:vertAlign w:val="superscript"/>
                    </w:rPr>
                    <w:t>2</w:t>
                  </w:r>
                </w:p>
              </w:tc>
            </w:tr>
            <w:tr w14:paraId="44569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0152735B">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DD82EB6">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41A11B73">
                  <w:pPr>
                    <w:widowControl/>
                    <w:adjustRightInd w:val="0"/>
                    <w:snapToGrid w:val="0"/>
                    <w:jc w:val="center"/>
                    <w:rPr>
                      <w:bCs/>
                      <w:color w:val="auto"/>
                      <w:kern w:val="0"/>
                      <w:sz w:val="21"/>
                      <w:szCs w:val="21"/>
                    </w:rPr>
                  </w:pPr>
                  <w:r>
                    <w:rPr>
                      <w:bCs/>
                      <w:color w:val="auto"/>
                      <w:kern w:val="0"/>
                      <w:sz w:val="21"/>
                      <w:szCs w:val="21"/>
                    </w:rPr>
                    <w:t>4#-5#</w:t>
                  </w:r>
                  <w:r>
                    <w:rPr>
                      <w:rFonts w:hint="eastAsia"/>
                      <w:bCs/>
                      <w:color w:val="auto"/>
                      <w:kern w:val="0"/>
                      <w:sz w:val="21"/>
                      <w:szCs w:val="21"/>
                    </w:rPr>
                    <w:t>配电房</w:t>
                  </w:r>
                </w:p>
              </w:tc>
              <w:tc>
                <w:tcPr>
                  <w:tcW w:w="3513" w:type="pct"/>
                  <w:tcBorders>
                    <w:top w:val="single" w:color="auto" w:sz="4" w:space="0"/>
                    <w:left w:val="single" w:color="auto" w:sz="4" w:space="0"/>
                    <w:bottom w:val="single" w:color="auto" w:sz="4" w:space="0"/>
                    <w:right w:val="nil"/>
                  </w:tcBorders>
                  <w:vAlign w:val="center"/>
                </w:tcPr>
                <w:p w14:paraId="78A566BB">
                  <w:pPr>
                    <w:adjustRightInd w:val="0"/>
                    <w:snapToGrid w:val="0"/>
                    <w:jc w:val="center"/>
                    <w:rPr>
                      <w:color w:val="auto"/>
                      <w:kern w:val="2"/>
                      <w:sz w:val="21"/>
                      <w:szCs w:val="21"/>
                    </w:rPr>
                  </w:pPr>
                  <w:r>
                    <w:rPr>
                      <w:rFonts w:hint="eastAsia"/>
                      <w:color w:val="auto"/>
                      <w:kern w:val="2"/>
                      <w:sz w:val="21"/>
                      <w:szCs w:val="21"/>
                    </w:rPr>
                    <w:t>共</w:t>
                  </w:r>
                  <w:r>
                    <w:rPr>
                      <w:color w:val="auto"/>
                      <w:kern w:val="2"/>
                      <w:sz w:val="21"/>
                      <w:szCs w:val="21"/>
                    </w:rPr>
                    <w:t>2</w:t>
                  </w:r>
                  <w:r>
                    <w:rPr>
                      <w:rFonts w:hint="eastAsia"/>
                      <w:color w:val="auto"/>
                      <w:kern w:val="2"/>
                      <w:sz w:val="21"/>
                      <w:szCs w:val="21"/>
                    </w:rPr>
                    <w:t>个，每个占地面积2</w:t>
                  </w:r>
                  <w:r>
                    <w:rPr>
                      <w:color w:val="auto"/>
                      <w:kern w:val="2"/>
                      <w:sz w:val="21"/>
                      <w:szCs w:val="21"/>
                    </w:rPr>
                    <w:t>66.59 m</w:t>
                  </w:r>
                  <w:r>
                    <w:rPr>
                      <w:color w:val="auto"/>
                      <w:kern w:val="2"/>
                      <w:sz w:val="21"/>
                      <w:szCs w:val="21"/>
                      <w:vertAlign w:val="superscript"/>
                    </w:rPr>
                    <w:t>2</w:t>
                  </w:r>
                  <w:r>
                    <w:rPr>
                      <w:color w:val="auto"/>
                      <w:kern w:val="2"/>
                      <w:sz w:val="21"/>
                      <w:szCs w:val="21"/>
                    </w:rPr>
                    <w:t>*2</w:t>
                  </w:r>
                </w:p>
              </w:tc>
            </w:tr>
            <w:tr w14:paraId="6367F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2F35F486">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23DAD78">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2AEB0186">
                  <w:pPr>
                    <w:widowControl/>
                    <w:adjustRightInd w:val="0"/>
                    <w:snapToGrid w:val="0"/>
                    <w:jc w:val="center"/>
                    <w:rPr>
                      <w:bCs/>
                      <w:color w:val="auto"/>
                      <w:kern w:val="0"/>
                      <w:sz w:val="21"/>
                      <w:szCs w:val="21"/>
                    </w:rPr>
                  </w:pPr>
                  <w:r>
                    <w:rPr>
                      <w:rFonts w:hint="eastAsia"/>
                      <w:bCs/>
                      <w:color w:val="auto"/>
                      <w:kern w:val="0"/>
                      <w:sz w:val="21"/>
                      <w:szCs w:val="21"/>
                    </w:rPr>
                    <w:t>泵房</w:t>
                  </w:r>
                </w:p>
              </w:tc>
              <w:tc>
                <w:tcPr>
                  <w:tcW w:w="3513" w:type="pct"/>
                  <w:tcBorders>
                    <w:top w:val="single" w:color="auto" w:sz="4" w:space="0"/>
                    <w:left w:val="single" w:color="auto" w:sz="4" w:space="0"/>
                    <w:bottom w:val="single" w:color="auto" w:sz="4" w:space="0"/>
                    <w:right w:val="nil"/>
                  </w:tcBorders>
                  <w:vAlign w:val="center"/>
                </w:tcPr>
                <w:p w14:paraId="74A23744">
                  <w:pPr>
                    <w:adjustRightInd w:val="0"/>
                    <w:snapToGrid w:val="0"/>
                    <w:jc w:val="center"/>
                    <w:rPr>
                      <w:color w:val="auto"/>
                      <w:kern w:val="2"/>
                      <w:sz w:val="21"/>
                      <w:szCs w:val="21"/>
                    </w:rPr>
                  </w:pPr>
                  <w:r>
                    <w:rPr>
                      <w:rFonts w:hint="eastAsia"/>
                      <w:color w:val="auto"/>
                      <w:kern w:val="2"/>
                      <w:sz w:val="21"/>
                      <w:szCs w:val="21"/>
                    </w:rPr>
                    <w:t>占地面积</w:t>
                  </w:r>
                  <w:r>
                    <w:rPr>
                      <w:color w:val="auto"/>
                      <w:kern w:val="2"/>
                      <w:sz w:val="21"/>
                      <w:szCs w:val="21"/>
                    </w:rPr>
                    <w:t>175.79m</w:t>
                  </w:r>
                  <w:r>
                    <w:rPr>
                      <w:color w:val="auto"/>
                      <w:kern w:val="2"/>
                      <w:sz w:val="21"/>
                      <w:szCs w:val="21"/>
                      <w:vertAlign w:val="superscript"/>
                    </w:rPr>
                    <w:t>2</w:t>
                  </w:r>
                </w:p>
              </w:tc>
            </w:tr>
            <w:tr w14:paraId="495A8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53BE678A">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18D4631">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365357C7">
                  <w:pPr>
                    <w:widowControl/>
                    <w:adjustRightInd w:val="0"/>
                    <w:snapToGrid w:val="0"/>
                    <w:jc w:val="center"/>
                    <w:rPr>
                      <w:bCs/>
                      <w:color w:val="auto"/>
                      <w:kern w:val="0"/>
                      <w:sz w:val="21"/>
                      <w:szCs w:val="21"/>
                    </w:rPr>
                  </w:pPr>
                  <w:r>
                    <w:rPr>
                      <w:rFonts w:hint="eastAsia"/>
                      <w:bCs/>
                      <w:color w:val="auto"/>
                      <w:kern w:val="0"/>
                      <w:sz w:val="21"/>
                      <w:szCs w:val="21"/>
                    </w:rPr>
                    <w:t>件杂货仓库</w:t>
                  </w:r>
                </w:p>
              </w:tc>
              <w:tc>
                <w:tcPr>
                  <w:tcW w:w="3513" w:type="pct"/>
                  <w:tcBorders>
                    <w:top w:val="single" w:color="auto" w:sz="4" w:space="0"/>
                    <w:left w:val="single" w:color="auto" w:sz="4" w:space="0"/>
                    <w:bottom w:val="single" w:color="auto" w:sz="4" w:space="0"/>
                    <w:right w:val="nil"/>
                  </w:tcBorders>
                  <w:vAlign w:val="center"/>
                </w:tcPr>
                <w:p w14:paraId="2CC7C4C5">
                  <w:pPr>
                    <w:adjustRightInd w:val="0"/>
                    <w:snapToGrid w:val="0"/>
                    <w:jc w:val="center"/>
                    <w:rPr>
                      <w:color w:val="auto"/>
                      <w:kern w:val="2"/>
                      <w:sz w:val="21"/>
                      <w:szCs w:val="21"/>
                    </w:rPr>
                  </w:pPr>
                  <w:r>
                    <w:rPr>
                      <w:rFonts w:hint="eastAsia"/>
                      <w:color w:val="auto"/>
                      <w:kern w:val="2"/>
                      <w:sz w:val="21"/>
                      <w:szCs w:val="21"/>
                    </w:rPr>
                    <w:t>共2个，每个占地面积8</w:t>
                  </w:r>
                  <w:r>
                    <w:rPr>
                      <w:color w:val="auto"/>
                      <w:kern w:val="2"/>
                      <w:sz w:val="21"/>
                      <w:szCs w:val="21"/>
                    </w:rPr>
                    <w:t>126.36m</w:t>
                  </w:r>
                  <w:r>
                    <w:rPr>
                      <w:color w:val="auto"/>
                      <w:kern w:val="2"/>
                      <w:sz w:val="21"/>
                      <w:szCs w:val="21"/>
                      <w:vertAlign w:val="superscript"/>
                    </w:rPr>
                    <w:t>2</w:t>
                  </w:r>
                </w:p>
              </w:tc>
            </w:tr>
            <w:tr w14:paraId="675DE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7B722B30">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07A118D">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249C6B58">
                  <w:pPr>
                    <w:widowControl/>
                    <w:adjustRightInd w:val="0"/>
                    <w:snapToGrid w:val="0"/>
                    <w:jc w:val="center"/>
                    <w:rPr>
                      <w:bCs/>
                      <w:color w:val="auto"/>
                      <w:kern w:val="0"/>
                      <w:sz w:val="21"/>
                      <w:szCs w:val="21"/>
                    </w:rPr>
                  </w:pPr>
                  <w:r>
                    <w:rPr>
                      <w:rFonts w:hint="eastAsia"/>
                      <w:bCs/>
                      <w:color w:val="auto"/>
                      <w:kern w:val="0"/>
                      <w:sz w:val="21"/>
                      <w:szCs w:val="21"/>
                    </w:rPr>
                    <w:t>侯工房</w:t>
                  </w:r>
                </w:p>
              </w:tc>
              <w:tc>
                <w:tcPr>
                  <w:tcW w:w="3513" w:type="pct"/>
                  <w:tcBorders>
                    <w:top w:val="single" w:color="auto" w:sz="4" w:space="0"/>
                    <w:left w:val="single" w:color="auto" w:sz="4" w:space="0"/>
                    <w:bottom w:val="single" w:color="auto" w:sz="4" w:space="0"/>
                    <w:right w:val="nil"/>
                  </w:tcBorders>
                  <w:vAlign w:val="center"/>
                </w:tcPr>
                <w:p w14:paraId="550219BA">
                  <w:pPr>
                    <w:adjustRightInd w:val="0"/>
                    <w:snapToGrid w:val="0"/>
                    <w:jc w:val="center"/>
                    <w:rPr>
                      <w:color w:val="auto"/>
                      <w:kern w:val="2"/>
                      <w:sz w:val="21"/>
                      <w:szCs w:val="21"/>
                    </w:rPr>
                  </w:pPr>
                  <w:r>
                    <w:rPr>
                      <w:rFonts w:hint="eastAsia"/>
                      <w:color w:val="auto"/>
                      <w:kern w:val="2"/>
                      <w:sz w:val="21"/>
                      <w:szCs w:val="21"/>
                    </w:rPr>
                    <w:t>共2个，每个占地面积</w:t>
                  </w:r>
                  <w:r>
                    <w:rPr>
                      <w:color w:val="auto"/>
                      <w:kern w:val="2"/>
                      <w:sz w:val="21"/>
                      <w:szCs w:val="21"/>
                    </w:rPr>
                    <w:t>82.52m</w:t>
                  </w:r>
                  <w:r>
                    <w:rPr>
                      <w:color w:val="auto"/>
                      <w:kern w:val="2"/>
                      <w:sz w:val="21"/>
                      <w:szCs w:val="21"/>
                      <w:vertAlign w:val="superscript"/>
                    </w:rPr>
                    <w:t>2</w:t>
                  </w:r>
                </w:p>
              </w:tc>
            </w:tr>
            <w:tr w14:paraId="151E6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5CF6E86C">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E25F9DE">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5F014A6D">
                  <w:pPr>
                    <w:widowControl/>
                    <w:adjustRightInd w:val="0"/>
                    <w:snapToGrid w:val="0"/>
                    <w:jc w:val="center"/>
                    <w:rPr>
                      <w:bCs/>
                      <w:color w:val="auto"/>
                      <w:kern w:val="0"/>
                      <w:sz w:val="21"/>
                      <w:szCs w:val="21"/>
                    </w:rPr>
                  </w:pPr>
                  <w:r>
                    <w:rPr>
                      <w:rFonts w:hint="eastAsia"/>
                      <w:bCs/>
                      <w:color w:val="auto"/>
                      <w:kern w:val="0"/>
                      <w:sz w:val="21"/>
                      <w:szCs w:val="21"/>
                    </w:rPr>
                    <w:t>地磅房</w:t>
                  </w:r>
                </w:p>
              </w:tc>
              <w:tc>
                <w:tcPr>
                  <w:tcW w:w="3513" w:type="pct"/>
                  <w:tcBorders>
                    <w:top w:val="single" w:color="auto" w:sz="4" w:space="0"/>
                    <w:left w:val="single" w:color="auto" w:sz="4" w:space="0"/>
                    <w:bottom w:val="single" w:color="auto" w:sz="4" w:space="0"/>
                    <w:right w:val="nil"/>
                  </w:tcBorders>
                  <w:vAlign w:val="center"/>
                </w:tcPr>
                <w:p w14:paraId="44EEA1CD">
                  <w:pPr>
                    <w:adjustRightInd w:val="0"/>
                    <w:snapToGrid w:val="0"/>
                    <w:jc w:val="center"/>
                    <w:rPr>
                      <w:color w:val="auto"/>
                      <w:kern w:val="2"/>
                      <w:sz w:val="21"/>
                      <w:szCs w:val="21"/>
                    </w:rPr>
                  </w:pPr>
                  <w:r>
                    <w:rPr>
                      <w:rFonts w:hint="eastAsia"/>
                      <w:color w:val="auto"/>
                      <w:kern w:val="2"/>
                      <w:sz w:val="21"/>
                      <w:szCs w:val="21"/>
                    </w:rPr>
                    <w:t>共2个，每个占地面积</w:t>
                  </w:r>
                  <w:r>
                    <w:rPr>
                      <w:color w:val="auto"/>
                      <w:kern w:val="2"/>
                      <w:sz w:val="21"/>
                      <w:szCs w:val="21"/>
                    </w:rPr>
                    <w:t>28.37m</w:t>
                  </w:r>
                  <w:r>
                    <w:rPr>
                      <w:color w:val="auto"/>
                      <w:kern w:val="2"/>
                      <w:sz w:val="21"/>
                      <w:szCs w:val="21"/>
                      <w:vertAlign w:val="superscript"/>
                    </w:rPr>
                    <w:t>2</w:t>
                  </w:r>
                </w:p>
              </w:tc>
            </w:tr>
            <w:tr w14:paraId="1123D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664F848F">
                  <w:pPr>
                    <w:widowControl/>
                    <w:jc w:val="center"/>
                    <w:rPr>
                      <w:bCs/>
                      <w:color w:val="auto"/>
                      <w:kern w:val="2"/>
                      <w:sz w:val="24"/>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0AB916A">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22A097B4">
                  <w:pPr>
                    <w:widowControl/>
                    <w:adjustRightInd w:val="0"/>
                    <w:snapToGrid w:val="0"/>
                    <w:jc w:val="center"/>
                    <w:rPr>
                      <w:bCs/>
                      <w:color w:val="auto"/>
                      <w:kern w:val="0"/>
                      <w:sz w:val="21"/>
                      <w:szCs w:val="21"/>
                    </w:rPr>
                  </w:pPr>
                  <w:r>
                    <w:rPr>
                      <w:rFonts w:hint="eastAsia"/>
                      <w:bCs/>
                      <w:color w:val="auto"/>
                      <w:kern w:val="0"/>
                      <w:sz w:val="21"/>
                      <w:szCs w:val="21"/>
                    </w:rPr>
                    <w:t>门卫</w:t>
                  </w:r>
                </w:p>
              </w:tc>
              <w:tc>
                <w:tcPr>
                  <w:tcW w:w="3513" w:type="pct"/>
                  <w:tcBorders>
                    <w:top w:val="single" w:color="auto" w:sz="4" w:space="0"/>
                    <w:left w:val="single" w:color="auto" w:sz="4" w:space="0"/>
                    <w:bottom w:val="single" w:color="auto" w:sz="4" w:space="0"/>
                    <w:right w:val="nil"/>
                  </w:tcBorders>
                  <w:vAlign w:val="center"/>
                </w:tcPr>
                <w:p w14:paraId="05A13C75">
                  <w:pPr>
                    <w:adjustRightInd w:val="0"/>
                    <w:snapToGrid w:val="0"/>
                    <w:jc w:val="center"/>
                    <w:rPr>
                      <w:color w:val="auto"/>
                      <w:kern w:val="2"/>
                      <w:sz w:val="21"/>
                      <w:szCs w:val="21"/>
                    </w:rPr>
                  </w:pPr>
                  <w:r>
                    <w:rPr>
                      <w:rFonts w:hint="eastAsia"/>
                      <w:color w:val="auto"/>
                      <w:kern w:val="2"/>
                      <w:sz w:val="21"/>
                      <w:szCs w:val="21"/>
                    </w:rPr>
                    <w:t>共5个，每个占地面积3</w:t>
                  </w:r>
                  <w:r>
                    <w:rPr>
                      <w:color w:val="auto"/>
                      <w:kern w:val="2"/>
                      <w:sz w:val="21"/>
                      <w:szCs w:val="21"/>
                    </w:rPr>
                    <w:t>5.02m</w:t>
                  </w:r>
                  <w:r>
                    <w:rPr>
                      <w:color w:val="auto"/>
                      <w:kern w:val="2"/>
                      <w:sz w:val="21"/>
                      <w:szCs w:val="21"/>
                      <w:vertAlign w:val="superscript"/>
                    </w:rPr>
                    <w:t>2</w:t>
                  </w:r>
                </w:p>
              </w:tc>
            </w:tr>
            <w:tr w14:paraId="34386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0BDBCB09">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3</w:t>
                  </w:r>
                </w:p>
              </w:tc>
              <w:tc>
                <w:tcPr>
                  <w:tcW w:w="368" w:type="pct"/>
                  <w:vMerge w:val="restart"/>
                  <w:tcBorders>
                    <w:top w:val="single" w:color="auto" w:sz="4" w:space="0"/>
                    <w:left w:val="single" w:color="auto" w:sz="4" w:space="0"/>
                    <w:bottom w:val="single" w:color="auto" w:sz="4" w:space="0"/>
                    <w:right w:val="single" w:color="auto" w:sz="4" w:space="0"/>
                  </w:tcBorders>
                  <w:vAlign w:val="center"/>
                </w:tcPr>
                <w:p w14:paraId="17F34B89">
                  <w:pPr>
                    <w:adjustRightInd w:val="0"/>
                    <w:snapToGrid w:val="0"/>
                    <w:jc w:val="center"/>
                    <w:rPr>
                      <w:color w:val="auto"/>
                      <w:kern w:val="2"/>
                      <w:sz w:val="21"/>
                      <w:szCs w:val="21"/>
                    </w:rPr>
                  </w:pPr>
                  <w:r>
                    <w:rPr>
                      <w:rFonts w:hint="eastAsia"/>
                      <w:color w:val="auto"/>
                      <w:kern w:val="2"/>
                      <w:sz w:val="21"/>
                      <w:szCs w:val="21"/>
                    </w:rPr>
                    <w:t>公用工程</w:t>
                  </w:r>
                </w:p>
              </w:tc>
              <w:tc>
                <w:tcPr>
                  <w:tcW w:w="753" w:type="pct"/>
                  <w:tcBorders>
                    <w:top w:val="single" w:color="auto" w:sz="4" w:space="0"/>
                    <w:left w:val="single" w:color="auto" w:sz="4" w:space="0"/>
                    <w:bottom w:val="single" w:color="auto" w:sz="4" w:space="0"/>
                    <w:right w:val="single" w:color="auto" w:sz="4" w:space="0"/>
                  </w:tcBorders>
                  <w:vAlign w:val="center"/>
                </w:tcPr>
                <w:p w14:paraId="38F2A668">
                  <w:pPr>
                    <w:adjustRightInd w:val="0"/>
                    <w:snapToGrid w:val="0"/>
                    <w:jc w:val="center"/>
                    <w:rPr>
                      <w:color w:val="auto"/>
                      <w:kern w:val="2"/>
                      <w:sz w:val="21"/>
                      <w:szCs w:val="21"/>
                    </w:rPr>
                  </w:pPr>
                  <w:r>
                    <w:rPr>
                      <w:rFonts w:hint="eastAsia"/>
                      <w:color w:val="auto"/>
                      <w:kern w:val="2"/>
                      <w:sz w:val="21"/>
                      <w:szCs w:val="21"/>
                    </w:rPr>
                    <w:t>给水</w:t>
                  </w:r>
                </w:p>
              </w:tc>
              <w:tc>
                <w:tcPr>
                  <w:tcW w:w="3513" w:type="pct"/>
                  <w:tcBorders>
                    <w:top w:val="single" w:color="auto" w:sz="4" w:space="0"/>
                    <w:left w:val="single" w:color="auto" w:sz="4" w:space="0"/>
                    <w:bottom w:val="single" w:color="auto" w:sz="4" w:space="0"/>
                    <w:right w:val="nil"/>
                  </w:tcBorders>
                  <w:vAlign w:val="center"/>
                </w:tcPr>
                <w:p w14:paraId="2A4693F2">
                  <w:pPr>
                    <w:autoSpaceDE w:val="0"/>
                    <w:autoSpaceDN w:val="0"/>
                    <w:adjustRightInd w:val="0"/>
                    <w:snapToGrid w:val="0"/>
                    <w:jc w:val="center"/>
                    <w:rPr>
                      <w:color w:val="auto"/>
                      <w:kern w:val="2"/>
                      <w:sz w:val="21"/>
                      <w:szCs w:val="21"/>
                    </w:rPr>
                  </w:pPr>
                  <w:r>
                    <w:rPr>
                      <w:color w:val="auto"/>
                      <w:kern w:val="2"/>
                      <w:sz w:val="21"/>
                      <w:szCs w:val="21"/>
                    </w:rPr>
                    <w:t>港区给水水源由港区外的</w:t>
                  </w:r>
                  <w:r>
                    <w:rPr>
                      <w:rFonts w:hint="eastAsia"/>
                      <w:color w:val="auto"/>
                      <w:kern w:val="2"/>
                      <w:sz w:val="21"/>
                      <w:szCs w:val="21"/>
                    </w:rPr>
                    <w:t>新港路</w:t>
                  </w:r>
                  <w:r>
                    <w:rPr>
                      <w:color w:val="auto"/>
                      <w:kern w:val="2"/>
                      <w:sz w:val="21"/>
                      <w:szCs w:val="21"/>
                    </w:rPr>
                    <w:t>自来水管网供给</w:t>
                  </w:r>
                  <w:r>
                    <w:rPr>
                      <w:rFonts w:hint="eastAsia"/>
                      <w:color w:val="auto"/>
                      <w:kern w:val="2"/>
                      <w:sz w:val="21"/>
                      <w:szCs w:val="21"/>
                    </w:rPr>
                    <w:t>，接管点位于港区大门处，年供水量为</w:t>
                  </w:r>
                  <w:r>
                    <w:rPr>
                      <w:color w:val="auto"/>
                      <w:kern w:val="2"/>
                      <w:sz w:val="21"/>
                      <w:szCs w:val="21"/>
                    </w:rPr>
                    <w:t>476907.9t/a</w:t>
                  </w:r>
                </w:p>
              </w:tc>
            </w:tr>
            <w:tr w14:paraId="336EE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39E08BE5">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4</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01FBEF8">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794FFF5F">
                  <w:pPr>
                    <w:adjustRightInd w:val="0"/>
                    <w:snapToGrid w:val="0"/>
                    <w:jc w:val="center"/>
                    <w:rPr>
                      <w:color w:val="auto"/>
                      <w:kern w:val="2"/>
                      <w:sz w:val="21"/>
                      <w:szCs w:val="21"/>
                    </w:rPr>
                  </w:pPr>
                  <w:r>
                    <w:rPr>
                      <w:rFonts w:hint="eastAsia"/>
                      <w:color w:val="auto"/>
                      <w:kern w:val="2"/>
                      <w:sz w:val="21"/>
                      <w:szCs w:val="21"/>
                    </w:rPr>
                    <w:t>排水</w:t>
                  </w:r>
                </w:p>
              </w:tc>
              <w:tc>
                <w:tcPr>
                  <w:tcW w:w="3513" w:type="pct"/>
                  <w:tcBorders>
                    <w:top w:val="single" w:color="auto" w:sz="4" w:space="0"/>
                    <w:left w:val="single" w:color="auto" w:sz="4" w:space="0"/>
                    <w:bottom w:val="single" w:color="auto" w:sz="4" w:space="0"/>
                    <w:right w:val="nil"/>
                  </w:tcBorders>
                  <w:vAlign w:val="center"/>
                </w:tcPr>
                <w:p w14:paraId="68496305">
                  <w:pPr>
                    <w:autoSpaceDE w:val="0"/>
                    <w:autoSpaceDN w:val="0"/>
                    <w:adjustRightInd w:val="0"/>
                    <w:snapToGrid w:val="0"/>
                    <w:jc w:val="center"/>
                    <w:rPr>
                      <w:color w:val="auto"/>
                      <w:kern w:val="2"/>
                      <w:sz w:val="21"/>
                      <w:szCs w:val="21"/>
                    </w:rPr>
                  </w:pPr>
                  <w:r>
                    <w:rPr>
                      <w:rFonts w:hint="eastAsia"/>
                      <w:bCs/>
                      <w:color w:val="auto"/>
                      <w:kern w:val="2"/>
                      <w:sz w:val="21"/>
                      <w:szCs w:val="21"/>
                    </w:rPr>
                    <w:t>本项目废水总量为1</w:t>
                  </w:r>
                  <w:r>
                    <w:rPr>
                      <w:bCs/>
                      <w:color w:val="auto"/>
                      <w:kern w:val="2"/>
                      <w:sz w:val="21"/>
                      <w:szCs w:val="21"/>
                    </w:rPr>
                    <w:t>99163.6t/a</w:t>
                  </w:r>
                  <w:r>
                    <w:rPr>
                      <w:rFonts w:hint="eastAsia"/>
                      <w:bCs/>
                      <w:color w:val="auto"/>
                      <w:kern w:val="2"/>
                      <w:sz w:val="21"/>
                      <w:szCs w:val="21"/>
                    </w:rPr>
                    <w:t>，其中船舶生活污水、码头生活污水共1</w:t>
                  </w:r>
                  <w:r>
                    <w:rPr>
                      <w:bCs/>
                      <w:color w:val="auto"/>
                      <w:kern w:val="2"/>
                      <w:sz w:val="21"/>
                      <w:szCs w:val="21"/>
                    </w:rPr>
                    <w:t>4600</w:t>
                  </w:r>
                  <w:r>
                    <w:rPr>
                      <w:rFonts w:hint="eastAsia"/>
                      <w:bCs/>
                      <w:color w:val="auto"/>
                      <w:kern w:val="2"/>
                      <w:sz w:val="21"/>
                      <w:szCs w:val="21"/>
                    </w:rPr>
                    <w:t>t</w:t>
                  </w:r>
                  <w:r>
                    <w:rPr>
                      <w:bCs/>
                      <w:color w:val="auto"/>
                      <w:kern w:val="2"/>
                      <w:sz w:val="21"/>
                      <w:szCs w:val="21"/>
                    </w:rPr>
                    <w:t>/a</w:t>
                  </w:r>
                  <w:r>
                    <w:rPr>
                      <w:rFonts w:hint="eastAsia"/>
                      <w:bCs/>
                      <w:color w:val="auto"/>
                      <w:kern w:val="2"/>
                      <w:sz w:val="21"/>
                      <w:szCs w:val="21"/>
                    </w:rPr>
                    <w:t>，经收集后通过化粪池处理后接入污水管网，排入临港新城启动区污水处理厂进行处理。码头面、转运站冲洗废水、机械及集装箱冲洗废水和初期雨水共</w:t>
                  </w:r>
                  <w:r>
                    <w:rPr>
                      <w:bCs/>
                      <w:color w:val="auto"/>
                      <w:kern w:val="2"/>
                      <w:sz w:val="21"/>
                      <w:szCs w:val="21"/>
                    </w:rPr>
                    <w:t>184563.6t/a</w:t>
                  </w:r>
                  <w:r>
                    <w:rPr>
                      <w:rFonts w:hint="eastAsia"/>
                      <w:bCs/>
                      <w:color w:val="auto"/>
                      <w:kern w:val="2"/>
                      <w:sz w:val="21"/>
                      <w:szCs w:val="21"/>
                    </w:rPr>
                    <w:t>，经收集后进入厂区废水处理系统处理后，回用于堆场喷淋，船舶舱底油污水委托有资质单位进行处置。</w:t>
                  </w:r>
                </w:p>
              </w:tc>
            </w:tr>
            <w:tr w14:paraId="66AD9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1895059C">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5</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AB5E02B">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728B6AD1">
                  <w:pPr>
                    <w:adjustRightInd w:val="0"/>
                    <w:snapToGrid w:val="0"/>
                    <w:jc w:val="center"/>
                    <w:rPr>
                      <w:color w:val="auto"/>
                      <w:kern w:val="2"/>
                      <w:sz w:val="21"/>
                      <w:szCs w:val="21"/>
                    </w:rPr>
                  </w:pPr>
                  <w:r>
                    <w:rPr>
                      <w:rFonts w:hint="eastAsia"/>
                      <w:color w:val="auto"/>
                      <w:kern w:val="2"/>
                      <w:sz w:val="21"/>
                      <w:szCs w:val="21"/>
                    </w:rPr>
                    <w:t>供电</w:t>
                  </w:r>
                </w:p>
              </w:tc>
              <w:tc>
                <w:tcPr>
                  <w:tcW w:w="3513" w:type="pct"/>
                  <w:tcBorders>
                    <w:top w:val="single" w:color="auto" w:sz="4" w:space="0"/>
                    <w:left w:val="single" w:color="auto" w:sz="4" w:space="0"/>
                    <w:bottom w:val="single" w:color="auto" w:sz="4" w:space="0"/>
                    <w:right w:val="nil"/>
                  </w:tcBorders>
                  <w:vAlign w:val="center"/>
                </w:tcPr>
                <w:p w14:paraId="5ACF9F75">
                  <w:pPr>
                    <w:adjustRightInd w:val="0"/>
                    <w:snapToGrid w:val="0"/>
                    <w:jc w:val="center"/>
                    <w:rPr>
                      <w:bCs/>
                      <w:color w:val="auto"/>
                      <w:kern w:val="2"/>
                      <w:sz w:val="21"/>
                      <w:szCs w:val="21"/>
                    </w:rPr>
                  </w:pPr>
                  <w:r>
                    <w:rPr>
                      <w:rFonts w:hint="eastAsia"/>
                      <w:bCs/>
                      <w:color w:val="auto"/>
                      <w:kern w:val="2"/>
                      <w:sz w:val="21"/>
                      <w:szCs w:val="21"/>
                    </w:rPr>
                    <w:t>共设置5座变电所，用电设备总安装功率为1</w:t>
                  </w:r>
                  <w:r>
                    <w:rPr>
                      <w:bCs/>
                      <w:color w:val="auto"/>
                      <w:kern w:val="2"/>
                      <w:sz w:val="21"/>
                      <w:szCs w:val="21"/>
                    </w:rPr>
                    <w:t>6400KW</w:t>
                  </w:r>
                  <w:r>
                    <w:rPr>
                      <w:rFonts w:hint="eastAsia"/>
                      <w:bCs/>
                      <w:color w:val="auto"/>
                      <w:kern w:val="2"/>
                      <w:sz w:val="21"/>
                      <w:szCs w:val="21"/>
                    </w:rPr>
                    <w:t>，并设置码头船舶岸电设施。</w:t>
                  </w:r>
                </w:p>
              </w:tc>
            </w:tr>
            <w:tr w14:paraId="3D9DF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40440F50">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6</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81650F6">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66E2378A">
                  <w:pPr>
                    <w:adjustRightInd w:val="0"/>
                    <w:snapToGrid w:val="0"/>
                    <w:jc w:val="center"/>
                    <w:rPr>
                      <w:color w:val="auto"/>
                      <w:kern w:val="2"/>
                      <w:sz w:val="21"/>
                      <w:szCs w:val="21"/>
                    </w:rPr>
                  </w:pPr>
                  <w:r>
                    <w:rPr>
                      <w:rFonts w:hint="eastAsia"/>
                      <w:color w:val="auto"/>
                      <w:kern w:val="2"/>
                      <w:sz w:val="21"/>
                      <w:szCs w:val="21"/>
                    </w:rPr>
                    <w:t>照明</w:t>
                  </w:r>
                </w:p>
              </w:tc>
              <w:tc>
                <w:tcPr>
                  <w:tcW w:w="3513" w:type="pct"/>
                  <w:tcBorders>
                    <w:top w:val="single" w:color="auto" w:sz="4" w:space="0"/>
                    <w:left w:val="single" w:color="auto" w:sz="4" w:space="0"/>
                    <w:bottom w:val="single" w:color="auto" w:sz="4" w:space="0"/>
                    <w:right w:val="nil"/>
                  </w:tcBorders>
                  <w:vAlign w:val="center"/>
                </w:tcPr>
                <w:p w14:paraId="32289B43">
                  <w:pPr>
                    <w:autoSpaceDE w:val="0"/>
                    <w:autoSpaceDN w:val="0"/>
                    <w:adjustRightInd w:val="0"/>
                    <w:snapToGrid w:val="0"/>
                    <w:jc w:val="center"/>
                    <w:rPr>
                      <w:bCs/>
                      <w:color w:val="auto"/>
                      <w:kern w:val="2"/>
                      <w:sz w:val="21"/>
                      <w:szCs w:val="21"/>
                    </w:rPr>
                  </w:pPr>
                  <w:r>
                    <w:rPr>
                      <w:rFonts w:hint="eastAsia"/>
                      <w:bCs/>
                      <w:color w:val="auto"/>
                      <w:kern w:val="2"/>
                      <w:sz w:val="21"/>
                      <w:szCs w:val="21"/>
                    </w:rPr>
                    <w:t>码头、堆场及其周边道路采用高杆灯照明。一套高杆灯安装12盏400W LED灯具；堆场水平照度不低于15</w:t>
                  </w:r>
                  <w:r>
                    <w:rPr>
                      <w:bCs/>
                      <w:color w:val="auto"/>
                      <w:kern w:val="2"/>
                      <w:sz w:val="21"/>
                      <w:szCs w:val="21"/>
                    </w:rPr>
                    <w:t>1x</w:t>
                  </w:r>
                  <w:r>
                    <w:rPr>
                      <w:rFonts w:hint="eastAsia"/>
                      <w:bCs/>
                      <w:color w:val="auto"/>
                      <w:kern w:val="2"/>
                      <w:sz w:val="21"/>
                      <w:szCs w:val="21"/>
                    </w:rPr>
                    <w:t>，水平照度均匀度不低于0.25，眩光值小于50，一般显色指数大于20；道路水平平均照度不低于15</w:t>
                  </w:r>
                  <w:r>
                    <w:rPr>
                      <w:bCs/>
                      <w:color w:val="auto"/>
                      <w:kern w:val="2"/>
                      <w:sz w:val="21"/>
                      <w:szCs w:val="21"/>
                    </w:rPr>
                    <w:t>1x</w:t>
                  </w:r>
                  <w:r>
                    <w:rPr>
                      <w:rFonts w:hint="eastAsia"/>
                      <w:bCs/>
                      <w:color w:val="auto"/>
                      <w:kern w:val="2"/>
                      <w:sz w:val="21"/>
                      <w:szCs w:val="21"/>
                    </w:rPr>
                    <w:t>，水平照度均匀度不低于0.4，一般显色指数大于20。</w:t>
                  </w:r>
                </w:p>
              </w:tc>
            </w:tr>
            <w:tr w14:paraId="2266C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678815C0">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7</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39C4A77">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3B4D21CD">
                  <w:pPr>
                    <w:adjustRightInd w:val="0"/>
                    <w:snapToGrid w:val="0"/>
                    <w:jc w:val="center"/>
                    <w:rPr>
                      <w:color w:val="auto"/>
                      <w:kern w:val="2"/>
                      <w:sz w:val="21"/>
                      <w:szCs w:val="21"/>
                    </w:rPr>
                  </w:pPr>
                  <w:r>
                    <w:rPr>
                      <w:rFonts w:hint="eastAsia"/>
                      <w:color w:val="auto"/>
                      <w:kern w:val="2"/>
                      <w:sz w:val="21"/>
                      <w:szCs w:val="21"/>
                    </w:rPr>
                    <w:t>码头岸电系统</w:t>
                  </w:r>
                </w:p>
              </w:tc>
              <w:tc>
                <w:tcPr>
                  <w:tcW w:w="3513" w:type="pct"/>
                  <w:tcBorders>
                    <w:top w:val="single" w:color="auto" w:sz="4" w:space="0"/>
                    <w:left w:val="single" w:color="auto" w:sz="4" w:space="0"/>
                    <w:bottom w:val="single" w:color="auto" w:sz="4" w:space="0"/>
                    <w:right w:val="nil"/>
                  </w:tcBorders>
                  <w:vAlign w:val="center"/>
                </w:tcPr>
                <w:p w14:paraId="5CF7D409">
                  <w:pPr>
                    <w:autoSpaceDE w:val="0"/>
                    <w:autoSpaceDN w:val="0"/>
                    <w:adjustRightInd w:val="0"/>
                    <w:snapToGrid w:val="0"/>
                    <w:jc w:val="center"/>
                    <w:rPr>
                      <w:bCs/>
                      <w:color w:val="auto"/>
                      <w:kern w:val="2"/>
                      <w:sz w:val="21"/>
                      <w:szCs w:val="21"/>
                    </w:rPr>
                  </w:pPr>
                  <w:r>
                    <w:rPr>
                      <w:rFonts w:hint="eastAsia"/>
                      <w:bCs/>
                      <w:color w:val="auto"/>
                      <w:kern w:val="2"/>
                      <w:sz w:val="21"/>
                      <w:szCs w:val="21"/>
                    </w:rPr>
                    <w:t>码头前沿每个泊位设置1台低压一体化船用岸电桩</w:t>
                  </w:r>
                </w:p>
              </w:tc>
            </w:tr>
            <w:tr w14:paraId="13E50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1589EF97">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8</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01F1515">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27F8E39C">
                  <w:pPr>
                    <w:adjustRightInd w:val="0"/>
                    <w:snapToGrid w:val="0"/>
                    <w:jc w:val="center"/>
                    <w:rPr>
                      <w:color w:val="auto"/>
                      <w:kern w:val="2"/>
                      <w:sz w:val="21"/>
                      <w:szCs w:val="21"/>
                    </w:rPr>
                  </w:pPr>
                  <w:r>
                    <w:rPr>
                      <w:rFonts w:hint="eastAsia"/>
                      <w:color w:val="auto"/>
                      <w:kern w:val="2"/>
                      <w:sz w:val="21"/>
                      <w:szCs w:val="21"/>
                    </w:rPr>
                    <w:t>消防</w:t>
                  </w:r>
                </w:p>
              </w:tc>
              <w:tc>
                <w:tcPr>
                  <w:tcW w:w="3513" w:type="pct"/>
                  <w:tcBorders>
                    <w:top w:val="single" w:color="auto" w:sz="4" w:space="0"/>
                    <w:left w:val="single" w:color="auto" w:sz="4" w:space="0"/>
                    <w:bottom w:val="single" w:color="auto" w:sz="4" w:space="0"/>
                    <w:right w:val="nil"/>
                  </w:tcBorders>
                  <w:vAlign w:val="center"/>
                </w:tcPr>
                <w:p w14:paraId="7E8509FA">
                  <w:pPr>
                    <w:autoSpaceDE w:val="0"/>
                    <w:autoSpaceDN w:val="0"/>
                    <w:adjustRightInd w:val="0"/>
                    <w:snapToGrid w:val="0"/>
                    <w:jc w:val="center"/>
                    <w:rPr>
                      <w:bCs/>
                      <w:color w:val="auto"/>
                      <w:kern w:val="2"/>
                      <w:sz w:val="21"/>
                      <w:szCs w:val="21"/>
                    </w:rPr>
                  </w:pPr>
                  <w:r>
                    <w:rPr>
                      <w:rFonts w:hint="eastAsia"/>
                      <w:bCs/>
                      <w:color w:val="auto"/>
                      <w:kern w:val="2"/>
                      <w:sz w:val="21"/>
                      <w:szCs w:val="21"/>
                    </w:rPr>
                    <w:t>陆域及水域建筑物配备室内外消防给水系统，采用临时高压消防给水系统；码头桩台上配置一定数量的干粉灭火器、推车式灭火器等用以辅助灭火。各单体建筑物设置手提式干粉灭火器、二氧化碳灭火器。</w:t>
                  </w:r>
                </w:p>
              </w:tc>
            </w:tr>
            <w:tr w14:paraId="57112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3B4FE61E">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9</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C5C7221">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3EEEF5D9">
                  <w:pPr>
                    <w:adjustRightInd w:val="0"/>
                    <w:snapToGrid w:val="0"/>
                    <w:jc w:val="center"/>
                    <w:rPr>
                      <w:color w:val="auto"/>
                      <w:kern w:val="2"/>
                      <w:sz w:val="21"/>
                      <w:szCs w:val="21"/>
                    </w:rPr>
                  </w:pPr>
                  <w:r>
                    <w:rPr>
                      <w:rFonts w:hint="eastAsia"/>
                      <w:color w:val="auto"/>
                      <w:kern w:val="2"/>
                      <w:sz w:val="21"/>
                      <w:szCs w:val="21"/>
                    </w:rPr>
                    <w:t>通风</w:t>
                  </w:r>
                </w:p>
              </w:tc>
              <w:tc>
                <w:tcPr>
                  <w:tcW w:w="3513" w:type="pct"/>
                  <w:tcBorders>
                    <w:top w:val="single" w:color="auto" w:sz="4" w:space="0"/>
                    <w:left w:val="single" w:color="auto" w:sz="4" w:space="0"/>
                    <w:bottom w:val="single" w:color="auto" w:sz="4" w:space="0"/>
                    <w:right w:val="nil"/>
                  </w:tcBorders>
                  <w:vAlign w:val="center"/>
                </w:tcPr>
                <w:p w14:paraId="3CDB8A23">
                  <w:pPr>
                    <w:autoSpaceDE w:val="0"/>
                    <w:autoSpaceDN w:val="0"/>
                    <w:adjustRightInd w:val="0"/>
                    <w:snapToGrid w:val="0"/>
                    <w:jc w:val="center"/>
                    <w:rPr>
                      <w:bCs/>
                      <w:color w:val="auto"/>
                      <w:kern w:val="2"/>
                      <w:sz w:val="21"/>
                      <w:szCs w:val="21"/>
                    </w:rPr>
                  </w:pPr>
                  <w:r>
                    <w:rPr>
                      <w:rFonts w:hint="eastAsia"/>
                      <w:bCs/>
                      <w:color w:val="auto"/>
                      <w:kern w:val="2"/>
                      <w:sz w:val="21"/>
                      <w:szCs w:val="21"/>
                    </w:rPr>
                    <w:t xml:space="preserve">变电所变压器室、高低压配电室、卫生间设置机械通风。通风系统为机械排风、自然进风的全面机械通风，兼顾事故通风，换气次数大于 </w:t>
                  </w:r>
                  <w:r>
                    <w:rPr>
                      <w:bCs/>
                      <w:color w:val="auto"/>
                      <w:kern w:val="2"/>
                      <w:sz w:val="21"/>
                      <w:szCs w:val="21"/>
                    </w:rPr>
                    <w:t>12</w:t>
                  </w:r>
                  <w:r>
                    <w:rPr>
                      <w:rFonts w:hint="eastAsia"/>
                      <w:bCs/>
                      <w:color w:val="auto"/>
                      <w:kern w:val="2"/>
                      <w:sz w:val="21"/>
                      <w:szCs w:val="21"/>
                    </w:rPr>
                    <w:t>次</w:t>
                  </w:r>
                  <w:r>
                    <w:rPr>
                      <w:bCs/>
                      <w:color w:val="auto"/>
                      <w:kern w:val="2"/>
                      <w:sz w:val="21"/>
                      <w:szCs w:val="21"/>
                    </w:rPr>
                    <w:t>/</w:t>
                  </w:r>
                  <w:r>
                    <w:rPr>
                      <w:rFonts w:hint="eastAsia"/>
                      <w:bCs/>
                      <w:color w:val="auto"/>
                      <w:kern w:val="2"/>
                      <w:sz w:val="21"/>
                      <w:szCs w:val="21"/>
                    </w:rPr>
                    <w:t>时，采用轴流风机。</w:t>
                  </w:r>
                </w:p>
              </w:tc>
            </w:tr>
            <w:tr w14:paraId="3BD3D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2BD75660">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1</w:t>
                  </w:r>
                  <w:r>
                    <w:rPr>
                      <w:bCs/>
                      <w:color w:val="auto"/>
                      <w:kern w:val="2"/>
                      <w:sz w:val="24"/>
                      <w:szCs w:val="21"/>
                    </w:rPr>
                    <w:t>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C226859">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5631A302">
                  <w:pPr>
                    <w:adjustRightInd w:val="0"/>
                    <w:snapToGrid w:val="0"/>
                    <w:jc w:val="center"/>
                    <w:rPr>
                      <w:color w:val="auto"/>
                      <w:kern w:val="2"/>
                      <w:sz w:val="21"/>
                      <w:szCs w:val="21"/>
                    </w:rPr>
                  </w:pPr>
                  <w:r>
                    <w:rPr>
                      <w:rFonts w:hint="eastAsia"/>
                      <w:color w:val="auto"/>
                      <w:kern w:val="2"/>
                      <w:sz w:val="21"/>
                      <w:szCs w:val="21"/>
                    </w:rPr>
                    <w:t>控制系统</w:t>
                  </w:r>
                </w:p>
              </w:tc>
              <w:tc>
                <w:tcPr>
                  <w:tcW w:w="3513" w:type="pct"/>
                  <w:tcBorders>
                    <w:top w:val="single" w:color="auto" w:sz="4" w:space="0"/>
                    <w:left w:val="single" w:color="auto" w:sz="4" w:space="0"/>
                    <w:bottom w:val="single" w:color="auto" w:sz="4" w:space="0"/>
                    <w:right w:val="nil"/>
                  </w:tcBorders>
                  <w:vAlign w:val="center"/>
                </w:tcPr>
                <w:p w14:paraId="31B9AA6A">
                  <w:pPr>
                    <w:autoSpaceDE w:val="0"/>
                    <w:autoSpaceDN w:val="0"/>
                    <w:adjustRightInd w:val="0"/>
                    <w:snapToGrid w:val="0"/>
                    <w:jc w:val="center"/>
                    <w:rPr>
                      <w:bCs/>
                      <w:color w:val="auto"/>
                      <w:kern w:val="2"/>
                      <w:sz w:val="21"/>
                      <w:szCs w:val="21"/>
                    </w:rPr>
                  </w:pPr>
                  <w:r>
                    <w:rPr>
                      <w:rFonts w:hint="eastAsia"/>
                      <w:bCs/>
                      <w:color w:val="auto"/>
                      <w:kern w:val="2"/>
                      <w:sz w:val="21"/>
                      <w:szCs w:val="21"/>
                    </w:rPr>
                    <w:t>控制系统主要是电视监视系统、计算机信息管理系统、皮带机控制系统</w:t>
                  </w:r>
                </w:p>
              </w:tc>
            </w:tr>
            <w:tr w14:paraId="37FEF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372B2588">
                  <w:pPr>
                    <w:widowControl/>
                    <w:adjustRightInd w:val="0"/>
                    <w:snapToGrid w:val="0"/>
                    <w:spacing w:before="97" w:beforeLines="30" w:after="97" w:afterLines="30"/>
                    <w:jc w:val="center"/>
                    <w:rPr>
                      <w:bCs/>
                      <w:color w:val="auto"/>
                      <w:kern w:val="2"/>
                      <w:sz w:val="24"/>
                      <w:szCs w:val="21"/>
                    </w:rPr>
                  </w:pPr>
                  <w:r>
                    <w:rPr>
                      <w:rFonts w:hint="eastAsia"/>
                      <w:bCs/>
                      <w:color w:val="auto"/>
                      <w:kern w:val="2"/>
                      <w:sz w:val="24"/>
                      <w:szCs w:val="21"/>
                    </w:rPr>
                    <w:t>1</w:t>
                  </w:r>
                  <w:r>
                    <w:rPr>
                      <w:bCs/>
                      <w:color w:val="auto"/>
                      <w:kern w:val="2"/>
                      <w:sz w:val="24"/>
                      <w:szCs w:val="21"/>
                    </w:rPr>
                    <w:t>1</w:t>
                  </w:r>
                </w:p>
              </w:tc>
              <w:tc>
                <w:tcPr>
                  <w:tcW w:w="368" w:type="pct"/>
                  <w:vMerge w:val="restart"/>
                  <w:tcBorders>
                    <w:top w:val="single" w:color="auto" w:sz="4" w:space="0"/>
                    <w:left w:val="single" w:color="auto" w:sz="4" w:space="0"/>
                    <w:bottom w:val="single" w:color="auto" w:sz="12" w:space="0"/>
                    <w:right w:val="single" w:color="auto" w:sz="4" w:space="0"/>
                  </w:tcBorders>
                  <w:vAlign w:val="center"/>
                </w:tcPr>
                <w:p w14:paraId="6D18ECAC">
                  <w:pPr>
                    <w:adjustRightInd w:val="0"/>
                    <w:snapToGrid w:val="0"/>
                    <w:jc w:val="center"/>
                    <w:rPr>
                      <w:color w:val="auto"/>
                      <w:kern w:val="2"/>
                      <w:sz w:val="21"/>
                      <w:szCs w:val="21"/>
                    </w:rPr>
                  </w:pPr>
                  <w:r>
                    <w:rPr>
                      <w:rFonts w:hint="eastAsia"/>
                      <w:color w:val="auto"/>
                      <w:kern w:val="2"/>
                      <w:sz w:val="21"/>
                      <w:szCs w:val="21"/>
                    </w:rPr>
                    <w:t>环保工程</w:t>
                  </w:r>
                </w:p>
              </w:tc>
              <w:tc>
                <w:tcPr>
                  <w:tcW w:w="753" w:type="pct"/>
                  <w:tcBorders>
                    <w:top w:val="single" w:color="auto" w:sz="4" w:space="0"/>
                    <w:left w:val="single" w:color="auto" w:sz="4" w:space="0"/>
                    <w:bottom w:val="single" w:color="auto" w:sz="4" w:space="0"/>
                    <w:right w:val="single" w:color="auto" w:sz="4" w:space="0"/>
                  </w:tcBorders>
                  <w:vAlign w:val="center"/>
                </w:tcPr>
                <w:p w14:paraId="089D0262">
                  <w:pPr>
                    <w:adjustRightInd w:val="0"/>
                    <w:snapToGrid w:val="0"/>
                    <w:jc w:val="center"/>
                    <w:rPr>
                      <w:color w:val="auto"/>
                      <w:kern w:val="2"/>
                      <w:sz w:val="21"/>
                      <w:szCs w:val="21"/>
                    </w:rPr>
                  </w:pPr>
                  <w:r>
                    <w:rPr>
                      <w:rFonts w:hint="eastAsia"/>
                      <w:color w:val="auto"/>
                      <w:kern w:val="2"/>
                      <w:sz w:val="21"/>
                      <w:szCs w:val="21"/>
                    </w:rPr>
                    <w:t>废水处理</w:t>
                  </w:r>
                </w:p>
              </w:tc>
              <w:tc>
                <w:tcPr>
                  <w:tcW w:w="3513" w:type="pct"/>
                  <w:tcBorders>
                    <w:top w:val="single" w:color="auto" w:sz="4" w:space="0"/>
                    <w:left w:val="single" w:color="auto" w:sz="4" w:space="0"/>
                    <w:bottom w:val="single" w:color="auto" w:sz="4" w:space="0"/>
                    <w:right w:val="nil"/>
                  </w:tcBorders>
                  <w:vAlign w:val="center"/>
                </w:tcPr>
                <w:p w14:paraId="6BA9F467">
                  <w:pPr>
                    <w:adjustRightInd w:val="0"/>
                    <w:snapToGrid w:val="0"/>
                    <w:jc w:val="center"/>
                    <w:rPr>
                      <w:color w:val="auto"/>
                      <w:kern w:val="2"/>
                      <w:sz w:val="21"/>
                      <w:szCs w:val="21"/>
                    </w:rPr>
                  </w:pPr>
                  <w:r>
                    <w:rPr>
                      <w:rFonts w:hint="eastAsia"/>
                      <w:bCs/>
                      <w:color w:val="auto"/>
                      <w:kern w:val="2"/>
                      <w:sz w:val="21"/>
                      <w:szCs w:val="21"/>
                    </w:rPr>
                    <w:t>其中船舶生活污水、码头生活污水经收集后通过化粪池处理后接入污水管网，排入临港新城启动区污水处理厂进行处理。码头面、引桥、转运站冲洗废水、机械及集装箱冲洗废水和初期雨水经收集后进入厂区废水处理系统处理后，回用于堆场喷淋。</w:t>
                  </w:r>
                </w:p>
              </w:tc>
            </w:tr>
            <w:tr w14:paraId="5BF08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101B6D6A">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1</w:t>
                  </w:r>
                  <w:r>
                    <w:rPr>
                      <w:bCs/>
                      <w:color w:val="auto"/>
                      <w:kern w:val="2"/>
                      <w:sz w:val="24"/>
                      <w:szCs w:val="21"/>
                    </w:rPr>
                    <w:t>2</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2CB10B87">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3E2F0370">
                  <w:pPr>
                    <w:adjustRightInd w:val="0"/>
                    <w:snapToGrid w:val="0"/>
                    <w:jc w:val="center"/>
                    <w:rPr>
                      <w:color w:val="auto"/>
                      <w:kern w:val="2"/>
                      <w:sz w:val="21"/>
                      <w:szCs w:val="21"/>
                    </w:rPr>
                  </w:pPr>
                  <w:r>
                    <w:rPr>
                      <w:rFonts w:hint="eastAsia"/>
                      <w:color w:val="auto"/>
                      <w:kern w:val="2"/>
                      <w:sz w:val="21"/>
                      <w:szCs w:val="21"/>
                    </w:rPr>
                    <w:t>废气处理</w:t>
                  </w:r>
                </w:p>
              </w:tc>
              <w:tc>
                <w:tcPr>
                  <w:tcW w:w="3513" w:type="pct"/>
                  <w:tcBorders>
                    <w:top w:val="single" w:color="auto" w:sz="4" w:space="0"/>
                    <w:left w:val="single" w:color="auto" w:sz="4" w:space="0"/>
                    <w:bottom w:val="single" w:color="auto" w:sz="4" w:space="0"/>
                    <w:right w:val="nil"/>
                  </w:tcBorders>
                  <w:vAlign w:val="center"/>
                </w:tcPr>
                <w:p w14:paraId="22CB10A6">
                  <w:pPr>
                    <w:adjustRightInd w:val="0"/>
                    <w:snapToGrid w:val="0"/>
                    <w:jc w:val="center"/>
                    <w:rPr>
                      <w:color w:val="auto"/>
                      <w:kern w:val="2"/>
                      <w:sz w:val="21"/>
                      <w:szCs w:val="21"/>
                    </w:rPr>
                  </w:pPr>
                  <w:r>
                    <w:rPr>
                      <w:rFonts w:hint="eastAsia"/>
                      <w:color w:val="auto"/>
                      <w:kern w:val="2"/>
                      <w:sz w:val="21"/>
                      <w:szCs w:val="21"/>
                    </w:rPr>
                    <w:t>运营期废气主要为矿建材料、散粮装卸作业过程产生的无组织排放的颗粒物。为了达到环保抑尘的效果，本项目采用</w:t>
                  </w:r>
                  <w:r>
                    <w:rPr>
                      <w:rFonts w:hint="eastAsia"/>
                      <w:color w:val="auto"/>
                      <w:kern w:val="0"/>
                      <w:sz w:val="21"/>
                      <w:szCs w:val="22"/>
                    </w:rPr>
                    <w:t>1）采用散货连续装船机；装船机皮带头部设置密闭罩；装船机尾车、臂架皮带机两侧及装船机行走段皮带机 设置挡风板，廊道予以封闭；装船机头部、导料槽设置喷嘴。 2）采用桥式抓斗式卸船机卸料漏斗上方四周设置挡尘板和喷雾装置，漏斗下口与皮带机接触部分设置橡胶 防尘帘和喷雾装置。 3）码头前沿输送廊道两侧设置</w:t>
                  </w:r>
                  <w:r>
                    <w:rPr>
                      <w:rFonts w:hint="eastAsia"/>
                      <w:color w:val="auto"/>
                      <w:kern w:val="0"/>
                      <w:sz w:val="21"/>
                      <w:szCs w:val="22"/>
                      <w:lang w:eastAsia="zh-CN"/>
                    </w:rPr>
                    <w:t>挡风板</w:t>
                  </w:r>
                  <w:r>
                    <w:rPr>
                      <w:rFonts w:hint="eastAsia"/>
                      <w:color w:val="auto"/>
                      <w:kern w:val="0"/>
                      <w:sz w:val="21"/>
                      <w:szCs w:val="22"/>
                    </w:rPr>
                    <w:t>，转运站运输采用密闭管带机传输，</w:t>
                  </w:r>
                  <w:r>
                    <w:rPr>
                      <w:color w:val="auto"/>
                      <w:kern w:val="0"/>
                      <w:sz w:val="21"/>
                      <w:szCs w:val="22"/>
                    </w:rPr>
                    <w:t>4</w:t>
                  </w:r>
                  <w:r>
                    <w:rPr>
                      <w:rFonts w:hint="eastAsia"/>
                      <w:color w:val="auto"/>
                      <w:kern w:val="0"/>
                      <w:sz w:val="21"/>
                      <w:szCs w:val="22"/>
                    </w:rPr>
                    <w:t>）设置密闭堆场，并配备防尘网、设置固定式喷枪洒水装置。</w:t>
                  </w:r>
                </w:p>
              </w:tc>
            </w:tr>
            <w:tr w14:paraId="08DA3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6" w:type="pct"/>
                  <w:tcBorders>
                    <w:top w:val="single" w:color="auto" w:sz="4" w:space="0"/>
                    <w:left w:val="nil"/>
                    <w:bottom w:val="single" w:color="auto" w:sz="4" w:space="0"/>
                    <w:right w:val="single" w:color="auto" w:sz="4" w:space="0"/>
                  </w:tcBorders>
                  <w:vAlign w:val="center"/>
                </w:tcPr>
                <w:p w14:paraId="0559DB71">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1</w:t>
                  </w:r>
                  <w:r>
                    <w:rPr>
                      <w:bCs/>
                      <w:color w:val="auto"/>
                      <w:kern w:val="2"/>
                      <w:sz w:val="24"/>
                      <w:szCs w:val="21"/>
                    </w:rPr>
                    <w:t>3</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3BB79772">
                  <w:pPr>
                    <w:widowControl/>
                    <w:jc w:val="left"/>
                    <w:rPr>
                      <w:color w:val="auto"/>
                      <w:kern w:val="2"/>
                      <w:sz w:val="21"/>
                      <w:szCs w:val="21"/>
                    </w:rPr>
                  </w:pPr>
                </w:p>
              </w:tc>
              <w:tc>
                <w:tcPr>
                  <w:tcW w:w="753" w:type="pct"/>
                  <w:tcBorders>
                    <w:top w:val="single" w:color="auto" w:sz="4" w:space="0"/>
                    <w:left w:val="single" w:color="auto" w:sz="4" w:space="0"/>
                    <w:bottom w:val="single" w:color="auto" w:sz="4" w:space="0"/>
                    <w:right w:val="single" w:color="auto" w:sz="4" w:space="0"/>
                  </w:tcBorders>
                  <w:vAlign w:val="center"/>
                </w:tcPr>
                <w:p w14:paraId="34EE49F8">
                  <w:pPr>
                    <w:adjustRightInd w:val="0"/>
                    <w:snapToGrid w:val="0"/>
                    <w:jc w:val="center"/>
                    <w:rPr>
                      <w:color w:val="auto"/>
                      <w:kern w:val="2"/>
                      <w:sz w:val="21"/>
                      <w:szCs w:val="21"/>
                    </w:rPr>
                  </w:pPr>
                  <w:r>
                    <w:rPr>
                      <w:rFonts w:hint="eastAsia"/>
                      <w:color w:val="auto"/>
                      <w:kern w:val="2"/>
                      <w:sz w:val="21"/>
                      <w:szCs w:val="21"/>
                    </w:rPr>
                    <w:t>噪声处理</w:t>
                  </w:r>
                </w:p>
              </w:tc>
              <w:tc>
                <w:tcPr>
                  <w:tcW w:w="3513" w:type="pct"/>
                  <w:tcBorders>
                    <w:top w:val="single" w:color="auto" w:sz="4" w:space="0"/>
                    <w:left w:val="single" w:color="auto" w:sz="4" w:space="0"/>
                    <w:bottom w:val="single" w:color="auto" w:sz="4" w:space="0"/>
                    <w:right w:val="nil"/>
                  </w:tcBorders>
                  <w:vAlign w:val="center"/>
                </w:tcPr>
                <w:p w14:paraId="5BF32D3E">
                  <w:pPr>
                    <w:adjustRightInd w:val="0"/>
                    <w:snapToGrid w:val="0"/>
                    <w:jc w:val="center"/>
                    <w:rPr>
                      <w:color w:val="auto"/>
                      <w:kern w:val="2"/>
                      <w:sz w:val="21"/>
                      <w:szCs w:val="21"/>
                    </w:rPr>
                  </w:pPr>
                  <w:r>
                    <w:rPr>
                      <w:rFonts w:hint="eastAsia"/>
                      <w:color w:val="auto"/>
                      <w:kern w:val="2"/>
                      <w:sz w:val="21"/>
                      <w:szCs w:val="21"/>
                    </w:rPr>
                    <w:t>采用低噪声设备，隔声、减震等。</w:t>
                  </w:r>
                </w:p>
              </w:tc>
            </w:tr>
            <w:tr w14:paraId="0EF28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366" w:type="pct"/>
                  <w:tcBorders>
                    <w:top w:val="single" w:color="auto" w:sz="4" w:space="0"/>
                    <w:left w:val="nil"/>
                    <w:bottom w:val="single" w:color="auto" w:sz="12" w:space="0"/>
                    <w:right w:val="single" w:color="auto" w:sz="4" w:space="0"/>
                  </w:tcBorders>
                  <w:vAlign w:val="center"/>
                </w:tcPr>
                <w:p w14:paraId="66AC2361">
                  <w:pPr>
                    <w:widowControl/>
                    <w:wordWrap w:val="0"/>
                    <w:adjustRightInd w:val="0"/>
                    <w:snapToGrid w:val="0"/>
                    <w:spacing w:before="97" w:beforeLines="30" w:after="97" w:afterLines="30"/>
                    <w:jc w:val="center"/>
                    <w:rPr>
                      <w:bCs/>
                      <w:color w:val="auto"/>
                      <w:kern w:val="2"/>
                      <w:sz w:val="24"/>
                      <w:szCs w:val="21"/>
                    </w:rPr>
                  </w:pPr>
                  <w:r>
                    <w:rPr>
                      <w:rFonts w:hint="eastAsia"/>
                      <w:bCs/>
                      <w:color w:val="auto"/>
                      <w:kern w:val="2"/>
                      <w:sz w:val="24"/>
                      <w:szCs w:val="21"/>
                    </w:rPr>
                    <w:t>1</w:t>
                  </w:r>
                  <w:r>
                    <w:rPr>
                      <w:bCs/>
                      <w:color w:val="auto"/>
                      <w:kern w:val="2"/>
                      <w:sz w:val="24"/>
                      <w:szCs w:val="21"/>
                    </w:rPr>
                    <w:t>4</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14A1328C">
                  <w:pPr>
                    <w:widowControl/>
                    <w:jc w:val="left"/>
                    <w:rPr>
                      <w:color w:val="auto"/>
                      <w:kern w:val="2"/>
                      <w:sz w:val="21"/>
                      <w:szCs w:val="21"/>
                    </w:rPr>
                  </w:pPr>
                </w:p>
              </w:tc>
              <w:tc>
                <w:tcPr>
                  <w:tcW w:w="753" w:type="pct"/>
                  <w:tcBorders>
                    <w:top w:val="single" w:color="auto" w:sz="4" w:space="0"/>
                    <w:left w:val="single" w:color="auto" w:sz="4" w:space="0"/>
                    <w:bottom w:val="single" w:color="auto" w:sz="12" w:space="0"/>
                    <w:right w:val="single" w:color="auto" w:sz="4" w:space="0"/>
                  </w:tcBorders>
                  <w:vAlign w:val="center"/>
                </w:tcPr>
                <w:p w14:paraId="24CCD63D">
                  <w:pPr>
                    <w:adjustRightInd w:val="0"/>
                    <w:snapToGrid w:val="0"/>
                    <w:jc w:val="center"/>
                    <w:rPr>
                      <w:color w:val="auto"/>
                      <w:kern w:val="2"/>
                      <w:sz w:val="21"/>
                      <w:szCs w:val="21"/>
                    </w:rPr>
                  </w:pPr>
                  <w:r>
                    <w:rPr>
                      <w:rFonts w:hint="eastAsia"/>
                      <w:color w:val="auto"/>
                      <w:kern w:val="2"/>
                      <w:sz w:val="21"/>
                      <w:szCs w:val="21"/>
                    </w:rPr>
                    <w:t>固废处理</w:t>
                  </w:r>
                </w:p>
              </w:tc>
              <w:tc>
                <w:tcPr>
                  <w:tcW w:w="3513" w:type="pct"/>
                  <w:tcBorders>
                    <w:top w:val="single" w:color="auto" w:sz="4" w:space="0"/>
                    <w:left w:val="single" w:color="auto" w:sz="4" w:space="0"/>
                    <w:bottom w:val="single" w:color="auto" w:sz="12" w:space="0"/>
                    <w:right w:val="nil"/>
                  </w:tcBorders>
                  <w:vAlign w:val="center"/>
                </w:tcPr>
                <w:p w14:paraId="46DB40C4">
                  <w:pPr>
                    <w:adjustRightInd w:val="0"/>
                    <w:snapToGrid w:val="0"/>
                    <w:jc w:val="center"/>
                    <w:rPr>
                      <w:color w:val="auto"/>
                      <w:kern w:val="2"/>
                      <w:sz w:val="21"/>
                      <w:szCs w:val="21"/>
                    </w:rPr>
                  </w:pPr>
                  <w:r>
                    <w:rPr>
                      <w:rFonts w:hint="eastAsia"/>
                      <w:color w:val="auto"/>
                      <w:kern w:val="2"/>
                      <w:sz w:val="21"/>
                      <w:szCs w:val="21"/>
                    </w:rPr>
                    <w:t>到港船舶生活垃圾、码头生活垃圾、机械擦拭产生的含油抹布、污水池沉渣、废机油等。船舶生活垃圾由岸上接收，码头面设置生活垃圾接收桶，船舶生活垃圾与码头生活垃圾分类收集后一并由环卫部门清运。污水池沉渣为一般固废，委托环卫部门处置。</w:t>
                  </w:r>
                  <w:r>
                    <w:rPr>
                      <w:color w:val="auto"/>
                      <w:sz w:val="21"/>
                      <w:szCs w:val="21"/>
                    </w:rPr>
                    <w:t>机械擦拭含油抹布和废机油属于危险废物，</w:t>
                  </w:r>
                  <w:r>
                    <w:rPr>
                      <w:rFonts w:hint="eastAsia"/>
                      <w:color w:val="auto"/>
                      <w:sz w:val="21"/>
                      <w:szCs w:val="21"/>
                    </w:rPr>
                    <w:t>机械擦拭含油抹布按照《国家危险废物名录（2021年）》全过程豁免，委托环卫部门清运，废机油委托有资质单位安全处置</w:t>
                  </w:r>
                  <w:r>
                    <w:rPr>
                      <w:rFonts w:hint="eastAsia"/>
                      <w:color w:val="auto"/>
                      <w:kern w:val="2"/>
                      <w:sz w:val="21"/>
                      <w:szCs w:val="21"/>
                    </w:rPr>
                    <w:t>。</w:t>
                  </w:r>
                </w:p>
              </w:tc>
            </w:tr>
            <w:bookmarkEnd w:id="6"/>
          </w:tbl>
          <w:p w14:paraId="48683415">
            <w:pPr>
              <w:widowControl/>
              <w:adjustRightInd w:val="0"/>
              <w:snapToGrid w:val="0"/>
              <w:spacing w:line="500" w:lineRule="exact"/>
              <w:jc w:val="center"/>
              <w:rPr>
                <w:b/>
                <w:color w:val="auto"/>
                <w:kern w:val="0"/>
                <w:sz w:val="24"/>
                <w:szCs w:val="24"/>
              </w:rPr>
            </w:pPr>
            <w:r>
              <w:rPr>
                <w:rFonts w:hint="eastAsia"/>
                <w:b/>
                <w:color w:val="auto"/>
                <w:kern w:val="0"/>
                <w:sz w:val="24"/>
                <w:szCs w:val="24"/>
              </w:rPr>
              <w:t>表</w:t>
            </w:r>
            <w:r>
              <w:rPr>
                <w:b/>
                <w:color w:val="auto"/>
                <w:kern w:val="0"/>
                <w:sz w:val="24"/>
                <w:szCs w:val="24"/>
              </w:rPr>
              <w:t xml:space="preserve">3.3-2 </w:t>
            </w:r>
            <w:r>
              <w:rPr>
                <w:rFonts w:hint="eastAsia"/>
                <w:b/>
                <w:color w:val="auto"/>
                <w:kern w:val="0"/>
                <w:sz w:val="24"/>
                <w:szCs w:val="24"/>
                <w:lang w:val="en-US" w:eastAsia="zh-CN"/>
              </w:rPr>
              <w:t>在建</w:t>
            </w:r>
            <w:r>
              <w:rPr>
                <w:rFonts w:hint="eastAsia"/>
                <w:b/>
                <w:color w:val="auto"/>
                <w:kern w:val="0"/>
                <w:sz w:val="24"/>
                <w:szCs w:val="24"/>
              </w:rPr>
              <w:t>项目主要经济指标</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51"/>
              <w:gridCol w:w="1417"/>
              <w:gridCol w:w="623"/>
              <w:gridCol w:w="1645"/>
              <w:gridCol w:w="993"/>
              <w:gridCol w:w="3487"/>
            </w:tblGrid>
            <w:tr w14:paraId="0EDE85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60EE3420">
                  <w:pPr>
                    <w:adjustRightInd w:val="0"/>
                    <w:snapToGrid w:val="0"/>
                    <w:jc w:val="center"/>
                    <w:rPr>
                      <w:color w:val="auto"/>
                      <w:sz w:val="21"/>
                      <w:szCs w:val="21"/>
                    </w:rPr>
                  </w:pPr>
                  <w:r>
                    <w:rPr>
                      <w:rFonts w:hint="eastAsia"/>
                      <w:color w:val="auto"/>
                      <w:sz w:val="21"/>
                      <w:szCs w:val="21"/>
                    </w:rPr>
                    <w:t>序号</w:t>
                  </w:r>
                </w:p>
              </w:tc>
              <w:tc>
                <w:tcPr>
                  <w:tcW w:w="3685" w:type="dxa"/>
                  <w:gridSpan w:val="3"/>
                  <w:vAlign w:val="center"/>
                </w:tcPr>
                <w:p w14:paraId="765EBC1F">
                  <w:pPr>
                    <w:adjustRightInd w:val="0"/>
                    <w:snapToGrid w:val="0"/>
                    <w:jc w:val="center"/>
                    <w:rPr>
                      <w:color w:val="auto"/>
                      <w:sz w:val="21"/>
                      <w:szCs w:val="21"/>
                    </w:rPr>
                  </w:pPr>
                  <w:r>
                    <w:rPr>
                      <w:rFonts w:hint="eastAsia"/>
                      <w:color w:val="auto"/>
                      <w:sz w:val="21"/>
                      <w:szCs w:val="21"/>
                    </w:rPr>
                    <w:t>项目</w:t>
                  </w:r>
                </w:p>
              </w:tc>
              <w:tc>
                <w:tcPr>
                  <w:tcW w:w="993" w:type="dxa"/>
                  <w:vAlign w:val="center"/>
                </w:tcPr>
                <w:p w14:paraId="3D390F4B">
                  <w:pPr>
                    <w:adjustRightInd w:val="0"/>
                    <w:snapToGrid w:val="0"/>
                    <w:jc w:val="center"/>
                    <w:rPr>
                      <w:color w:val="auto"/>
                      <w:sz w:val="21"/>
                      <w:szCs w:val="21"/>
                    </w:rPr>
                  </w:pPr>
                  <w:r>
                    <w:rPr>
                      <w:rFonts w:hint="eastAsia"/>
                      <w:color w:val="auto"/>
                      <w:sz w:val="21"/>
                      <w:szCs w:val="21"/>
                    </w:rPr>
                    <w:t>单位</w:t>
                  </w:r>
                </w:p>
              </w:tc>
              <w:tc>
                <w:tcPr>
                  <w:tcW w:w="3487" w:type="dxa"/>
                  <w:vAlign w:val="center"/>
                </w:tcPr>
                <w:p w14:paraId="7FAA0937">
                  <w:pPr>
                    <w:adjustRightInd w:val="0"/>
                    <w:snapToGrid w:val="0"/>
                    <w:jc w:val="center"/>
                    <w:rPr>
                      <w:color w:val="auto"/>
                      <w:sz w:val="21"/>
                      <w:szCs w:val="21"/>
                    </w:rPr>
                  </w:pPr>
                  <w:r>
                    <w:rPr>
                      <w:rFonts w:hint="eastAsia"/>
                      <w:color w:val="auto"/>
                      <w:sz w:val="21"/>
                      <w:szCs w:val="21"/>
                    </w:rPr>
                    <w:t>数量</w:t>
                  </w:r>
                </w:p>
              </w:tc>
            </w:tr>
            <w:tr w14:paraId="425AEB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25F1753D">
                  <w:pPr>
                    <w:adjustRightInd w:val="0"/>
                    <w:snapToGrid w:val="0"/>
                    <w:jc w:val="center"/>
                    <w:rPr>
                      <w:color w:val="auto"/>
                      <w:sz w:val="21"/>
                      <w:szCs w:val="21"/>
                    </w:rPr>
                  </w:pPr>
                  <w:r>
                    <w:rPr>
                      <w:rFonts w:hint="eastAsia"/>
                      <w:color w:val="auto"/>
                      <w:sz w:val="21"/>
                      <w:szCs w:val="21"/>
                    </w:rPr>
                    <w:t>1</w:t>
                  </w:r>
                </w:p>
              </w:tc>
              <w:tc>
                <w:tcPr>
                  <w:tcW w:w="1417" w:type="dxa"/>
                  <w:vMerge w:val="restart"/>
                  <w:vAlign w:val="center"/>
                </w:tcPr>
                <w:p w14:paraId="040C6711">
                  <w:pPr>
                    <w:adjustRightInd w:val="0"/>
                    <w:snapToGrid w:val="0"/>
                    <w:jc w:val="center"/>
                    <w:rPr>
                      <w:color w:val="auto"/>
                      <w:sz w:val="21"/>
                      <w:szCs w:val="21"/>
                    </w:rPr>
                  </w:pPr>
                  <w:r>
                    <w:rPr>
                      <w:rFonts w:hint="eastAsia"/>
                      <w:color w:val="auto"/>
                      <w:sz w:val="21"/>
                      <w:szCs w:val="21"/>
                    </w:rPr>
                    <w:t>泊位数</w:t>
                  </w:r>
                </w:p>
              </w:tc>
              <w:tc>
                <w:tcPr>
                  <w:tcW w:w="2268" w:type="dxa"/>
                  <w:gridSpan w:val="2"/>
                  <w:vAlign w:val="center"/>
                </w:tcPr>
                <w:p w14:paraId="5F9D3769">
                  <w:pPr>
                    <w:adjustRightInd w:val="0"/>
                    <w:snapToGrid w:val="0"/>
                    <w:jc w:val="center"/>
                    <w:rPr>
                      <w:color w:val="auto"/>
                      <w:sz w:val="21"/>
                      <w:szCs w:val="21"/>
                    </w:rPr>
                  </w:pPr>
                  <w:r>
                    <w:rPr>
                      <w:rFonts w:hint="eastAsia"/>
                      <w:color w:val="auto"/>
                      <w:sz w:val="21"/>
                      <w:szCs w:val="21"/>
                    </w:rPr>
                    <w:t>2</w:t>
                  </w:r>
                  <w:r>
                    <w:rPr>
                      <w:color w:val="auto"/>
                      <w:sz w:val="21"/>
                      <w:szCs w:val="21"/>
                    </w:rPr>
                    <w:t>000</w:t>
                  </w:r>
                  <w:r>
                    <w:rPr>
                      <w:rFonts w:hint="eastAsia"/>
                      <w:color w:val="auto"/>
                      <w:sz w:val="21"/>
                      <w:szCs w:val="21"/>
                    </w:rPr>
                    <w:t>吨级散货</w:t>
                  </w:r>
                </w:p>
              </w:tc>
              <w:tc>
                <w:tcPr>
                  <w:tcW w:w="993" w:type="dxa"/>
                  <w:vMerge w:val="restart"/>
                  <w:vAlign w:val="center"/>
                </w:tcPr>
                <w:p w14:paraId="1A42A1CB">
                  <w:pPr>
                    <w:adjustRightInd w:val="0"/>
                    <w:snapToGrid w:val="0"/>
                    <w:jc w:val="center"/>
                    <w:rPr>
                      <w:color w:val="auto"/>
                      <w:sz w:val="21"/>
                      <w:szCs w:val="21"/>
                    </w:rPr>
                  </w:pPr>
                  <w:r>
                    <w:rPr>
                      <w:rFonts w:hint="eastAsia"/>
                      <w:color w:val="auto"/>
                      <w:sz w:val="21"/>
                      <w:szCs w:val="21"/>
                    </w:rPr>
                    <w:t>个</w:t>
                  </w:r>
                </w:p>
              </w:tc>
              <w:tc>
                <w:tcPr>
                  <w:tcW w:w="3487" w:type="dxa"/>
                  <w:vAlign w:val="center"/>
                </w:tcPr>
                <w:p w14:paraId="2C63E31A">
                  <w:pPr>
                    <w:adjustRightInd w:val="0"/>
                    <w:snapToGrid w:val="0"/>
                    <w:jc w:val="center"/>
                    <w:rPr>
                      <w:color w:val="auto"/>
                      <w:sz w:val="21"/>
                      <w:szCs w:val="21"/>
                    </w:rPr>
                  </w:pPr>
                  <w:r>
                    <w:rPr>
                      <w:rFonts w:hint="eastAsia"/>
                      <w:color w:val="auto"/>
                      <w:sz w:val="21"/>
                      <w:szCs w:val="21"/>
                    </w:rPr>
                    <w:t>7</w:t>
                  </w:r>
                </w:p>
              </w:tc>
            </w:tr>
            <w:tr w14:paraId="7C4FFB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62FE13E3">
                  <w:pPr>
                    <w:adjustRightInd w:val="0"/>
                    <w:snapToGrid w:val="0"/>
                    <w:jc w:val="center"/>
                    <w:rPr>
                      <w:color w:val="auto"/>
                      <w:sz w:val="21"/>
                      <w:szCs w:val="21"/>
                    </w:rPr>
                  </w:pPr>
                  <w:r>
                    <w:rPr>
                      <w:rFonts w:hint="eastAsia"/>
                      <w:color w:val="auto"/>
                      <w:sz w:val="21"/>
                      <w:szCs w:val="21"/>
                    </w:rPr>
                    <w:t>2</w:t>
                  </w:r>
                </w:p>
              </w:tc>
              <w:tc>
                <w:tcPr>
                  <w:tcW w:w="1417" w:type="dxa"/>
                  <w:vMerge w:val="continue"/>
                  <w:vAlign w:val="center"/>
                </w:tcPr>
                <w:p w14:paraId="157CAD7C">
                  <w:pPr>
                    <w:adjustRightInd w:val="0"/>
                    <w:snapToGrid w:val="0"/>
                    <w:jc w:val="center"/>
                    <w:rPr>
                      <w:color w:val="auto"/>
                      <w:sz w:val="21"/>
                      <w:szCs w:val="21"/>
                    </w:rPr>
                  </w:pPr>
                </w:p>
              </w:tc>
              <w:tc>
                <w:tcPr>
                  <w:tcW w:w="2268" w:type="dxa"/>
                  <w:gridSpan w:val="2"/>
                  <w:vAlign w:val="center"/>
                </w:tcPr>
                <w:p w14:paraId="3A53F09F">
                  <w:pPr>
                    <w:adjustRightInd w:val="0"/>
                    <w:snapToGrid w:val="0"/>
                    <w:jc w:val="center"/>
                    <w:rPr>
                      <w:color w:val="auto"/>
                      <w:sz w:val="21"/>
                      <w:szCs w:val="21"/>
                    </w:rPr>
                  </w:pPr>
                  <w:r>
                    <w:rPr>
                      <w:rFonts w:hint="eastAsia"/>
                      <w:color w:val="auto"/>
                      <w:sz w:val="21"/>
                      <w:szCs w:val="21"/>
                    </w:rPr>
                    <w:t>1</w:t>
                  </w:r>
                  <w:r>
                    <w:rPr>
                      <w:color w:val="auto"/>
                      <w:sz w:val="21"/>
                      <w:szCs w:val="21"/>
                    </w:rPr>
                    <w:t>000</w:t>
                  </w:r>
                  <w:r>
                    <w:rPr>
                      <w:rFonts w:hint="eastAsia"/>
                      <w:color w:val="auto"/>
                      <w:sz w:val="21"/>
                      <w:szCs w:val="21"/>
                    </w:rPr>
                    <w:t>吨级多用途</w:t>
                  </w:r>
                </w:p>
              </w:tc>
              <w:tc>
                <w:tcPr>
                  <w:tcW w:w="993" w:type="dxa"/>
                  <w:vMerge w:val="continue"/>
                  <w:vAlign w:val="center"/>
                </w:tcPr>
                <w:p w14:paraId="6DDFF792">
                  <w:pPr>
                    <w:adjustRightInd w:val="0"/>
                    <w:snapToGrid w:val="0"/>
                    <w:jc w:val="center"/>
                    <w:rPr>
                      <w:color w:val="auto"/>
                      <w:sz w:val="21"/>
                      <w:szCs w:val="21"/>
                    </w:rPr>
                  </w:pPr>
                </w:p>
              </w:tc>
              <w:tc>
                <w:tcPr>
                  <w:tcW w:w="3487" w:type="dxa"/>
                  <w:vAlign w:val="center"/>
                </w:tcPr>
                <w:p w14:paraId="0514A416">
                  <w:pPr>
                    <w:adjustRightInd w:val="0"/>
                    <w:snapToGrid w:val="0"/>
                    <w:jc w:val="center"/>
                    <w:rPr>
                      <w:color w:val="auto"/>
                      <w:sz w:val="21"/>
                      <w:szCs w:val="21"/>
                    </w:rPr>
                  </w:pPr>
                  <w:r>
                    <w:rPr>
                      <w:rFonts w:hint="eastAsia"/>
                      <w:color w:val="auto"/>
                      <w:sz w:val="21"/>
                      <w:szCs w:val="21"/>
                    </w:rPr>
                    <w:t>6</w:t>
                  </w:r>
                </w:p>
              </w:tc>
            </w:tr>
            <w:tr w14:paraId="44C14E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4B93C3EF">
                  <w:pPr>
                    <w:adjustRightInd w:val="0"/>
                    <w:snapToGrid w:val="0"/>
                    <w:jc w:val="center"/>
                    <w:rPr>
                      <w:color w:val="auto"/>
                      <w:sz w:val="21"/>
                      <w:szCs w:val="21"/>
                    </w:rPr>
                  </w:pPr>
                  <w:r>
                    <w:rPr>
                      <w:rFonts w:hint="eastAsia"/>
                      <w:color w:val="auto"/>
                      <w:sz w:val="21"/>
                      <w:szCs w:val="21"/>
                    </w:rPr>
                    <w:t>3</w:t>
                  </w:r>
                </w:p>
              </w:tc>
              <w:tc>
                <w:tcPr>
                  <w:tcW w:w="1417" w:type="dxa"/>
                  <w:vMerge w:val="continue"/>
                  <w:vAlign w:val="center"/>
                </w:tcPr>
                <w:p w14:paraId="74A9C895">
                  <w:pPr>
                    <w:adjustRightInd w:val="0"/>
                    <w:snapToGrid w:val="0"/>
                    <w:jc w:val="center"/>
                    <w:rPr>
                      <w:color w:val="auto"/>
                      <w:sz w:val="21"/>
                      <w:szCs w:val="21"/>
                    </w:rPr>
                  </w:pPr>
                </w:p>
              </w:tc>
              <w:tc>
                <w:tcPr>
                  <w:tcW w:w="2268" w:type="dxa"/>
                  <w:gridSpan w:val="2"/>
                  <w:vAlign w:val="center"/>
                </w:tcPr>
                <w:p w14:paraId="58D246E1">
                  <w:pPr>
                    <w:adjustRightInd w:val="0"/>
                    <w:snapToGrid w:val="0"/>
                    <w:jc w:val="center"/>
                    <w:rPr>
                      <w:color w:val="auto"/>
                      <w:sz w:val="21"/>
                      <w:szCs w:val="21"/>
                    </w:rPr>
                  </w:pPr>
                  <w:r>
                    <w:rPr>
                      <w:rFonts w:hint="eastAsia"/>
                      <w:color w:val="auto"/>
                      <w:sz w:val="21"/>
                      <w:szCs w:val="21"/>
                    </w:rPr>
                    <w:t>1</w:t>
                  </w:r>
                  <w:r>
                    <w:rPr>
                      <w:color w:val="auto"/>
                      <w:sz w:val="21"/>
                      <w:szCs w:val="21"/>
                    </w:rPr>
                    <w:t>000</w:t>
                  </w:r>
                  <w:r>
                    <w:rPr>
                      <w:rFonts w:hint="eastAsia"/>
                      <w:color w:val="auto"/>
                      <w:sz w:val="21"/>
                      <w:szCs w:val="21"/>
                    </w:rPr>
                    <w:t>吨级件杂货</w:t>
                  </w:r>
                </w:p>
              </w:tc>
              <w:tc>
                <w:tcPr>
                  <w:tcW w:w="993" w:type="dxa"/>
                  <w:vMerge w:val="continue"/>
                  <w:vAlign w:val="center"/>
                </w:tcPr>
                <w:p w14:paraId="714BA924">
                  <w:pPr>
                    <w:adjustRightInd w:val="0"/>
                    <w:snapToGrid w:val="0"/>
                    <w:jc w:val="center"/>
                    <w:rPr>
                      <w:color w:val="auto"/>
                      <w:sz w:val="21"/>
                      <w:szCs w:val="21"/>
                    </w:rPr>
                  </w:pPr>
                </w:p>
              </w:tc>
              <w:tc>
                <w:tcPr>
                  <w:tcW w:w="3487" w:type="dxa"/>
                  <w:vAlign w:val="center"/>
                </w:tcPr>
                <w:p w14:paraId="063A03EB">
                  <w:pPr>
                    <w:adjustRightInd w:val="0"/>
                    <w:snapToGrid w:val="0"/>
                    <w:jc w:val="center"/>
                    <w:rPr>
                      <w:color w:val="auto"/>
                      <w:sz w:val="21"/>
                      <w:szCs w:val="21"/>
                    </w:rPr>
                  </w:pPr>
                  <w:r>
                    <w:rPr>
                      <w:rFonts w:hint="eastAsia"/>
                      <w:color w:val="auto"/>
                      <w:sz w:val="21"/>
                      <w:szCs w:val="21"/>
                    </w:rPr>
                    <w:t>1</w:t>
                  </w:r>
                  <w:r>
                    <w:rPr>
                      <w:color w:val="auto"/>
                      <w:sz w:val="21"/>
                      <w:szCs w:val="21"/>
                    </w:rPr>
                    <w:t>2</w:t>
                  </w:r>
                </w:p>
              </w:tc>
            </w:tr>
            <w:tr w14:paraId="39D6D8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5F5600AA">
                  <w:pPr>
                    <w:adjustRightInd w:val="0"/>
                    <w:snapToGrid w:val="0"/>
                    <w:jc w:val="center"/>
                    <w:rPr>
                      <w:color w:val="auto"/>
                      <w:sz w:val="21"/>
                      <w:szCs w:val="21"/>
                    </w:rPr>
                  </w:pPr>
                  <w:r>
                    <w:rPr>
                      <w:rFonts w:hint="eastAsia"/>
                      <w:color w:val="auto"/>
                      <w:sz w:val="21"/>
                      <w:szCs w:val="21"/>
                    </w:rPr>
                    <w:t>4</w:t>
                  </w:r>
                </w:p>
              </w:tc>
              <w:tc>
                <w:tcPr>
                  <w:tcW w:w="1417" w:type="dxa"/>
                  <w:vMerge w:val="continue"/>
                  <w:vAlign w:val="center"/>
                </w:tcPr>
                <w:p w14:paraId="6C123137">
                  <w:pPr>
                    <w:adjustRightInd w:val="0"/>
                    <w:snapToGrid w:val="0"/>
                    <w:jc w:val="center"/>
                    <w:rPr>
                      <w:color w:val="auto"/>
                      <w:sz w:val="21"/>
                      <w:szCs w:val="21"/>
                    </w:rPr>
                  </w:pPr>
                </w:p>
              </w:tc>
              <w:tc>
                <w:tcPr>
                  <w:tcW w:w="2268" w:type="dxa"/>
                  <w:gridSpan w:val="2"/>
                  <w:vAlign w:val="center"/>
                </w:tcPr>
                <w:p w14:paraId="3AA94655">
                  <w:pPr>
                    <w:adjustRightInd w:val="0"/>
                    <w:snapToGrid w:val="0"/>
                    <w:jc w:val="center"/>
                    <w:rPr>
                      <w:color w:val="auto"/>
                      <w:sz w:val="21"/>
                      <w:szCs w:val="21"/>
                    </w:rPr>
                  </w:pPr>
                  <w:r>
                    <w:rPr>
                      <w:rFonts w:hint="eastAsia"/>
                      <w:color w:val="auto"/>
                      <w:sz w:val="21"/>
                      <w:szCs w:val="21"/>
                    </w:rPr>
                    <w:t>1</w:t>
                  </w:r>
                  <w:r>
                    <w:rPr>
                      <w:color w:val="auto"/>
                      <w:sz w:val="21"/>
                      <w:szCs w:val="21"/>
                    </w:rPr>
                    <w:t>000</w:t>
                  </w:r>
                  <w:r>
                    <w:rPr>
                      <w:rFonts w:hint="eastAsia"/>
                      <w:color w:val="auto"/>
                      <w:sz w:val="21"/>
                      <w:szCs w:val="21"/>
                    </w:rPr>
                    <w:t>吨级散货</w:t>
                  </w:r>
                </w:p>
              </w:tc>
              <w:tc>
                <w:tcPr>
                  <w:tcW w:w="993" w:type="dxa"/>
                  <w:vMerge w:val="continue"/>
                  <w:vAlign w:val="center"/>
                </w:tcPr>
                <w:p w14:paraId="5AB57D51">
                  <w:pPr>
                    <w:adjustRightInd w:val="0"/>
                    <w:snapToGrid w:val="0"/>
                    <w:jc w:val="center"/>
                    <w:rPr>
                      <w:color w:val="auto"/>
                      <w:sz w:val="21"/>
                      <w:szCs w:val="21"/>
                    </w:rPr>
                  </w:pPr>
                </w:p>
              </w:tc>
              <w:tc>
                <w:tcPr>
                  <w:tcW w:w="3487" w:type="dxa"/>
                  <w:vAlign w:val="center"/>
                </w:tcPr>
                <w:p w14:paraId="0C5B7AF2">
                  <w:pPr>
                    <w:adjustRightInd w:val="0"/>
                    <w:snapToGrid w:val="0"/>
                    <w:jc w:val="center"/>
                    <w:rPr>
                      <w:color w:val="auto"/>
                      <w:sz w:val="21"/>
                      <w:szCs w:val="21"/>
                    </w:rPr>
                  </w:pPr>
                  <w:r>
                    <w:rPr>
                      <w:rFonts w:hint="eastAsia"/>
                      <w:color w:val="auto"/>
                      <w:sz w:val="21"/>
                      <w:szCs w:val="21"/>
                    </w:rPr>
                    <w:t>4</w:t>
                  </w:r>
                </w:p>
              </w:tc>
            </w:tr>
            <w:tr w14:paraId="76BE35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22" w:hRule="atLeast"/>
              </w:trPr>
              <w:tc>
                <w:tcPr>
                  <w:tcW w:w="851" w:type="dxa"/>
                  <w:vAlign w:val="center"/>
                </w:tcPr>
                <w:p w14:paraId="16981D3E">
                  <w:pPr>
                    <w:adjustRightInd w:val="0"/>
                    <w:snapToGrid w:val="0"/>
                    <w:jc w:val="center"/>
                    <w:rPr>
                      <w:color w:val="auto"/>
                      <w:sz w:val="21"/>
                      <w:szCs w:val="21"/>
                    </w:rPr>
                  </w:pPr>
                  <w:r>
                    <w:rPr>
                      <w:rFonts w:hint="eastAsia"/>
                      <w:color w:val="auto"/>
                      <w:sz w:val="21"/>
                      <w:szCs w:val="21"/>
                    </w:rPr>
                    <w:t>5</w:t>
                  </w:r>
                </w:p>
              </w:tc>
              <w:tc>
                <w:tcPr>
                  <w:tcW w:w="3685" w:type="dxa"/>
                  <w:gridSpan w:val="3"/>
                  <w:vAlign w:val="center"/>
                </w:tcPr>
                <w:p w14:paraId="3552ED6D">
                  <w:pPr>
                    <w:adjustRightInd w:val="0"/>
                    <w:snapToGrid w:val="0"/>
                    <w:jc w:val="center"/>
                    <w:rPr>
                      <w:color w:val="auto"/>
                      <w:sz w:val="21"/>
                      <w:szCs w:val="21"/>
                    </w:rPr>
                  </w:pPr>
                  <w:r>
                    <w:rPr>
                      <w:rFonts w:hint="eastAsia"/>
                      <w:color w:val="auto"/>
                      <w:sz w:val="21"/>
                      <w:szCs w:val="21"/>
                    </w:rPr>
                    <w:t>设计船型</w:t>
                  </w:r>
                </w:p>
              </w:tc>
              <w:tc>
                <w:tcPr>
                  <w:tcW w:w="993" w:type="dxa"/>
                  <w:vAlign w:val="center"/>
                </w:tcPr>
                <w:p w14:paraId="6DC8BD5D">
                  <w:pPr>
                    <w:adjustRightInd w:val="0"/>
                    <w:snapToGrid w:val="0"/>
                    <w:jc w:val="center"/>
                    <w:rPr>
                      <w:color w:val="auto"/>
                      <w:sz w:val="21"/>
                      <w:szCs w:val="21"/>
                    </w:rPr>
                  </w:pPr>
                  <w:r>
                    <w:rPr>
                      <w:rFonts w:hint="eastAsia"/>
                      <w:color w:val="auto"/>
                      <w:sz w:val="21"/>
                      <w:szCs w:val="21"/>
                    </w:rPr>
                    <w:t>D</w:t>
                  </w:r>
                  <w:r>
                    <w:rPr>
                      <w:color w:val="auto"/>
                      <w:sz w:val="21"/>
                      <w:szCs w:val="21"/>
                    </w:rPr>
                    <w:t>WT</w:t>
                  </w:r>
                </w:p>
              </w:tc>
              <w:tc>
                <w:tcPr>
                  <w:tcW w:w="3487" w:type="dxa"/>
                  <w:vAlign w:val="center"/>
                </w:tcPr>
                <w:p w14:paraId="42E1F7D5">
                  <w:pPr>
                    <w:adjustRightInd w:val="0"/>
                    <w:snapToGrid w:val="0"/>
                    <w:jc w:val="center"/>
                    <w:rPr>
                      <w:color w:val="auto"/>
                      <w:sz w:val="21"/>
                      <w:szCs w:val="21"/>
                    </w:rPr>
                  </w:pPr>
                  <w:r>
                    <w:rPr>
                      <w:rFonts w:hint="eastAsia"/>
                      <w:color w:val="auto"/>
                      <w:sz w:val="21"/>
                      <w:szCs w:val="21"/>
                    </w:rPr>
                    <w:t>2</w:t>
                  </w:r>
                  <w:r>
                    <w:rPr>
                      <w:color w:val="auto"/>
                      <w:sz w:val="21"/>
                      <w:szCs w:val="21"/>
                    </w:rPr>
                    <w:t>000DWT</w:t>
                  </w:r>
                  <w:r>
                    <w:rPr>
                      <w:rFonts w:hint="eastAsia"/>
                      <w:color w:val="auto"/>
                      <w:sz w:val="21"/>
                      <w:szCs w:val="21"/>
                    </w:rPr>
                    <w:t>干散货船、1</w:t>
                  </w:r>
                  <w:r>
                    <w:rPr>
                      <w:color w:val="auto"/>
                      <w:sz w:val="21"/>
                      <w:szCs w:val="21"/>
                    </w:rPr>
                    <w:t>000DWT</w:t>
                  </w:r>
                  <w:r>
                    <w:rPr>
                      <w:rFonts w:hint="eastAsia"/>
                      <w:color w:val="auto"/>
                      <w:sz w:val="21"/>
                      <w:szCs w:val="21"/>
                    </w:rPr>
                    <w:t>干散货船、5</w:t>
                  </w:r>
                  <w:r>
                    <w:rPr>
                      <w:color w:val="auto"/>
                      <w:sz w:val="21"/>
                      <w:szCs w:val="21"/>
                    </w:rPr>
                    <w:t>00DWT</w:t>
                  </w:r>
                  <w:r>
                    <w:rPr>
                      <w:rFonts w:hint="eastAsia"/>
                      <w:color w:val="auto"/>
                      <w:sz w:val="21"/>
                      <w:szCs w:val="21"/>
                    </w:rPr>
                    <w:t>干散货船、1</w:t>
                  </w:r>
                  <w:r>
                    <w:rPr>
                      <w:color w:val="auto"/>
                      <w:sz w:val="21"/>
                      <w:szCs w:val="21"/>
                    </w:rPr>
                    <w:t>00TEU</w:t>
                  </w:r>
                  <w:r>
                    <w:rPr>
                      <w:rFonts w:hint="eastAsia"/>
                      <w:color w:val="auto"/>
                      <w:sz w:val="21"/>
                      <w:szCs w:val="21"/>
                    </w:rPr>
                    <w:t>集装箱船、</w:t>
                  </w:r>
                  <w:r>
                    <w:rPr>
                      <w:color w:val="auto"/>
                      <w:sz w:val="21"/>
                      <w:szCs w:val="21"/>
                    </w:rPr>
                    <w:t>80TEU</w:t>
                  </w:r>
                  <w:r>
                    <w:rPr>
                      <w:rFonts w:hint="eastAsia"/>
                      <w:color w:val="auto"/>
                      <w:sz w:val="21"/>
                      <w:szCs w:val="21"/>
                    </w:rPr>
                    <w:t>集装箱船、</w:t>
                  </w:r>
                  <w:r>
                    <w:rPr>
                      <w:color w:val="auto"/>
                      <w:sz w:val="21"/>
                      <w:szCs w:val="21"/>
                    </w:rPr>
                    <w:t>50TEU</w:t>
                  </w:r>
                  <w:r>
                    <w:rPr>
                      <w:rFonts w:hint="eastAsia"/>
                      <w:color w:val="auto"/>
                      <w:sz w:val="21"/>
                      <w:szCs w:val="21"/>
                    </w:rPr>
                    <w:t>集装箱船、</w:t>
                  </w:r>
                  <w:r>
                    <w:rPr>
                      <w:color w:val="auto"/>
                      <w:sz w:val="21"/>
                      <w:szCs w:val="21"/>
                    </w:rPr>
                    <w:t>30TEU</w:t>
                  </w:r>
                  <w:r>
                    <w:rPr>
                      <w:rFonts w:hint="eastAsia"/>
                      <w:color w:val="auto"/>
                      <w:sz w:val="21"/>
                      <w:szCs w:val="21"/>
                    </w:rPr>
                    <w:t>集装箱船</w:t>
                  </w:r>
                </w:p>
              </w:tc>
            </w:tr>
            <w:tr w14:paraId="4C8B45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Merge w:val="restart"/>
                  <w:vAlign w:val="center"/>
                </w:tcPr>
                <w:p w14:paraId="745D3921">
                  <w:pPr>
                    <w:adjustRightInd w:val="0"/>
                    <w:snapToGrid w:val="0"/>
                    <w:jc w:val="center"/>
                    <w:rPr>
                      <w:color w:val="auto"/>
                      <w:sz w:val="21"/>
                      <w:szCs w:val="21"/>
                    </w:rPr>
                  </w:pPr>
                  <w:r>
                    <w:rPr>
                      <w:rFonts w:hint="eastAsia"/>
                      <w:color w:val="auto"/>
                      <w:sz w:val="21"/>
                      <w:szCs w:val="21"/>
                    </w:rPr>
                    <w:t>6</w:t>
                  </w:r>
                </w:p>
              </w:tc>
              <w:tc>
                <w:tcPr>
                  <w:tcW w:w="3685" w:type="dxa"/>
                  <w:gridSpan w:val="3"/>
                  <w:vAlign w:val="center"/>
                </w:tcPr>
                <w:p w14:paraId="3F37B0C7">
                  <w:pPr>
                    <w:adjustRightInd w:val="0"/>
                    <w:snapToGrid w:val="0"/>
                    <w:jc w:val="center"/>
                    <w:rPr>
                      <w:color w:val="auto"/>
                      <w:sz w:val="21"/>
                      <w:szCs w:val="21"/>
                    </w:rPr>
                  </w:pPr>
                  <w:r>
                    <w:rPr>
                      <w:rFonts w:hint="eastAsia"/>
                      <w:color w:val="auto"/>
                      <w:sz w:val="21"/>
                      <w:szCs w:val="21"/>
                    </w:rPr>
                    <w:t>年吞吐量</w:t>
                  </w:r>
                </w:p>
              </w:tc>
              <w:tc>
                <w:tcPr>
                  <w:tcW w:w="993" w:type="dxa"/>
                  <w:vAlign w:val="center"/>
                </w:tcPr>
                <w:p w14:paraId="7483BA91">
                  <w:pPr>
                    <w:adjustRightInd w:val="0"/>
                    <w:snapToGrid w:val="0"/>
                    <w:jc w:val="center"/>
                    <w:rPr>
                      <w:color w:val="auto"/>
                      <w:sz w:val="21"/>
                      <w:szCs w:val="21"/>
                    </w:rPr>
                  </w:pPr>
                  <w:r>
                    <w:rPr>
                      <w:rFonts w:hint="eastAsia"/>
                      <w:color w:val="auto"/>
                      <w:sz w:val="21"/>
                      <w:szCs w:val="21"/>
                    </w:rPr>
                    <w:t>万t</w:t>
                  </w:r>
                  <w:r>
                    <w:rPr>
                      <w:color w:val="auto"/>
                      <w:sz w:val="21"/>
                      <w:szCs w:val="21"/>
                    </w:rPr>
                    <w:t>/a</w:t>
                  </w:r>
                </w:p>
              </w:tc>
              <w:tc>
                <w:tcPr>
                  <w:tcW w:w="3487" w:type="dxa"/>
                  <w:vAlign w:val="center"/>
                </w:tcPr>
                <w:p w14:paraId="17299392">
                  <w:pPr>
                    <w:adjustRightInd w:val="0"/>
                    <w:snapToGrid w:val="0"/>
                    <w:jc w:val="center"/>
                    <w:rPr>
                      <w:color w:val="auto"/>
                      <w:sz w:val="21"/>
                      <w:szCs w:val="21"/>
                    </w:rPr>
                  </w:pPr>
                  <w:r>
                    <w:rPr>
                      <w:color w:val="auto"/>
                      <w:sz w:val="21"/>
                      <w:szCs w:val="21"/>
                    </w:rPr>
                    <w:t>1570</w:t>
                  </w:r>
                </w:p>
              </w:tc>
            </w:tr>
            <w:tr w14:paraId="762A1C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Merge w:val="continue"/>
                  <w:vAlign w:val="center"/>
                </w:tcPr>
                <w:p w14:paraId="7087DD8F">
                  <w:pPr>
                    <w:adjustRightInd w:val="0"/>
                    <w:snapToGrid w:val="0"/>
                    <w:jc w:val="center"/>
                    <w:rPr>
                      <w:color w:val="auto"/>
                      <w:sz w:val="21"/>
                      <w:szCs w:val="21"/>
                    </w:rPr>
                  </w:pPr>
                </w:p>
              </w:tc>
              <w:tc>
                <w:tcPr>
                  <w:tcW w:w="1417" w:type="dxa"/>
                  <w:vMerge w:val="restart"/>
                  <w:vAlign w:val="center"/>
                </w:tcPr>
                <w:p w14:paraId="038A9B88">
                  <w:pPr>
                    <w:adjustRightInd w:val="0"/>
                    <w:snapToGrid w:val="0"/>
                    <w:jc w:val="center"/>
                    <w:rPr>
                      <w:color w:val="auto"/>
                      <w:sz w:val="21"/>
                      <w:szCs w:val="21"/>
                    </w:rPr>
                  </w:pPr>
                  <w:r>
                    <w:rPr>
                      <w:rFonts w:hint="eastAsia"/>
                      <w:color w:val="auto"/>
                      <w:sz w:val="21"/>
                      <w:szCs w:val="21"/>
                    </w:rPr>
                    <w:t>其中</w:t>
                  </w:r>
                </w:p>
              </w:tc>
              <w:tc>
                <w:tcPr>
                  <w:tcW w:w="2268" w:type="dxa"/>
                  <w:gridSpan w:val="2"/>
                  <w:vAlign w:val="center"/>
                </w:tcPr>
                <w:p w14:paraId="50FF2A21">
                  <w:pPr>
                    <w:adjustRightInd w:val="0"/>
                    <w:snapToGrid w:val="0"/>
                    <w:jc w:val="center"/>
                    <w:rPr>
                      <w:color w:val="auto"/>
                      <w:sz w:val="21"/>
                      <w:szCs w:val="21"/>
                    </w:rPr>
                  </w:pPr>
                  <w:r>
                    <w:rPr>
                      <w:rFonts w:hint="eastAsia"/>
                      <w:color w:val="auto"/>
                      <w:sz w:val="21"/>
                      <w:szCs w:val="21"/>
                    </w:rPr>
                    <w:t>矿建材料</w:t>
                  </w:r>
                </w:p>
              </w:tc>
              <w:tc>
                <w:tcPr>
                  <w:tcW w:w="993" w:type="dxa"/>
                  <w:vAlign w:val="center"/>
                </w:tcPr>
                <w:p w14:paraId="0F1771EC">
                  <w:pPr>
                    <w:adjustRightInd w:val="0"/>
                    <w:snapToGrid w:val="0"/>
                    <w:jc w:val="center"/>
                    <w:rPr>
                      <w:color w:val="auto"/>
                      <w:sz w:val="21"/>
                      <w:szCs w:val="21"/>
                    </w:rPr>
                  </w:pPr>
                  <w:r>
                    <w:rPr>
                      <w:rFonts w:hint="eastAsia"/>
                      <w:color w:val="auto"/>
                      <w:sz w:val="21"/>
                      <w:szCs w:val="21"/>
                    </w:rPr>
                    <w:t>万t</w:t>
                  </w:r>
                  <w:r>
                    <w:rPr>
                      <w:color w:val="auto"/>
                      <w:sz w:val="21"/>
                      <w:szCs w:val="21"/>
                    </w:rPr>
                    <w:t>/a</w:t>
                  </w:r>
                </w:p>
              </w:tc>
              <w:tc>
                <w:tcPr>
                  <w:tcW w:w="3487" w:type="dxa"/>
                  <w:vAlign w:val="center"/>
                </w:tcPr>
                <w:p w14:paraId="57218A07">
                  <w:pPr>
                    <w:adjustRightInd w:val="0"/>
                    <w:snapToGrid w:val="0"/>
                    <w:jc w:val="center"/>
                    <w:rPr>
                      <w:color w:val="auto"/>
                      <w:sz w:val="21"/>
                      <w:szCs w:val="21"/>
                    </w:rPr>
                  </w:pPr>
                  <w:r>
                    <w:rPr>
                      <w:color w:val="auto"/>
                      <w:sz w:val="21"/>
                      <w:szCs w:val="21"/>
                    </w:rPr>
                    <w:t>610</w:t>
                  </w:r>
                </w:p>
              </w:tc>
            </w:tr>
            <w:tr w14:paraId="460032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Merge w:val="continue"/>
                  <w:vAlign w:val="center"/>
                </w:tcPr>
                <w:p w14:paraId="0080E6C0">
                  <w:pPr>
                    <w:adjustRightInd w:val="0"/>
                    <w:snapToGrid w:val="0"/>
                    <w:jc w:val="center"/>
                    <w:rPr>
                      <w:color w:val="auto"/>
                      <w:sz w:val="21"/>
                      <w:szCs w:val="21"/>
                    </w:rPr>
                  </w:pPr>
                </w:p>
              </w:tc>
              <w:tc>
                <w:tcPr>
                  <w:tcW w:w="1417" w:type="dxa"/>
                  <w:vMerge w:val="continue"/>
                  <w:vAlign w:val="center"/>
                </w:tcPr>
                <w:p w14:paraId="53EFA7D3">
                  <w:pPr>
                    <w:adjustRightInd w:val="0"/>
                    <w:snapToGrid w:val="0"/>
                    <w:jc w:val="center"/>
                    <w:rPr>
                      <w:color w:val="auto"/>
                      <w:sz w:val="21"/>
                      <w:szCs w:val="21"/>
                    </w:rPr>
                  </w:pPr>
                </w:p>
              </w:tc>
              <w:tc>
                <w:tcPr>
                  <w:tcW w:w="2268" w:type="dxa"/>
                  <w:gridSpan w:val="2"/>
                  <w:vAlign w:val="center"/>
                </w:tcPr>
                <w:p w14:paraId="7E972155">
                  <w:pPr>
                    <w:adjustRightInd w:val="0"/>
                    <w:snapToGrid w:val="0"/>
                    <w:jc w:val="center"/>
                    <w:rPr>
                      <w:color w:val="auto"/>
                      <w:sz w:val="21"/>
                      <w:szCs w:val="21"/>
                    </w:rPr>
                  </w:pPr>
                  <w:r>
                    <w:rPr>
                      <w:rFonts w:hint="eastAsia"/>
                      <w:color w:val="auto"/>
                      <w:sz w:val="21"/>
                      <w:szCs w:val="21"/>
                    </w:rPr>
                    <w:t>集装箱</w:t>
                  </w:r>
                </w:p>
              </w:tc>
              <w:tc>
                <w:tcPr>
                  <w:tcW w:w="993" w:type="dxa"/>
                  <w:vAlign w:val="center"/>
                </w:tcPr>
                <w:p w14:paraId="070C19E5">
                  <w:pPr>
                    <w:adjustRightInd w:val="0"/>
                    <w:snapToGrid w:val="0"/>
                    <w:jc w:val="center"/>
                    <w:rPr>
                      <w:color w:val="auto"/>
                      <w:sz w:val="21"/>
                      <w:szCs w:val="21"/>
                    </w:rPr>
                  </w:pPr>
                  <w:r>
                    <w:rPr>
                      <w:rFonts w:hint="eastAsia"/>
                      <w:color w:val="auto"/>
                      <w:sz w:val="21"/>
                      <w:szCs w:val="21"/>
                    </w:rPr>
                    <w:t>万t/a</w:t>
                  </w:r>
                </w:p>
              </w:tc>
              <w:tc>
                <w:tcPr>
                  <w:tcW w:w="3487" w:type="dxa"/>
                  <w:vAlign w:val="center"/>
                </w:tcPr>
                <w:p w14:paraId="532582D3">
                  <w:pPr>
                    <w:adjustRightInd w:val="0"/>
                    <w:snapToGrid w:val="0"/>
                    <w:jc w:val="center"/>
                    <w:rPr>
                      <w:color w:val="auto"/>
                      <w:sz w:val="21"/>
                      <w:szCs w:val="21"/>
                    </w:rPr>
                  </w:pPr>
                  <w:r>
                    <w:rPr>
                      <w:color w:val="auto"/>
                      <w:sz w:val="21"/>
                      <w:szCs w:val="21"/>
                    </w:rPr>
                    <w:t>250</w:t>
                  </w:r>
                </w:p>
              </w:tc>
            </w:tr>
            <w:tr w14:paraId="22F476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Merge w:val="continue"/>
                  <w:vAlign w:val="center"/>
                </w:tcPr>
                <w:p w14:paraId="12DB0487">
                  <w:pPr>
                    <w:adjustRightInd w:val="0"/>
                    <w:snapToGrid w:val="0"/>
                    <w:jc w:val="center"/>
                    <w:rPr>
                      <w:color w:val="auto"/>
                      <w:sz w:val="21"/>
                      <w:szCs w:val="21"/>
                    </w:rPr>
                  </w:pPr>
                </w:p>
              </w:tc>
              <w:tc>
                <w:tcPr>
                  <w:tcW w:w="1417" w:type="dxa"/>
                  <w:vMerge w:val="continue"/>
                  <w:vAlign w:val="center"/>
                </w:tcPr>
                <w:p w14:paraId="07C29B32">
                  <w:pPr>
                    <w:adjustRightInd w:val="0"/>
                    <w:snapToGrid w:val="0"/>
                    <w:jc w:val="center"/>
                    <w:rPr>
                      <w:color w:val="auto"/>
                      <w:sz w:val="21"/>
                      <w:szCs w:val="21"/>
                    </w:rPr>
                  </w:pPr>
                </w:p>
              </w:tc>
              <w:tc>
                <w:tcPr>
                  <w:tcW w:w="2268" w:type="dxa"/>
                  <w:gridSpan w:val="2"/>
                  <w:vAlign w:val="center"/>
                </w:tcPr>
                <w:p w14:paraId="75C97C75">
                  <w:pPr>
                    <w:adjustRightInd w:val="0"/>
                    <w:snapToGrid w:val="0"/>
                    <w:jc w:val="center"/>
                    <w:rPr>
                      <w:color w:val="auto"/>
                      <w:sz w:val="21"/>
                      <w:szCs w:val="21"/>
                    </w:rPr>
                  </w:pPr>
                  <w:r>
                    <w:rPr>
                      <w:rFonts w:hint="eastAsia"/>
                      <w:color w:val="auto"/>
                      <w:sz w:val="21"/>
                      <w:szCs w:val="21"/>
                    </w:rPr>
                    <w:t>钢材</w:t>
                  </w:r>
                </w:p>
              </w:tc>
              <w:tc>
                <w:tcPr>
                  <w:tcW w:w="993" w:type="dxa"/>
                  <w:vAlign w:val="center"/>
                </w:tcPr>
                <w:p w14:paraId="714753A6">
                  <w:pPr>
                    <w:adjustRightInd w:val="0"/>
                    <w:snapToGrid w:val="0"/>
                    <w:jc w:val="center"/>
                    <w:rPr>
                      <w:color w:val="auto"/>
                      <w:sz w:val="21"/>
                      <w:szCs w:val="21"/>
                    </w:rPr>
                  </w:pPr>
                  <w:r>
                    <w:rPr>
                      <w:rFonts w:hint="eastAsia"/>
                      <w:color w:val="auto"/>
                      <w:sz w:val="21"/>
                      <w:szCs w:val="21"/>
                    </w:rPr>
                    <w:t>万t</w:t>
                  </w:r>
                  <w:r>
                    <w:rPr>
                      <w:color w:val="auto"/>
                      <w:sz w:val="21"/>
                      <w:szCs w:val="21"/>
                    </w:rPr>
                    <w:t>/a</w:t>
                  </w:r>
                </w:p>
              </w:tc>
              <w:tc>
                <w:tcPr>
                  <w:tcW w:w="3487" w:type="dxa"/>
                  <w:vAlign w:val="center"/>
                </w:tcPr>
                <w:p w14:paraId="7F1AB637">
                  <w:pPr>
                    <w:adjustRightInd w:val="0"/>
                    <w:snapToGrid w:val="0"/>
                    <w:jc w:val="center"/>
                    <w:rPr>
                      <w:color w:val="auto"/>
                      <w:sz w:val="21"/>
                      <w:szCs w:val="21"/>
                    </w:rPr>
                  </w:pPr>
                  <w:r>
                    <w:rPr>
                      <w:color w:val="auto"/>
                      <w:sz w:val="21"/>
                      <w:szCs w:val="21"/>
                    </w:rPr>
                    <w:t>180</w:t>
                  </w:r>
                </w:p>
              </w:tc>
            </w:tr>
            <w:tr w14:paraId="250D40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Merge w:val="continue"/>
                  <w:vAlign w:val="center"/>
                </w:tcPr>
                <w:p w14:paraId="6B27EE4A">
                  <w:pPr>
                    <w:adjustRightInd w:val="0"/>
                    <w:snapToGrid w:val="0"/>
                    <w:jc w:val="center"/>
                    <w:rPr>
                      <w:color w:val="auto"/>
                      <w:sz w:val="21"/>
                      <w:szCs w:val="21"/>
                    </w:rPr>
                  </w:pPr>
                </w:p>
              </w:tc>
              <w:tc>
                <w:tcPr>
                  <w:tcW w:w="1417" w:type="dxa"/>
                  <w:vMerge w:val="continue"/>
                  <w:vAlign w:val="center"/>
                </w:tcPr>
                <w:p w14:paraId="68B22411">
                  <w:pPr>
                    <w:adjustRightInd w:val="0"/>
                    <w:snapToGrid w:val="0"/>
                    <w:jc w:val="center"/>
                    <w:rPr>
                      <w:color w:val="auto"/>
                      <w:sz w:val="21"/>
                      <w:szCs w:val="21"/>
                    </w:rPr>
                  </w:pPr>
                </w:p>
              </w:tc>
              <w:tc>
                <w:tcPr>
                  <w:tcW w:w="2268" w:type="dxa"/>
                  <w:gridSpan w:val="2"/>
                  <w:vAlign w:val="center"/>
                </w:tcPr>
                <w:p w14:paraId="50408869">
                  <w:pPr>
                    <w:adjustRightInd w:val="0"/>
                    <w:snapToGrid w:val="0"/>
                    <w:jc w:val="center"/>
                    <w:rPr>
                      <w:color w:val="auto"/>
                      <w:sz w:val="21"/>
                      <w:szCs w:val="21"/>
                    </w:rPr>
                  </w:pPr>
                  <w:r>
                    <w:rPr>
                      <w:rFonts w:hint="eastAsia"/>
                      <w:color w:val="auto"/>
                      <w:sz w:val="21"/>
                      <w:szCs w:val="21"/>
                    </w:rPr>
                    <w:t>散粮</w:t>
                  </w:r>
                </w:p>
              </w:tc>
              <w:tc>
                <w:tcPr>
                  <w:tcW w:w="993" w:type="dxa"/>
                  <w:vAlign w:val="center"/>
                </w:tcPr>
                <w:p w14:paraId="5F35803A">
                  <w:pPr>
                    <w:adjustRightInd w:val="0"/>
                    <w:snapToGrid w:val="0"/>
                    <w:jc w:val="center"/>
                    <w:rPr>
                      <w:color w:val="auto"/>
                      <w:sz w:val="21"/>
                      <w:szCs w:val="21"/>
                    </w:rPr>
                  </w:pPr>
                  <w:r>
                    <w:rPr>
                      <w:rFonts w:hint="eastAsia"/>
                      <w:color w:val="auto"/>
                      <w:sz w:val="21"/>
                      <w:szCs w:val="21"/>
                    </w:rPr>
                    <w:t>万t</w:t>
                  </w:r>
                  <w:r>
                    <w:rPr>
                      <w:color w:val="auto"/>
                      <w:sz w:val="21"/>
                      <w:szCs w:val="21"/>
                    </w:rPr>
                    <w:t>/a</w:t>
                  </w:r>
                </w:p>
              </w:tc>
              <w:tc>
                <w:tcPr>
                  <w:tcW w:w="3487" w:type="dxa"/>
                  <w:vAlign w:val="center"/>
                </w:tcPr>
                <w:p w14:paraId="2FA52C47">
                  <w:pPr>
                    <w:adjustRightInd w:val="0"/>
                    <w:snapToGrid w:val="0"/>
                    <w:jc w:val="center"/>
                    <w:rPr>
                      <w:color w:val="auto"/>
                      <w:sz w:val="21"/>
                      <w:szCs w:val="21"/>
                    </w:rPr>
                  </w:pPr>
                  <w:r>
                    <w:rPr>
                      <w:color w:val="auto"/>
                      <w:sz w:val="21"/>
                      <w:szCs w:val="21"/>
                    </w:rPr>
                    <w:t>210</w:t>
                  </w:r>
                </w:p>
              </w:tc>
            </w:tr>
            <w:tr w14:paraId="7C3E86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Merge w:val="continue"/>
                  <w:vAlign w:val="center"/>
                </w:tcPr>
                <w:p w14:paraId="0888F190">
                  <w:pPr>
                    <w:adjustRightInd w:val="0"/>
                    <w:snapToGrid w:val="0"/>
                    <w:jc w:val="center"/>
                    <w:rPr>
                      <w:color w:val="auto"/>
                      <w:sz w:val="21"/>
                      <w:szCs w:val="21"/>
                    </w:rPr>
                  </w:pPr>
                </w:p>
              </w:tc>
              <w:tc>
                <w:tcPr>
                  <w:tcW w:w="1417" w:type="dxa"/>
                  <w:vMerge w:val="continue"/>
                  <w:vAlign w:val="center"/>
                </w:tcPr>
                <w:p w14:paraId="37D1A735">
                  <w:pPr>
                    <w:adjustRightInd w:val="0"/>
                    <w:snapToGrid w:val="0"/>
                    <w:jc w:val="center"/>
                    <w:rPr>
                      <w:color w:val="auto"/>
                      <w:sz w:val="21"/>
                      <w:szCs w:val="21"/>
                    </w:rPr>
                  </w:pPr>
                </w:p>
              </w:tc>
              <w:tc>
                <w:tcPr>
                  <w:tcW w:w="2268" w:type="dxa"/>
                  <w:gridSpan w:val="2"/>
                  <w:vAlign w:val="center"/>
                </w:tcPr>
                <w:p w14:paraId="53026B1E">
                  <w:pPr>
                    <w:adjustRightInd w:val="0"/>
                    <w:snapToGrid w:val="0"/>
                    <w:jc w:val="center"/>
                    <w:rPr>
                      <w:color w:val="auto"/>
                      <w:sz w:val="21"/>
                      <w:szCs w:val="21"/>
                    </w:rPr>
                  </w:pPr>
                  <w:r>
                    <w:rPr>
                      <w:rFonts w:hint="eastAsia"/>
                      <w:color w:val="auto"/>
                      <w:sz w:val="21"/>
                      <w:szCs w:val="21"/>
                    </w:rPr>
                    <w:t>粮食（袋装）</w:t>
                  </w:r>
                </w:p>
              </w:tc>
              <w:tc>
                <w:tcPr>
                  <w:tcW w:w="993" w:type="dxa"/>
                  <w:vAlign w:val="center"/>
                </w:tcPr>
                <w:p w14:paraId="38675818">
                  <w:pPr>
                    <w:adjustRightInd w:val="0"/>
                    <w:snapToGrid w:val="0"/>
                    <w:jc w:val="center"/>
                    <w:rPr>
                      <w:color w:val="auto"/>
                      <w:sz w:val="21"/>
                      <w:szCs w:val="21"/>
                    </w:rPr>
                  </w:pPr>
                  <w:r>
                    <w:rPr>
                      <w:rFonts w:hint="eastAsia"/>
                      <w:color w:val="auto"/>
                      <w:sz w:val="21"/>
                      <w:szCs w:val="21"/>
                    </w:rPr>
                    <w:t>万t</w:t>
                  </w:r>
                  <w:r>
                    <w:rPr>
                      <w:color w:val="auto"/>
                      <w:sz w:val="21"/>
                      <w:szCs w:val="21"/>
                    </w:rPr>
                    <w:t>/a</w:t>
                  </w:r>
                </w:p>
              </w:tc>
              <w:tc>
                <w:tcPr>
                  <w:tcW w:w="3487" w:type="dxa"/>
                  <w:vAlign w:val="center"/>
                </w:tcPr>
                <w:p w14:paraId="409D2AE5">
                  <w:pPr>
                    <w:adjustRightInd w:val="0"/>
                    <w:snapToGrid w:val="0"/>
                    <w:jc w:val="center"/>
                    <w:rPr>
                      <w:color w:val="auto"/>
                      <w:sz w:val="21"/>
                      <w:szCs w:val="21"/>
                    </w:rPr>
                  </w:pPr>
                  <w:r>
                    <w:rPr>
                      <w:color w:val="auto"/>
                      <w:sz w:val="21"/>
                      <w:szCs w:val="21"/>
                    </w:rPr>
                    <w:t>90</w:t>
                  </w:r>
                </w:p>
              </w:tc>
            </w:tr>
            <w:tr w14:paraId="3B32E4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Merge w:val="continue"/>
                  <w:vAlign w:val="center"/>
                </w:tcPr>
                <w:p w14:paraId="1C1C8EF7">
                  <w:pPr>
                    <w:adjustRightInd w:val="0"/>
                    <w:snapToGrid w:val="0"/>
                    <w:jc w:val="center"/>
                    <w:rPr>
                      <w:color w:val="auto"/>
                      <w:sz w:val="21"/>
                      <w:szCs w:val="21"/>
                    </w:rPr>
                  </w:pPr>
                </w:p>
              </w:tc>
              <w:tc>
                <w:tcPr>
                  <w:tcW w:w="1417" w:type="dxa"/>
                  <w:vMerge w:val="continue"/>
                  <w:vAlign w:val="center"/>
                </w:tcPr>
                <w:p w14:paraId="7385DFD6">
                  <w:pPr>
                    <w:adjustRightInd w:val="0"/>
                    <w:snapToGrid w:val="0"/>
                    <w:jc w:val="center"/>
                    <w:rPr>
                      <w:color w:val="auto"/>
                      <w:sz w:val="21"/>
                      <w:szCs w:val="21"/>
                    </w:rPr>
                  </w:pPr>
                </w:p>
              </w:tc>
              <w:tc>
                <w:tcPr>
                  <w:tcW w:w="2268" w:type="dxa"/>
                  <w:gridSpan w:val="2"/>
                  <w:vAlign w:val="center"/>
                </w:tcPr>
                <w:p w14:paraId="387C3A44">
                  <w:pPr>
                    <w:adjustRightInd w:val="0"/>
                    <w:snapToGrid w:val="0"/>
                    <w:jc w:val="center"/>
                    <w:rPr>
                      <w:color w:val="auto"/>
                      <w:sz w:val="21"/>
                      <w:szCs w:val="21"/>
                    </w:rPr>
                  </w:pPr>
                  <w:r>
                    <w:rPr>
                      <w:rFonts w:hint="eastAsia"/>
                      <w:color w:val="auto"/>
                      <w:sz w:val="21"/>
                      <w:szCs w:val="21"/>
                    </w:rPr>
                    <w:t>其他</w:t>
                  </w:r>
                </w:p>
              </w:tc>
              <w:tc>
                <w:tcPr>
                  <w:tcW w:w="993" w:type="dxa"/>
                  <w:vAlign w:val="center"/>
                </w:tcPr>
                <w:p w14:paraId="0AFF9D2C">
                  <w:pPr>
                    <w:adjustRightInd w:val="0"/>
                    <w:snapToGrid w:val="0"/>
                    <w:jc w:val="center"/>
                    <w:rPr>
                      <w:color w:val="auto"/>
                      <w:sz w:val="21"/>
                      <w:szCs w:val="21"/>
                    </w:rPr>
                  </w:pPr>
                  <w:r>
                    <w:rPr>
                      <w:rFonts w:hint="eastAsia"/>
                      <w:color w:val="auto"/>
                      <w:sz w:val="21"/>
                      <w:szCs w:val="21"/>
                    </w:rPr>
                    <w:t>万t</w:t>
                  </w:r>
                  <w:r>
                    <w:rPr>
                      <w:color w:val="auto"/>
                      <w:sz w:val="21"/>
                      <w:szCs w:val="21"/>
                    </w:rPr>
                    <w:t>/a</w:t>
                  </w:r>
                </w:p>
              </w:tc>
              <w:tc>
                <w:tcPr>
                  <w:tcW w:w="3487" w:type="dxa"/>
                  <w:vAlign w:val="center"/>
                </w:tcPr>
                <w:p w14:paraId="2F493800">
                  <w:pPr>
                    <w:adjustRightInd w:val="0"/>
                    <w:snapToGrid w:val="0"/>
                    <w:jc w:val="center"/>
                    <w:rPr>
                      <w:color w:val="auto"/>
                      <w:sz w:val="21"/>
                      <w:szCs w:val="21"/>
                    </w:rPr>
                  </w:pPr>
                  <w:r>
                    <w:rPr>
                      <w:color w:val="auto"/>
                      <w:sz w:val="21"/>
                      <w:szCs w:val="21"/>
                    </w:rPr>
                    <w:t>230</w:t>
                  </w:r>
                </w:p>
              </w:tc>
            </w:tr>
            <w:tr w14:paraId="40C8E0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20E34670">
                  <w:pPr>
                    <w:adjustRightInd w:val="0"/>
                    <w:snapToGrid w:val="0"/>
                    <w:jc w:val="center"/>
                    <w:rPr>
                      <w:color w:val="auto"/>
                      <w:sz w:val="21"/>
                      <w:szCs w:val="21"/>
                    </w:rPr>
                  </w:pPr>
                  <w:r>
                    <w:rPr>
                      <w:rFonts w:hint="eastAsia"/>
                      <w:color w:val="auto"/>
                      <w:sz w:val="21"/>
                      <w:szCs w:val="21"/>
                    </w:rPr>
                    <w:t>7</w:t>
                  </w:r>
                </w:p>
              </w:tc>
              <w:tc>
                <w:tcPr>
                  <w:tcW w:w="3685" w:type="dxa"/>
                  <w:gridSpan w:val="3"/>
                  <w:vAlign w:val="center"/>
                </w:tcPr>
                <w:p w14:paraId="0AA17DC7">
                  <w:pPr>
                    <w:adjustRightInd w:val="0"/>
                    <w:snapToGrid w:val="0"/>
                    <w:jc w:val="center"/>
                    <w:rPr>
                      <w:color w:val="auto"/>
                      <w:sz w:val="21"/>
                      <w:szCs w:val="21"/>
                    </w:rPr>
                  </w:pPr>
                  <w:r>
                    <w:rPr>
                      <w:rFonts w:hint="eastAsia"/>
                      <w:color w:val="auto"/>
                      <w:sz w:val="21"/>
                      <w:szCs w:val="21"/>
                    </w:rPr>
                    <w:t>年设计通过能力</w:t>
                  </w:r>
                </w:p>
              </w:tc>
              <w:tc>
                <w:tcPr>
                  <w:tcW w:w="993" w:type="dxa"/>
                  <w:vAlign w:val="center"/>
                </w:tcPr>
                <w:p w14:paraId="37E092D6">
                  <w:pPr>
                    <w:adjustRightInd w:val="0"/>
                    <w:snapToGrid w:val="0"/>
                    <w:jc w:val="center"/>
                    <w:rPr>
                      <w:color w:val="auto"/>
                      <w:sz w:val="21"/>
                      <w:szCs w:val="21"/>
                    </w:rPr>
                  </w:pPr>
                  <w:r>
                    <w:rPr>
                      <w:rFonts w:hint="eastAsia"/>
                      <w:color w:val="auto"/>
                      <w:sz w:val="21"/>
                      <w:szCs w:val="21"/>
                    </w:rPr>
                    <w:t>万t</w:t>
                  </w:r>
                  <w:r>
                    <w:rPr>
                      <w:color w:val="auto"/>
                      <w:sz w:val="21"/>
                      <w:szCs w:val="21"/>
                    </w:rPr>
                    <w:t>/a</w:t>
                  </w:r>
                </w:p>
              </w:tc>
              <w:tc>
                <w:tcPr>
                  <w:tcW w:w="3487" w:type="dxa"/>
                  <w:vAlign w:val="center"/>
                </w:tcPr>
                <w:p w14:paraId="4A2DBD04">
                  <w:pPr>
                    <w:adjustRightInd w:val="0"/>
                    <w:snapToGrid w:val="0"/>
                    <w:jc w:val="center"/>
                    <w:rPr>
                      <w:color w:val="auto"/>
                      <w:sz w:val="21"/>
                      <w:szCs w:val="21"/>
                    </w:rPr>
                  </w:pPr>
                  <w:r>
                    <w:rPr>
                      <w:rFonts w:hint="eastAsia"/>
                      <w:color w:val="auto"/>
                      <w:sz w:val="21"/>
                      <w:szCs w:val="21"/>
                    </w:rPr>
                    <w:t>1</w:t>
                  </w:r>
                  <w:r>
                    <w:rPr>
                      <w:color w:val="auto"/>
                      <w:sz w:val="21"/>
                      <w:szCs w:val="21"/>
                    </w:rPr>
                    <w:t>624</w:t>
                  </w:r>
                </w:p>
              </w:tc>
            </w:tr>
            <w:tr w14:paraId="7F681F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0F02D86D">
                  <w:pPr>
                    <w:adjustRightInd w:val="0"/>
                    <w:snapToGrid w:val="0"/>
                    <w:jc w:val="center"/>
                    <w:rPr>
                      <w:color w:val="auto"/>
                      <w:sz w:val="21"/>
                      <w:szCs w:val="21"/>
                    </w:rPr>
                  </w:pPr>
                  <w:r>
                    <w:rPr>
                      <w:rFonts w:hint="eastAsia"/>
                      <w:color w:val="auto"/>
                      <w:sz w:val="21"/>
                      <w:szCs w:val="21"/>
                    </w:rPr>
                    <w:t>8</w:t>
                  </w:r>
                </w:p>
              </w:tc>
              <w:tc>
                <w:tcPr>
                  <w:tcW w:w="3685" w:type="dxa"/>
                  <w:gridSpan w:val="3"/>
                  <w:vAlign w:val="center"/>
                </w:tcPr>
                <w:p w14:paraId="7E87F9A2">
                  <w:pPr>
                    <w:adjustRightInd w:val="0"/>
                    <w:snapToGrid w:val="0"/>
                    <w:jc w:val="center"/>
                    <w:rPr>
                      <w:color w:val="auto"/>
                      <w:sz w:val="21"/>
                      <w:szCs w:val="21"/>
                    </w:rPr>
                  </w:pPr>
                  <w:r>
                    <w:rPr>
                      <w:rFonts w:hint="eastAsia"/>
                      <w:color w:val="auto"/>
                      <w:sz w:val="21"/>
                      <w:szCs w:val="21"/>
                    </w:rPr>
                    <w:t>泊位长度</w:t>
                  </w:r>
                </w:p>
              </w:tc>
              <w:tc>
                <w:tcPr>
                  <w:tcW w:w="993" w:type="dxa"/>
                  <w:vAlign w:val="center"/>
                </w:tcPr>
                <w:p w14:paraId="6E5AA1DA">
                  <w:pPr>
                    <w:adjustRightInd w:val="0"/>
                    <w:snapToGrid w:val="0"/>
                    <w:jc w:val="center"/>
                    <w:rPr>
                      <w:color w:val="auto"/>
                      <w:sz w:val="21"/>
                      <w:szCs w:val="21"/>
                    </w:rPr>
                  </w:pPr>
                  <w:r>
                    <w:rPr>
                      <w:rFonts w:hint="eastAsia"/>
                      <w:color w:val="auto"/>
                      <w:sz w:val="21"/>
                      <w:szCs w:val="21"/>
                    </w:rPr>
                    <w:t>m</w:t>
                  </w:r>
                </w:p>
              </w:tc>
              <w:tc>
                <w:tcPr>
                  <w:tcW w:w="3487" w:type="dxa"/>
                  <w:vAlign w:val="center"/>
                </w:tcPr>
                <w:p w14:paraId="657DE703">
                  <w:pPr>
                    <w:adjustRightInd w:val="0"/>
                    <w:snapToGrid w:val="0"/>
                    <w:jc w:val="center"/>
                    <w:rPr>
                      <w:color w:val="auto"/>
                      <w:sz w:val="21"/>
                      <w:szCs w:val="21"/>
                    </w:rPr>
                  </w:pPr>
                  <w:r>
                    <w:rPr>
                      <w:rFonts w:hint="eastAsia"/>
                      <w:color w:val="auto"/>
                      <w:sz w:val="21"/>
                      <w:szCs w:val="21"/>
                    </w:rPr>
                    <w:t>2</w:t>
                  </w:r>
                  <w:r>
                    <w:rPr>
                      <w:color w:val="auto"/>
                      <w:sz w:val="21"/>
                      <w:szCs w:val="21"/>
                    </w:rPr>
                    <w:t>207</w:t>
                  </w:r>
                </w:p>
              </w:tc>
            </w:tr>
            <w:tr w14:paraId="002DCC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1D3230E6">
                  <w:pPr>
                    <w:adjustRightInd w:val="0"/>
                    <w:snapToGrid w:val="0"/>
                    <w:jc w:val="center"/>
                    <w:rPr>
                      <w:color w:val="auto"/>
                      <w:sz w:val="21"/>
                      <w:szCs w:val="21"/>
                    </w:rPr>
                  </w:pPr>
                  <w:r>
                    <w:rPr>
                      <w:rFonts w:hint="eastAsia"/>
                      <w:color w:val="auto"/>
                      <w:sz w:val="21"/>
                      <w:szCs w:val="21"/>
                    </w:rPr>
                    <w:t>9</w:t>
                  </w:r>
                </w:p>
              </w:tc>
              <w:tc>
                <w:tcPr>
                  <w:tcW w:w="3685" w:type="dxa"/>
                  <w:gridSpan w:val="3"/>
                  <w:vAlign w:val="center"/>
                </w:tcPr>
                <w:p w14:paraId="45332984">
                  <w:pPr>
                    <w:adjustRightInd w:val="0"/>
                    <w:snapToGrid w:val="0"/>
                    <w:jc w:val="center"/>
                    <w:rPr>
                      <w:color w:val="auto"/>
                      <w:sz w:val="21"/>
                      <w:szCs w:val="21"/>
                    </w:rPr>
                  </w:pPr>
                  <w:r>
                    <w:rPr>
                      <w:rFonts w:hint="eastAsia"/>
                      <w:color w:val="auto"/>
                      <w:sz w:val="21"/>
                      <w:szCs w:val="21"/>
                    </w:rPr>
                    <w:t>岸线长度</w:t>
                  </w:r>
                </w:p>
              </w:tc>
              <w:tc>
                <w:tcPr>
                  <w:tcW w:w="993" w:type="dxa"/>
                  <w:vAlign w:val="center"/>
                </w:tcPr>
                <w:p w14:paraId="08C4D4A2">
                  <w:pPr>
                    <w:adjustRightInd w:val="0"/>
                    <w:snapToGrid w:val="0"/>
                    <w:jc w:val="center"/>
                    <w:rPr>
                      <w:color w:val="auto"/>
                      <w:sz w:val="21"/>
                      <w:szCs w:val="21"/>
                    </w:rPr>
                  </w:pPr>
                  <w:r>
                    <w:rPr>
                      <w:rFonts w:hint="eastAsia"/>
                      <w:color w:val="auto"/>
                      <w:sz w:val="21"/>
                      <w:szCs w:val="21"/>
                    </w:rPr>
                    <w:t>m</w:t>
                  </w:r>
                </w:p>
              </w:tc>
              <w:tc>
                <w:tcPr>
                  <w:tcW w:w="3487" w:type="dxa"/>
                  <w:vAlign w:val="center"/>
                </w:tcPr>
                <w:p w14:paraId="49724983">
                  <w:pPr>
                    <w:adjustRightInd w:val="0"/>
                    <w:snapToGrid w:val="0"/>
                    <w:jc w:val="center"/>
                    <w:rPr>
                      <w:color w:val="auto"/>
                      <w:sz w:val="21"/>
                      <w:szCs w:val="21"/>
                    </w:rPr>
                  </w:pPr>
                  <w:r>
                    <w:rPr>
                      <w:color w:val="auto"/>
                      <w:sz w:val="21"/>
                      <w:szCs w:val="21"/>
                    </w:rPr>
                    <w:t>1380</w:t>
                  </w:r>
                </w:p>
              </w:tc>
            </w:tr>
            <w:tr w14:paraId="46B5DF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6EFF0327">
                  <w:pPr>
                    <w:adjustRightInd w:val="0"/>
                    <w:snapToGrid w:val="0"/>
                    <w:jc w:val="center"/>
                    <w:rPr>
                      <w:color w:val="auto"/>
                      <w:sz w:val="21"/>
                      <w:szCs w:val="21"/>
                    </w:rPr>
                  </w:pPr>
                  <w:r>
                    <w:rPr>
                      <w:color w:val="auto"/>
                      <w:sz w:val="21"/>
                      <w:szCs w:val="21"/>
                    </w:rPr>
                    <w:t>10</w:t>
                  </w:r>
                </w:p>
              </w:tc>
              <w:tc>
                <w:tcPr>
                  <w:tcW w:w="2040" w:type="dxa"/>
                  <w:gridSpan w:val="2"/>
                  <w:vMerge w:val="restart"/>
                  <w:vAlign w:val="center"/>
                </w:tcPr>
                <w:p w14:paraId="499A4370">
                  <w:pPr>
                    <w:adjustRightInd w:val="0"/>
                    <w:snapToGrid w:val="0"/>
                    <w:jc w:val="center"/>
                    <w:rPr>
                      <w:color w:val="auto"/>
                      <w:sz w:val="21"/>
                      <w:szCs w:val="21"/>
                    </w:rPr>
                  </w:pPr>
                  <w:r>
                    <w:rPr>
                      <w:rFonts w:hint="eastAsia"/>
                      <w:color w:val="auto"/>
                      <w:sz w:val="21"/>
                      <w:szCs w:val="21"/>
                    </w:rPr>
                    <w:t>堆场面积</w:t>
                  </w:r>
                </w:p>
              </w:tc>
              <w:tc>
                <w:tcPr>
                  <w:tcW w:w="1645" w:type="dxa"/>
                  <w:vAlign w:val="center"/>
                </w:tcPr>
                <w:p w14:paraId="632AEA6A">
                  <w:pPr>
                    <w:adjustRightInd w:val="0"/>
                    <w:snapToGrid w:val="0"/>
                    <w:jc w:val="center"/>
                    <w:rPr>
                      <w:color w:val="auto"/>
                      <w:sz w:val="21"/>
                      <w:szCs w:val="21"/>
                    </w:rPr>
                  </w:pPr>
                  <w:r>
                    <w:rPr>
                      <w:rFonts w:hint="eastAsia"/>
                      <w:color w:val="auto"/>
                      <w:sz w:val="21"/>
                      <w:szCs w:val="21"/>
                    </w:rPr>
                    <w:t>集装箱</w:t>
                  </w:r>
                </w:p>
              </w:tc>
              <w:tc>
                <w:tcPr>
                  <w:tcW w:w="993" w:type="dxa"/>
                  <w:vAlign w:val="center"/>
                </w:tcPr>
                <w:p w14:paraId="4B61F82E">
                  <w:pPr>
                    <w:adjustRightInd w:val="0"/>
                    <w:snapToGrid w:val="0"/>
                    <w:jc w:val="center"/>
                    <w:rPr>
                      <w:color w:val="auto"/>
                      <w:sz w:val="21"/>
                      <w:szCs w:val="21"/>
                    </w:rPr>
                  </w:pPr>
                  <w:r>
                    <w:rPr>
                      <w:rFonts w:hint="eastAsia"/>
                      <w:color w:val="auto"/>
                      <w:sz w:val="21"/>
                      <w:szCs w:val="21"/>
                    </w:rPr>
                    <w:t>m</w:t>
                  </w:r>
                  <w:r>
                    <w:rPr>
                      <w:color w:val="auto"/>
                      <w:sz w:val="21"/>
                      <w:szCs w:val="21"/>
                      <w:vertAlign w:val="superscript"/>
                    </w:rPr>
                    <w:t>2</w:t>
                  </w:r>
                </w:p>
              </w:tc>
              <w:tc>
                <w:tcPr>
                  <w:tcW w:w="3487" w:type="dxa"/>
                  <w:vAlign w:val="center"/>
                </w:tcPr>
                <w:p w14:paraId="3E9E406C">
                  <w:pPr>
                    <w:adjustRightInd w:val="0"/>
                    <w:snapToGrid w:val="0"/>
                    <w:jc w:val="center"/>
                    <w:rPr>
                      <w:color w:val="auto"/>
                      <w:sz w:val="21"/>
                      <w:szCs w:val="21"/>
                    </w:rPr>
                  </w:pPr>
                  <w:r>
                    <w:rPr>
                      <w:rFonts w:hint="eastAsia"/>
                      <w:color w:val="auto"/>
                      <w:sz w:val="21"/>
                      <w:szCs w:val="21"/>
                    </w:rPr>
                    <w:t>9</w:t>
                  </w:r>
                  <w:r>
                    <w:rPr>
                      <w:color w:val="auto"/>
                      <w:sz w:val="21"/>
                      <w:szCs w:val="21"/>
                    </w:rPr>
                    <w:t>3000</w:t>
                  </w:r>
                </w:p>
              </w:tc>
            </w:tr>
            <w:tr w14:paraId="73FACF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6E5DF9D2">
                  <w:pPr>
                    <w:adjustRightInd w:val="0"/>
                    <w:snapToGrid w:val="0"/>
                    <w:jc w:val="center"/>
                    <w:rPr>
                      <w:color w:val="auto"/>
                      <w:sz w:val="21"/>
                      <w:szCs w:val="21"/>
                    </w:rPr>
                  </w:pPr>
                  <w:r>
                    <w:rPr>
                      <w:rFonts w:hint="eastAsia"/>
                      <w:color w:val="auto"/>
                      <w:sz w:val="21"/>
                      <w:szCs w:val="21"/>
                    </w:rPr>
                    <w:t>1</w:t>
                  </w:r>
                  <w:r>
                    <w:rPr>
                      <w:color w:val="auto"/>
                      <w:sz w:val="21"/>
                      <w:szCs w:val="21"/>
                    </w:rPr>
                    <w:t>1</w:t>
                  </w:r>
                </w:p>
              </w:tc>
              <w:tc>
                <w:tcPr>
                  <w:tcW w:w="2040" w:type="dxa"/>
                  <w:gridSpan w:val="2"/>
                  <w:vMerge w:val="continue"/>
                  <w:vAlign w:val="center"/>
                </w:tcPr>
                <w:p w14:paraId="11A3F23E">
                  <w:pPr>
                    <w:adjustRightInd w:val="0"/>
                    <w:snapToGrid w:val="0"/>
                    <w:jc w:val="center"/>
                    <w:rPr>
                      <w:color w:val="auto"/>
                      <w:sz w:val="21"/>
                      <w:szCs w:val="21"/>
                    </w:rPr>
                  </w:pPr>
                </w:p>
              </w:tc>
              <w:tc>
                <w:tcPr>
                  <w:tcW w:w="1645" w:type="dxa"/>
                  <w:vAlign w:val="center"/>
                </w:tcPr>
                <w:p w14:paraId="447CB9FD">
                  <w:pPr>
                    <w:adjustRightInd w:val="0"/>
                    <w:snapToGrid w:val="0"/>
                    <w:jc w:val="center"/>
                    <w:rPr>
                      <w:color w:val="auto"/>
                      <w:sz w:val="21"/>
                      <w:szCs w:val="21"/>
                    </w:rPr>
                  </w:pPr>
                  <w:r>
                    <w:rPr>
                      <w:rFonts w:hint="eastAsia"/>
                      <w:color w:val="auto"/>
                      <w:sz w:val="21"/>
                      <w:szCs w:val="21"/>
                    </w:rPr>
                    <w:t>钢铁</w:t>
                  </w:r>
                </w:p>
              </w:tc>
              <w:tc>
                <w:tcPr>
                  <w:tcW w:w="993" w:type="dxa"/>
                  <w:vAlign w:val="center"/>
                </w:tcPr>
                <w:p w14:paraId="445B20D3">
                  <w:pPr>
                    <w:adjustRightInd w:val="0"/>
                    <w:snapToGrid w:val="0"/>
                    <w:jc w:val="center"/>
                    <w:rPr>
                      <w:color w:val="auto"/>
                      <w:sz w:val="21"/>
                      <w:szCs w:val="21"/>
                    </w:rPr>
                  </w:pPr>
                  <w:r>
                    <w:rPr>
                      <w:rFonts w:hint="eastAsia"/>
                      <w:color w:val="auto"/>
                      <w:sz w:val="21"/>
                      <w:szCs w:val="21"/>
                    </w:rPr>
                    <w:t>m</w:t>
                  </w:r>
                  <w:r>
                    <w:rPr>
                      <w:color w:val="auto"/>
                      <w:sz w:val="21"/>
                      <w:szCs w:val="21"/>
                      <w:vertAlign w:val="superscript"/>
                    </w:rPr>
                    <w:t>2</w:t>
                  </w:r>
                </w:p>
              </w:tc>
              <w:tc>
                <w:tcPr>
                  <w:tcW w:w="3487" w:type="dxa"/>
                  <w:vAlign w:val="center"/>
                </w:tcPr>
                <w:p w14:paraId="2F8D1720">
                  <w:pPr>
                    <w:adjustRightInd w:val="0"/>
                    <w:snapToGrid w:val="0"/>
                    <w:jc w:val="center"/>
                    <w:rPr>
                      <w:color w:val="auto"/>
                      <w:sz w:val="21"/>
                      <w:szCs w:val="21"/>
                    </w:rPr>
                  </w:pPr>
                  <w:r>
                    <w:rPr>
                      <w:rFonts w:hint="eastAsia"/>
                      <w:color w:val="auto"/>
                      <w:sz w:val="21"/>
                      <w:szCs w:val="21"/>
                    </w:rPr>
                    <w:t>4</w:t>
                  </w:r>
                  <w:r>
                    <w:rPr>
                      <w:color w:val="auto"/>
                      <w:sz w:val="21"/>
                      <w:szCs w:val="21"/>
                    </w:rPr>
                    <w:t>5000</w:t>
                  </w:r>
                </w:p>
              </w:tc>
            </w:tr>
            <w:tr w14:paraId="546E8F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5F071605">
                  <w:pPr>
                    <w:adjustRightInd w:val="0"/>
                    <w:snapToGrid w:val="0"/>
                    <w:jc w:val="center"/>
                    <w:rPr>
                      <w:color w:val="auto"/>
                      <w:sz w:val="21"/>
                      <w:szCs w:val="21"/>
                    </w:rPr>
                  </w:pPr>
                  <w:r>
                    <w:rPr>
                      <w:rFonts w:hint="eastAsia"/>
                      <w:color w:val="auto"/>
                      <w:sz w:val="21"/>
                      <w:szCs w:val="21"/>
                    </w:rPr>
                    <w:t>1</w:t>
                  </w:r>
                  <w:r>
                    <w:rPr>
                      <w:color w:val="auto"/>
                      <w:sz w:val="21"/>
                      <w:szCs w:val="21"/>
                    </w:rPr>
                    <w:t>2</w:t>
                  </w:r>
                </w:p>
              </w:tc>
              <w:tc>
                <w:tcPr>
                  <w:tcW w:w="2040" w:type="dxa"/>
                  <w:gridSpan w:val="2"/>
                  <w:vMerge w:val="continue"/>
                  <w:vAlign w:val="center"/>
                </w:tcPr>
                <w:p w14:paraId="02C09719">
                  <w:pPr>
                    <w:adjustRightInd w:val="0"/>
                    <w:snapToGrid w:val="0"/>
                    <w:jc w:val="center"/>
                    <w:rPr>
                      <w:color w:val="auto"/>
                      <w:sz w:val="21"/>
                      <w:szCs w:val="21"/>
                    </w:rPr>
                  </w:pPr>
                </w:p>
              </w:tc>
              <w:tc>
                <w:tcPr>
                  <w:tcW w:w="1645" w:type="dxa"/>
                  <w:vAlign w:val="center"/>
                </w:tcPr>
                <w:p w14:paraId="2B78BF3B">
                  <w:pPr>
                    <w:adjustRightInd w:val="0"/>
                    <w:snapToGrid w:val="0"/>
                    <w:jc w:val="center"/>
                    <w:rPr>
                      <w:color w:val="auto"/>
                      <w:sz w:val="21"/>
                      <w:szCs w:val="21"/>
                    </w:rPr>
                  </w:pPr>
                  <w:r>
                    <w:rPr>
                      <w:rFonts w:hint="eastAsia"/>
                      <w:color w:val="auto"/>
                      <w:sz w:val="21"/>
                      <w:szCs w:val="21"/>
                    </w:rPr>
                    <w:t>散货</w:t>
                  </w:r>
                </w:p>
              </w:tc>
              <w:tc>
                <w:tcPr>
                  <w:tcW w:w="993" w:type="dxa"/>
                  <w:vAlign w:val="center"/>
                </w:tcPr>
                <w:p w14:paraId="0F500A20">
                  <w:pPr>
                    <w:adjustRightInd w:val="0"/>
                    <w:snapToGrid w:val="0"/>
                    <w:jc w:val="center"/>
                    <w:rPr>
                      <w:color w:val="auto"/>
                      <w:sz w:val="21"/>
                      <w:szCs w:val="21"/>
                    </w:rPr>
                  </w:pPr>
                  <w:r>
                    <w:rPr>
                      <w:rFonts w:hint="eastAsia"/>
                      <w:color w:val="auto"/>
                      <w:sz w:val="21"/>
                      <w:szCs w:val="21"/>
                    </w:rPr>
                    <w:t>m</w:t>
                  </w:r>
                  <w:r>
                    <w:rPr>
                      <w:color w:val="auto"/>
                      <w:sz w:val="21"/>
                      <w:szCs w:val="21"/>
                      <w:vertAlign w:val="superscript"/>
                    </w:rPr>
                    <w:t>2</w:t>
                  </w:r>
                </w:p>
              </w:tc>
              <w:tc>
                <w:tcPr>
                  <w:tcW w:w="3487" w:type="dxa"/>
                  <w:vAlign w:val="center"/>
                </w:tcPr>
                <w:p w14:paraId="6552C775">
                  <w:pPr>
                    <w:adjustRightInd w:val="0"/>
                    <w:snapToGrid w:val="0"/>
                    <w:jc w:val="center"/>
                    <w:rPr>
                      <w:color w:val="auto"/>
                      <w:sz w:val="21"/>
                      <w:szCs w:val="21"/>
                    </w:rPr>
                  </w:pPr>
                  <w:r>
                    <w:rPr>
                      <w:rFonts w:hint="eastAsia"/>
                      <w:color w:val="auto"/>
                      <w:sz w:val="21"/>
                      <w:szCs w:val="21"/>
                    </w:rPr>
                    <w:t>9</w:t>
                  </w:r>
                  <w:r>
                    <w:rPr>
                      <w:color w:val="auto"/>
                      <w:sz w:val="21"/>
                      <w:szCs w:val="21"/>
                    </w:rPr>
                    <w:t>2000</w:t>
                  </w:r>
                </w:p>
              </w:tc>
            </w:tr>
            <w:tr w14:paraId="0093B6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4E160E38">
                  <w:pPr>
                    <w:adjustRightInd w:val="0"/>
                    <w:snapToGrid w:val="0"/>
                    <w:jc w:val="center"/>
                    <w:rPr>
                      <w:color w:val="auto"/>
                      <w:szCs w:val="21"/>
                    </w:rPr>
                  </w:pPr>
                  <w:r>
                    <w:rPr>
                      <w:rFonts w:hint="eastAsia"/>
                      <w:color w:val="auto"/>
                      <w:sz w:val="21"/>
                      <w:szCs w:val="21"/>
                    </w:rPr>
                    <w:t>1</w:t>
                  </w:r>
                  <w:r>
                    <w:rPr>
                      <w:color w:val="auto"/>
                      <w:sz w:val="21"/>
                      <w:szCs w:val="21"/>
                    </w:rPr>
                    <w:t>3</w:t>
                  </w:r>
                </w:p>
              </w:tc>
              <w:tc>
                <w:tcPr>
                  <w:tcW w:w="2040" w:type="dxa"/>
                  <w:gridSpan w:val="2"/>
                  <w:vMerge w:val="continue"/>
                  <w:vAlign w:val="center"/>
                </w:tcPr>
                <w:p w14:paraId="2CB38B00">
                  <w:pPr>
                    <w:adjustRightInd w:val="0"/>
                    <w:snapToGrid w:val="0"/>
                    <w:jc w:val="center"/>
                    <w:rPr>
                      <w:color w:val="auto"/>
                      <w:szCs w:val="21"/>
                    </w:rPr>
                  </w:pPr>
                </w:p>
              </w:tc>
              <w:tc>
                <w:tcPr>
                  <w:tcW w:w="1645" w:type="dxa"/>
                  <w:vAlign w:val="center"/>
                </w:tcPr>
                <w:p w14:paraId="169402EF">
                  <w:pPr>
                    <w:adjustRightInd w:val="0"/>
                    <w:snapToGrid w:val="0"/>
                    <w:jc w:val="center"/>
                    <w:rPr>
                      <w:color w:val="auto"/>
                      <w:szCs w:val="21"/>
                    </w:rPr>
                  </w:pPr>
                  <w:r>
                    <w:rPr>
                      <w:rFonts w:hint="eastAsia"/>
                      <w:color w:val="auto"/>
                      <w:sz w:val="21"/>
                      <w:szCs w:val="21"/>
                    </w:rPr>
                    <w:t>件杂货</w:t>
                  </w:r>
                </w:p>
              </w:tc>
              <w:tc>
                <w:tcPr>
                  <w:tcW w:w="993" w:type="dxa"/>
                  <w:vAlign w:val="center"/>
                </w:tcPr>
                <w:p w14:paraId="30D792D8">
                  <w:pPr>
                    <w:adjustRightInd w:val="0"/>
                    <w:snapToGrid w:val="0"/>
                    <w:jc w:val="center"/>
                    <w:rPr>
                      <w:color w:val="auto"/>
                      <w:szCs w:val="21"/>
                    </w:rPr>
                  </w:pPr>
                  <w:r>
                    <w:rPr>
                      <w:rFonts w:hint="eastAsia"/>
                      <w:color w:val="auto"/>
                      <w:sz w:val="21"/>
                      <w:szCs w:val="21"/>
                    </w:rPr>
                    <w:t>m</w:t>
                  </w:r>
                  <w:r>
                    <w:rPr>
                      <w:color w:val="auto"/>
                      <w:sz w:val="21"/>
                      <w:szCs w:val="21"/>
                      <w:vertAlign w:val="superscript"/>
                    </w:rPr>
                    <w:t>2</w:t>
                  </w:r>
                </w:p>
              </w:tc>
              <w:tc>
                <w:tcPr>
                  <w:tcW w:w="3487" w:type="dxa"/>
                  <w:vAlign w:val="center"/>
                </w:tcPr>
                <w:p w14:paraId="7659B856">
                  <w:pPr>
                    <w:adjustRightInd w:val="0"/>
                    <w:snapToGrid w:val="0"/>
                    <w:jc w:val="center"/>
                    <w:rPr>
                      <w:color w:val="auto"/>
                      <w:szCs w:val="21"/>
                    </w:rPr>
                  </w:pPr>
                  <w:r>
                    <w:rPr>
                      <w:rFonts w:hint="eastAsia"/>
                      <w:color w:val="auto"/>
                      <w:sz w:val="21"/>
                      <w:szCs w:val="21"/>
                    </w:rPr>
                    <w:t>4</w:t>
                  </w:r>
                  <w:r>
                    <w:rPr>
                      <w:color w:val="auto"/>
                      <w:sz w:val="21"/>
                      <w:szCs w:val="21"/>
                    </w:rPr>
                    <w:t>1000</w:t>
                  </w:r>
                </w:p>
              </w:tc>
            </w:tr>
            <w:tr w14:paraId="5A67EE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1" w:type="dxa"/>
                  <w:vAlign w:val="center"/>
                </w:tcPr>
                <w:p w14:paraId="62C21C93">
                  <w:pPr>
                    <w:adjustRightInd w:val="0"/>
                    <w:snapToGrid w:val="0"/>
                    <w:jc w:val="center"/>
                    <w:rPr>
                      <w:color w:val="auto"/>
                      <w:sz w:val="21"/>
                      <w:szCs w:val="21"/>
                    </w:rPr>
                  </w:pPr>
                  <w:r>
                    <w:rPr>
                      <w:color w:val="auto"/>
                      <w:sz w:val="21"/>
                      <w:szCs w:val="21"/>
                    </w:rPr>
                    <w:t>14</w:t>
                  </w:r>
                </w:p>
              </w:tc>
              <w:tc>
                <w:tcPr>
                  <w:tcW w:w="2040" w:type="dxa"/>
                  <w:gridSpan w:val="2"/>
                  <w:vMerge w:val="continue"/>
                  <w:vAlign w:val="center"/>
                </w:tcPr>
                <w:p w14:paraId="568F48B9">
                  <w:pPr>
                    <w:adjustRightInd w:val="0"/>
                    <w:snapToGrid w:val="0"/>
                    <w:jc w:val="center"/>
                    <w:rPr>
                      <w:color w:val="auto"/>
                      <w:sz w:val="21"/>
                      <w:szCs w:val="21"/>
                    </w:rPr>
                  </w:pPr>
                </w:p>
              </w:tc>
              <w:tc>
                <w:tcPr>
                  <w:tcW w:w="1645" w:type="dxa"/>
                  <w:vAlign w:val="center"/>
                </w:tcPr>
                <w:p w14:paraId="2300ED73">
                  <w:pPr>
                    <w:adjustRightInd w:val="0"/>
                    <w:snapToGrid w:val="0"/>
                    <w:jc w:val="center"/>
                    <w:rPr>
                      <w:color w:val="auto"/>
                      <w:sz w:val="21"/>
                      <w:szCs w:val="21"/>
                    </w:rPr>
                  </w:pPr>
                  <w:r>
                    <w:rPr>
                      <w:rFonts w:hint="eastAsia"/>
                      <w:color w:val="auto"/>
                      <w:sz w:val="21"/>
                      <w:szCs w:val="21"/>
                    </w:rPr>
                    <w:t>预留堆场</w:t>
                  </w:r>
                </w:p>
              </w:tc>
              <w:tc>
                <w:tcPr>
                  <w:tcW w:w="993" w:type="dxa"/>
                  <w:vAlign w:val="center"/>
                </w:tcPr>
                <w:p w14:paraId="4D653470">
                  <w:pPr>
                    <w:adjustRightInd w:val="0"/>
                    <w:snapToGrid w:val="0"/>
                    <w:jc w:val="center"/>
                    <w:rPr>
                      <w:color w:val="auto"/>
                      <w:sz w:val="21"/>
                      <w:szCs w:val="21"/>
                    </w:rPr>
                  </w:pPr>
                  <w:r>
                    <w:rPr>
                      <w:rFonts w:hint="eastAsia"/>
                      <w:color w:val="auto"/>
                      <w:sz w:val="21"/>
                      <w:szCs w:val="21"/>
                    </w:rPr>
                    <w:t>m</w:t>
                  </w:r>
                  <w:r>
                    <w:rPr>
                      <w:color w:val="auto"/>
                      <w:sz w:val="21"/>
                      <w:szCs w:val="21"/>
                      <w:vertAlign w:val="superscript"/>
                    </w:rPr>
                    <w:t>2</w:t>
                  </w:r>
                </w:p>
              </w:tc>
              <w:tc>
                <w:tcPr>
                  <w:tcW w:w="3487" w:type="dxa"/>
                  <w:vAlign w:val="center"/>
                </w:tcPr>
                <w:p w14:paraId="6A64EC94">
                  <w:pPr>
                    <w:adjustRightInd w:val="0"/>
                    <w:snapToGrid w:val="0"/>
                    <w:jc w:val="center"/>
                    <w:rPr>
                      <w:color w:val="auto"/>
                      <w:sz w:val="21"/>
                      <w:szCs w:val="21"/>
                    </w:rPr>
                  </w:pPr>
                  <w:r>
                    <w:rPr>
                      <w:rFonts w:hint="eastAsia"/>
                      <w:color w:val="auto"/>
                      <w:sz w:val="21"/>
                      <w:szCs w:val="21"/>
                    </w:rPr>
                    <w:t>3</w:t>
                  </w:r>
                  <w:r>
                    <w:rPr>
                      <w:color w:val="auto"/>
                      <w:sz w:val="21"/>
                      <w:szCs w:val="21"/>
                    </w:rPr>
                    <w:t>0000</w:t>
                  </w:r>
                </w:p>
              </w:tc>
            </w:tr>
          </w:tbl>
          <w:p w14:paraId="517FB643">
            <w:pPr>
              <w:widowControl/>
              <w:adjustRightInd w:val="0"/>
              <w:snapToGrid w:val="0"/>
              <w:spacing w:line="500" w:lineRule="exact"/>
              <w:ind w:firstLine="482" w:firstLineChars="200"/>
              <w:rPr>
                <w:rFonts w:hint="default" w:ascii="Times New Roman" w:hAnsi="Times New Roman" w:eastAsia="宋体" w:cs="Times New Roman"/>
                <w:color w:val="auto"/>
                <w:kern w:val="0"/>
                <w:sz w:val="24"/>
                <w:szCs w:val="24"/>
                <w:lang w:val="en-US" w:eastAsia="zh-CN"/>
              </w:rPr>
            </w:pPr>
            <w:r>
              <w:rPr>
                <w:rFonts w:hint="eastAsia" w:cs="Times New Roman"/>
                <w:b/>
                <w:bCs/>
                <w:color w:val="auto"/>
                <w:kern w:val="0"/>
                <w:sz w:val="24"/>
                <w:szCs w:val="24"/>
                <w:lang w:val="en-US" w:eastAsia="zh-CN"/>
              </w:rPr>
              <w:t>2、在建项目污染物排放汇总</w:t>
            </w:r>
          </w:p>
          <w:p w14:paraId="41C4ADCA">
            <w:pPr>
              <w:widowControl/>
              <w:adjustRightInd w:val="0"/>
              <w:snapToGrid w:val="0"/>
              <w:spacing w:line="500" w:lineRule="exact"/>
              <w:ind w:firstLine="480" w:firstLineChars="200"/>
              <w:rPr>
                <w:rFonts w:hint="eastAsia" w:cs="Times New Roman"/>
                <w:color w:val="auto"/>
                <w:kern w:val="0"/>
                <w:sz w:val="24"/>
                <w:szCs w:val="24"/>
                <w:lang w:val="en-US" w:eastAsia="zh-CN"/>
              </w:rPr>
            </w:pPr>
            <w:r>
              <w:rPr>
                <w:rFonts w:hint="eastAsia" w:cs="Times New Roman"/>
                <w:color w:val="auto"/>
                <w:kern w:val="0"/>
                <w:sz w:val="24"/>
                <w:szCs w:val="24"/>
                <w:lang w:val="en-US" w:eastAsia="zh-CN"/>
              </w:rPr>
              <w:t>在建项目污染物排放“三本账”见表3.3-3。</w:t>
            </w:r>
          </w:p>
          <w:p w14:paraId="1B0CDF4C">
            <w:pPr>
              <w:widowControl/>
              <w:tabs>
                <w:tab w:val="left" w:pos="5560"/>
              </w:tabs>
              <w:adjustRightInd w:val="0"/>
              <w:snapToGrid w:val="0"/>
              <w:spacing w:line="500" w:lineRule="exact"/>
              <w:jc w:val="center"/>
              <w:rPr>
                <w:color w:val="auto"/>
                <w:kern w:val="0"/>
                <w:szCs w:val="24"/>
              </w:rPr>
            </w:pPr>
            <w:r>
              <w:rPr>
                <w:b/>
                <w:color w:val="auto"/>
                <w:kern w:val="0"/>
                <w:sz w:val="24"/>
                <w:szCs w:val="24"/>
              </w:rPr>
              <w:t>表3.</w:t>
            </w:r>
            <w:r>
              <w:rPr>
                <w:rFonts w:hint="eastAsia"/>
                <w:b/>
                <w:color w:val="auto"/>
                <w:kern w:val="0"/>
                <w:sz w:val="24"/>
                <w:szCs w:val="24"/>
                <w:lang w:val="en-US" w:eastAsia="zh-CN"/>
              </w:rPr>
              <w:t>3-3</w:t>
            </w:r>
            <w:r>
              <w:rPr>
                <w:b/>
                <w:color w:val="auto"/>
                <w:kern w:val="0"/>
                <w:sz w:val="24"/>
                <w:szCs w:val="24"/>
              </w:rPr>
              <w:t xml:space="preserve">  </w:t>
            </w:r>
            <w:r>
              <w:rPr>
                <w:rFonts w:hint="eastAsia"/>
                <w:b/>
                <w:bCs/>
                <w:color w:val="auto"/>
                <w:kern w:val="0"/>
                <w:sz w:val="24"/>
                <w:szCs w:val="24"/>
                <w:lang w:val="en-US" w:eastAsia="zh-CN"/>
              </w:rPr>
              <w:t>在建项目</w:t>
            </w:r>
            <w:r>
              <w:rPr>
                <w:b/>
                <w:color w:val="auto"/>
                <w:kern w:val="0"/>
                <w:sz w:val="24"/>
                <w:szCs w:val="24"/>
              </w:rPr>
              <w:t>污染物排放</w:t>
            </w:r>
            <w:r>
              <w:rPr>
                <w:rFonts w:hint="eastAsia"/>
                <w:b/>
                <w:color w:val="auto"/>
                <w:kern w:val="0"/>
                <w:sz w:val="24"/>
                <w:szCs w:val="24"/>
              </w:rPr>
              <w:t>“</w:t>
            </w:r>
            <w:r>
              <w:rPr>
                <w:b/>
                <w:color w:val="auto"/>
                <w:kern w:val="0"/>
                <w:sz w:val="24"/>
                <w:szCs w:val="24"/>
              </w:rPr>
              <w:t>三本</w:t>
            </w:r>
            <w:r>
              <w:rPr>
                <w:rFonts w:hint="eastAsia"/>
                <w:b/>
                <w:color w:val="auto"/>
                <w:kern w:val="0"/>
                <w:sz w:val="24"/>
                <w:szCs w:val="24"/>
                <w:lang w:eastAsia="zh-CN"/>
              </w:rPr>
              <w:t>账</w:t>
            </w:r>
            <w:r>
              <w:rPr>
                <w:rFonts w:hint="eastAsia"/>
                <w:b/>
                <w:color w:val="auto"/>
                <w:kern w:val="0"/>
                <w:sz w:val="24"/>
                <w:szCs w:val="24"/>
              </w:rPr>
              <w:t>”</w:t>
            </w:r>
            <w:r>
              <w:rPr>
                <w:b/>
                <w:bCs/>
                <w:color w:val="auto"/>
                <w:kern w:val="0"/>
                <w:sz w:val="24"/>
                <w:szCs w:val="24"/>
              </w:rPr>
              <w:t>（t/a）</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1364"/>
              <w:gridCol w:w="2703"/>
              <w:gridCol w:w="915"/>
              <w:gridCol w:w="993"/>
              <w:gridCol w:w="1401"/>
              <w:gridCol w:w="1324"/>
            </w:tblGrid>
            <w:tr w14:paraId="7A61E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867" w:type="dxa"/>
                  <w:gridSpan w:val="2"/>
                  <w:vMerge w:val="restart"/>
                  <w:shd w:val="clear" w:color="auto" w:fill="auto"/>
                  <w:vAlign w:val="center"/>
                </w:tcPr>
                <w:p w14:paraId="2A8D8EC4">
                  <w:pPr>
                    <w:widowControl/>
                    <w:adjustRightInd w:val="0"/>
                    <w:snapToGrid w:val="0"/>
                    <w:jc w:val="center"/>
                    <w:rPr>
                      <w:b/>
                      <w:bCs/>
                      <w:color w:val="auto"/>
                      <w:kern w:val="0"/>
                      <w:sz w:val="21"/>
                      <w:szCs w:val="21"/>
                    </w:rPr>
                  </w:pPr>
                  <w:bookmarkStart w:id="7" w:name="_Hlk95729410"/>
                  <w:r>
                    <w:rPr>
                      <w:b/>
                      <w:bCs/>
                      <w:color w:val="auto"/>
                      <w:kern w:val="0"/>
                      <w:sz w:val="21"/>
                      <w:szCs w:val="21"/>
                    </w:rPr>
                    <w:t>类别</w:t>
                  </w:r>
                </w:p>
              </w:tc>
              <w:tc>
                <w:tcPr>
                  <w:tcW w:w="2638" w:type="dxa"/>
                  <w:vMerge w:val="restart"/>
                  <w:tcBorders>
                    <w:tl2br w:val="single" w:color="auto" w:sz="4" w:space="0"/>
                  </w:tcBorders>
                  <w:shd w:val="clear" w:color="auto" w:fill="auto"/>
                  <w:vAlign w:val="center"/>
                </w:tcPr>
                <w:p w14:paraId="30BB0FA7">
                  <w:pPr>
                    <w:widowControl/>
                    <w:adjustRightInd w:val="0"/>
                    <w:snapToGrid w:val="0"/>
                    <w:jc w:val="center"/>
                    <w:rPr>
                      <w:b/>
                      <w:bCs/>
                      <w:color w:val="auto"/>
                      <w:kern w:val="0"/>
                      <w:sz w:val="21"/>
                      <w:szCs w:val="21"/>
                    </w:rPr>
                  </w:pPr>
                  <w:r>
                    <w:rPr>
                      <w:b/>
                      <w:bCs/>
                      <w:color w:val="auto"/>
                      <w:kern w:val="0"/>
                      <w:sz w:val="21"/>
                      <w:szCs w:val="21"/>
                    </w:rPr>
                    <w:t xml:space="preserve">               </w:t>
                  </w:r>
                  <w:r>
                    <w:rPr>
                      <w:rFonts w:hint="eastAsia"/>
                      <w:b/>
                      <w:bCs/>
                      <w:color w:val="auto"/>
                      <w:kern w:val="0"/>
                      <w:sz w:val="21"/>
                      <w:szCs w:val="21"/>
                    </w:rPr>
                    <w:t xml:space="preserve"> </w:t>
                  </w:r>
                  <w:r>
                    <w:rPr>
                      <w:b/>
                      <w:bCs/>
                      <w:color w:val="auto"/>
                      <w:kern w:val="0"/>
                      <w:sz w:val="21"/>
                      <w:szCs w:val="21"/>
                    </w:rPr>
                    <w:t>产排量</w:t>
                  </w:r>
                </w:p>
                <w:p w14:paraId="634DA4B1">
                  <w:pPr>
                    <w:adjustRightInd w:val="0"/>
                    <w:snapToGrid w:val="0"/>
                    <w:rPr>
                      <w:b/>
                      <w:bCs/>
                      <w:color w:val="auto"/>
                      <w:kern w:val="0"/>
                      <w:sz w:val="21"/>
                      <w:szCs w:val="21"/>
                    </w:rPr>
                  </w:pPr>
                  <w:r>
                    <w:rPr>
                      <w:b/>
                      <w:bCs/>
                      <w:color w:val="auto"/>
                      <w:kern w:val="0"/>
                      <w:sz w:val="21"/>
                      <w:szCs w:val="21"/>
                    </w:rPr>
                    <w:t>污染物名称</w:t>
                  </w:r>
                </w:p>
              </w:tc>
              <w:tc>
                <w:tcPr>
                  <w:tcW w:w="4521" w:type="dxa"/>
                  <w:gridSpan w:val="4"/>
                  <w:shd w:val="clear" w:color="auto" w:fill="auto"/>
                  <w:vAlign w:val="center"/>
                </w:tcPr>
                <w:p w14:paraId="3B124059">
                  <w:pPr>
                    <w:widowControl/>
                    <w:adjustRightInd w:val="0"/>
                    <w:snapToGrid w:val="0"/>
                    <w:jc w:val="center"/>
                    <w:rPr>
                      <w:b/>
                      <w:bCs/>
                      <w:color w:val="auto"/>
                      <w:kern w:val="0"/>
                      <w:sz w:val="21"/>
                      <w:szCs w:val="21"/>
                    </w:rPr>
                  </w:pPr>
                  <w:r>
                    <w:rPr>
                      <w:b/>
                      <w:bCs/>
                      <w:color w:val="auto"/>
                      <w:kern w:val="0"/>
                      <w:sz w:val="21"/>
                      <w:szCs w:val="21"/>
                    </w:rPr>
                    <w:t>污染物产生及排放情况，t/a</w:t>
                  </w:r>
                </w:p>
              </w:tc>
            </w:tr>
            <w:tr w14:paraId="49FF6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867" w:type="dxa"/>
                  <w:gridSpan w:val="2"/>
                  <w:vMerge w:val="continue"/>
                  <w:vAlign w:val="center"/>
                </w:tcPr>
                <w:p w14:paraId="42FF89A4">
                  <w:pPr>
                    <w:widowControl/>
                    <w:adjustRightInd w:val="0"/>
                    <w:snapToGrid w:val="0"/>
                    <w:jc w:val="center"/>
                    <w:rPr>
                      <w:b/>
                      <w:bCs/>
                      <w:color w:val="auto"/>
                      <w:kern w:val="0"/>
                      <w:sz w:val="21"/>
                      <w:szCs w:val="21"/>
                    </w:rPr>
                  </w:pPr>
                </w:p>
              </w:tc>
              <w:tc>
                <w:tcPr>
                  <w:tcW w:w="2638" w:type="dxa"/>
                  <w:vMerge w:val="continue"/>
                  <w:shd w:val="clear" w:color="auto" w:fill="auto"/>
                  <w:vAlign w:val="center"/>
                </w:tcPr>
                <w:p w14:paraId="45842632">
                  <w:pPr>
                    <w:widowControl/>
                    <w:adjustRightInd w:val="0"/>
                    <w:snapToGrid w:val="0"/>
                    <w:jc w:val="center"/>
                    <w:rPr>
                      <w:b/>
                      <w:bCs/>
                      <w:color w:val="auto"/>
                      <w:kern w:val="0"/>
                      <w:sz w:val="21"/>
                      <w:szCs w:val="21"/>
                    </w:rPr>
                  </w:pPr>
                </w:p>
              </w:tc>
              <w:tc>
                <w:tcPr>
                  <w:tcW w:w="893" w:type="dxa"/>
                  <w:shd w:val="clear" w:color="auto" w:fill="auto"/>
                  <w:vAlign w:val="center"/>
                </w:tcPr>
                <w:p w14:paraId="127F087C">
                  <w:pPr>
                    <w:widowControl/>
                    <w:adjustRightInd w:val="0"/>
                    <w:snapToGrid w:val="0"/>
                    <w:jc w:val="center"/>
                    <w:rPr>
                      <w:b/>
                      <w:bCs/>
                      <w:color w:val="auto"/>
                      <w:kern w:val="0"/>
                      <w:sz w:val="21"/>
                      <w:szCs w:val="21"/>
                    </w:rPr>
                  </w:pPr>
                  <w:r>
                    <w:rPr>
                      <w:b/>
                      <w:bCs/>
                      <w:color w:val="auto"/>
                      <w:kern w:val="0"/>
                      <w:sz w:val="21"/>
                      <w:szCs w:val="21"/>
                    </w:rPr>
                    <w:t>产生量</w:t>
                  </w:r>
                </w:p>
              </w:tc>
              <w:tc>
                <w:tcPr>
                  <w:tcW w:w="969" w:type="dxa"/>
                  <w:shd w:val="clear" w:color="auto" w:fill="auto"/>
                  <w:vAlign w:val="center"/>
                </w:tcPr>
                <w:p w14:paraId="36A26A22">
                  <w:pPr>
                    <w:widowControl/>
                    <w:adjustRightInd w:val="0"/>
                    <w:snapToGrid w:val="0"/>
                    <w:jc w:val="center"/>
                    <w:rPr>
                      <w:b/>
                      <w:bCs/>
                      <w:color w:val="auto"/>
                      <w:kern w:val="0"/>
                      <w:sz w:val="21"/>
                      <w:szCs w:val="21"/>
                    </w:rPr>
                  </w:pPr>
                  <w:r>
                    <w:rPr>
                      <w:b/>
                      <w:bCs/>
                      <w:color w:val="auto"/>
                      <w:kern w:val="0"/>
                      <w:sz w:val="21"/>
                      <w:szCs w:val="21"/>
                    </w:rPr>
                    <w:t>削减量</w:t>
                  </w:r>
                </w:p>
              </w:tc>
              <w:tc>
                <w:tcPr>
                  <w:tcW w:w="1367" w:type="dxa"/>
                  <w:shd w:val="clear" w:color="auto" w:fill="auto"/>
                  <w:vAlign w:val="center"/>
                </w:tcPr>
                <w:p w14:paraId="6D3AE349">
                  <w:pPr>
                    <w:widowControl/>
                    <w:adjustRightInd w:val="0"/>
                    <w:snapToGrid w:val="0"/>
                    <w:jc w:val="center"/>
                    <w:rPr>
                      <w:b/>
                      <w:bCs/>
                      <w:color w:val="auto"/>
                      <w:kern w:val="0"/>
                      <w:sz w:val="21"/>
                      <w:szCs w:val="21"/>
                    </w:rPr>
                  </w:pPr>
                  <w:r>
                    <w:rPr>
                      <w:b/>
                      <w:bCs/>
                      <w:color w:val="auto"/>
                      <w:kern w:val="0"/>
                      <w:sz w:val="21"/>
                      <w:szCs w:val="21"/>
                    </w:rPr>
                    <w:t>接管考核量</w:t>
                  </w:r>
                </w:p>
              </w:tc>
              <w:tc>
                <w:tcPr>
                  <w:tcW w:w="1292" w:type="dxa"/>
                  <w:vAlign w:val="center"/>
                </w:tcPr>
                <w:p w14:paraId="37DF12B0">
                  <w:pPr>
                    <w:widowControl/>
                    <w:adjustRightInd w:val="0"/>
                    <w:snapToGrid w:val="0"/>
                    <w:jc w:val="center"/>
                    <w:rPr>
                      <w:b/>
                      <w:bCs/>
                      <w:color w:val="auto"/>
                      <w:kern w:val="0"/>
                      <w:sz w:val="21"/>
                      <w:szCs w:val="21"/>
                    </w:rPr>
                  </w:pPr>
                  <w:r>
                    <w:rPr>
                      <w:b/>
                      <w:bCs/>
                      <w:color w:val="auto"/>
                      <w:kern w:val="0"/>
                      <w:sz w:val="21"/>
                      <w:szCs w:val="21"/>
                    </w:rPr>
                    <w:t>外排环境量</w:t>
                  </w:r>
                </w:p>
              </w:tc>
            </w:tr>
            <w:tr w14:paraId="6525C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dxa"/>
                  <w:vMerge w:val="restart"/>
                  <w:vAlign w:val="center"/>
                </w:tcPr>
                <w:p w14:paraId="3281A89C">
                  <w:pPr>
                    <w:widowControl/>
                    <w:adjustRightInd w:val="0"/>
                    <w:snapToGrid w:val="0"/>
                    <w:jc w:val="center"/>
                    <w:rPr>
                      <w:color w:val="auto"/>
                      <w:kern w:val="0"/>
                      <w:sz w:val="21"/>
                      <w:szCs w:val="21"/>
                    </w:rPr>
                  </w:pPr>
                  <w:r>
                    <w:rPr>
                      <w:color w:val="auto"/>
                      <w:kern w:val="0"/>
                      <w:sz w:val="21"/>
                      <w:szCs w:val="21"/>
                    </w:rPr>
                    <w:t>废气</w:t>
                  </w:r>
                </w:p>
              </w:tc>
              <w:tc>
                <w:tcPr>
                  <w:tcW w:w="1331" w:type="dxa"/>
                  <w:vMerge w:val="restart"/>
                  <w:vAlign w:val="center"/>
                </w:tcPr>
                <w:p w14:paraId="712A0AB5">
                  <w:pPr>
                    <w:adjustRightInd w:val="0"/>
                    <w:snapToGrid w:val="0"/>
                    <w:jc w:val="center"/>
                    <w:rPr>
                      <w:color w:val="auto"/>
                      <w:kern w:val="0"/>
                      <w:sz w:val="21"/>
                      <w:szCs w:val="21"/>
                    </w:rPr>
                  </w:pPr>
                  <w:r>
                    <w:rPr>
                      <w:color w:val="auto"/>
                      <w:kern w:val="0"/>
                      <w:sz w:val="21"/>
                      <w:szCs w:val="21"/>
                    </w:rPr>
                    <w:t>无组织排放</w:t>
                  </w:r>
                </w:p>
              </w:tc>
              <w:tc>
                <w:tcPr>
                  <w:tcW w:w="2638" w:type="dxa"/>
                  <w:shd w:val="clear" w:color="auto" w:fill="auto"/>
                  <w:vAlign w:val="center"/>
                </w:tcPr>
                <w:p w14:paraId="18CCF50D">
                  <w:pPr>
                    <w:widowControl/>
                    <w:adjustRightInd w:val="0"/>
                    <w:snapToGrid w:val="0"/>
                    <w:jc w:val="center"/>
                    <w:rPr>
                      <w:color w:val="auto"/>
                      <w:kern w:val="0"/>
                      <w:sz w:val="21"/>
                      <w:szCs w:val="21"/>
                    </w:rPr>
                  </w:pPr>
                  <w:r>
                    <w:rPr>
                      <w:rFonts w:hint="eastAsia"/>
                      <w:color w:val="auto"/>
                      <w:kern w:val="2"/>
                      <w:sz w:val="21"/>
                      <w:szCs w:val="21"/>
                    </w:rPr>
                    <w:t>颗粒物</w:t>
                  </w:r>
                </w:p>
              </w:tc>
              <w:tc>
                <w:tcPr>
                  <w:tcW w:w="893" w:type="dxa"/>
                  <w:shd w:val="clear" w:color="auto" w:fill="auto"/>
                  <w:vAlign w:val="center"/>
                </w:tcPr>
                <w:p w14:paraId="3C259EFB">
                  <w:pPr>
                    <w:widowControl/>
                    <w:adjustRightInd w:val="0"/>
                    <w:snapToGrid w:val="0"/>
                    <w:jc w:val="center"/>
                    <w:rPr>
                      <w:color w:val="auto"/>
                      <w:kern w:val="0"/>
                      <w:sz w:val="21"/>
                      <w:szCs w:val="21"/>
                    </w:rPr>
                  </w:pPr>
                  <w:r>
                    <w:rPr>
                      <w:rFonts w:hint="eastAsia"/>
                      <w:color w:val="auto"/>
                      <w:kern w:val="2"/>
                      <w:sz w:val="21"/>
                      <w:szCs w:val="21"/>
                    </w:rPr>
                    <w:t>1</w:t>
                  </w:r>
                  <w:r>
                    <w:rPr>
                      <w:color w:val="auto"/>
                      <w:kern w:val="2"/>
                      <w:sz w:val="21"/>
                      <w:szCs w:val="21"/>
                    </w:rPr>
                    <w:t>9.602</w:t>
                  </w:r>
                </w:p>
              </w:tc>
              <w:tc>
                <w:tcPr>
                  <w:tcW w:w="969" w:type="dxa"/>
                  <w:shd w:val="clear" w:color="auto" w:fill="auto"/>
                  <w:vAlign w:val="center"/>
                </w:tcPr>
                <w:p w14:paraId="1B2D0959">
                  <w:pPr>
                    <w:widowControl/>
                    <w:adjustRightInd w:val="0"/>
                    <w:snapToGrid w:val="0"/>
                    <w:jc w:val="center"/>
                    <w:rPr>
                      <w:color w:val="auto"/>
                      <w:kern w:val="0"/>
                      <w:sz w:val="21"/>
                      <w:szCs w:val="21"/>
                    </w:rPr>
                  </w:pPr>
                  <w:r>
                    <w:rPr>
                      <w:rFonts w:hint="eastAsia"/>
                      <w:color w:val="auto"/>
                      <w:kern w:val="0"/>
                      <w:sz w:val="21"/>
                      <w:szCs w:val="21"/>
                    </w:rPr>
                    <w:t>/</w:t>
                  </w:r>
                </w:p>
              </w:tc>
              <w:tc>
                <w:tcPr>
                  <w:tcW w:w="1367" w:type="dxa"/>
                  <w:shd w:val="clear" w:color="auto" w:fill="auto"/>
                  <w:vAlign w:val="center"/>
                </w:tcPr>
                <w:p w14:paraId="53A1D308">
                  <w:pPr>
                    <w:widowControl/>
                    <w:adjustRightInd w:val="0"/>
                    <w:snapToGrid w:val="0"/>
                    <w:jc w:val="center"/>
                    <w:rPr>
                      <w:color w:val="auto"/>
                      <w:kern w:val="0"/>
                      <w:sz w:val="21"/>
                      <w:szCs w:val="21"/>
                    </w:rPr>
                  </w:pPr>
                  <w:r>
                    <w:rPr>
                      <w:rFonts w:hint="eastAsia"/>
                      <w:color w:val="auto"/>
                      <w:kern w:val="0"/>
                      <w:sz w:val="21"/>
                      <w:szCs w:val="21"/>
                    </w:rPr>
                    <w:t>/</w:t>
                  </w:r>
                </w:p>
              </w:tc>
              <w:tc>
                <w:tcPr>
                  <w:tcW w:w="1292" w:type="dxa"/>
                  <w:vAlign w:val="center"/>
                </w:tcPr>
                <w:p w14:paraId="3093D418">
                  <w:pPr>
                    <w:widowControl/>
                    <w:adjustRightInd w:val="0"/>
                    <w:snapToGrid w:val="0"/>
                    <w:jc w:val="center"/>
                    <w:rPr>
                      <w:color w:val="auto"/>
                      <w:kern w:val="0"/>
                      <w:sz w:val="21"/>
                      <w:szCs w:val="21"/>
                    </w:rPr>
                  </w:pPr>
                  <w:r>
                    <w:rPr>
                      <w:rFonts w:hint="eastAsia"/>
                      <w:color w:val="auto"/>
                      <w:kern w:val="2"/>
                      <w:sz w:val="21"/>
                      <w:szCs w:val="21"/>
                    </w:rPr>
                    <w:t>1</w:t>
                  </w:r>
                  <w:r>
                    <w:rPr>
                      <w:color w:val="auto"/>
                      <w:kern w:val="2"/>
                      <w:sz w:val="21"/>
                      <w:szCs w:val="21"/>
                    </w:rPr>
                    <w:t>9.602</w:t>
                  </w:r>
                </w:p>
              </w:tc>
            </w:tr>
            <w:tr w14:paraId="21154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dxa"/>
                  <w:vMerge w:val="continue"/>
                  <w:vAlign w:val="center"/>
                </w:tcPr>
                <w:p w14:paraId="03324C07">
                  <w:pPr>
                    <w:widowControl/>
                    <w:adjustRightInd w:val="0"/>
                    <w:snapToGrid w:val="0"/>
                    <w:jc w:val="center"/>
                    <w:rPr>
                      <w:color w:val="auto"/>
                      <w:kern w:val="0"/>
                      <w:sz w:val="21"/>
                      <w:szCs w:val="21"/>
                    </w:rPr>
                  </w:pPr>
                </w:p>
              </w:tc>
              <w:tc>
                <w:tcPr>
                  <w:tcW w:w="1331" w:type="dxa"/>
                  <w:vMerge w:val="continue"/>
                  <w:shd w:val="clear" w:color="auto" w:fill="auto"/>
                  <w:vAlign w:val="center"/>
                </w:tcPr>
                <w:p w14:paraId="19BDE4EF">
                  <w:pPr>
                    <w:widowControl/>
                    <w:adjustRightInd w:val="0"/>
                    <w:snapToGrid w:val="0"/>
                    <w:jc w:val="center"/>
                    <w:rPr>
                      <w:color w:val="auto"/>
                      <w:kern w:val="0"/>
                      <w:sz w:val="21"/>
                      <w:szCs w:val="21"/>
                    </w:rPr>
                  </w:pPr>
                </w:p>
              </w:tc>
              <w:tc>
                <w:tcPr>
                  <w:tcW w:w="2638" w:type="dxa"/>
                  <w:shd w:val="clear" w:color="auto" w:fill="auto"/>
                  <w:vAlign w:val="center"/>
                </w:tcPr>
                <w:p w14:paraId="5C22B87F">
                  <w:pPr>
                    <w:widowControl/>
                    <w:adjustRightInd w:val="0"/>
                    <w:snapToGrid w:val="0"/>
                    <w:jc w:val="center"/>
                    <w:rPr>
                      <w:color w:val="auto"/>
                      <w:kern w:val="0"/>
                      <w:sz w:val="21"/>
                      <w:szCs w:val="21"/>
                    </w:rPr>
                  </w:pPr>
                  <w:r>
                    <w:rPr>
                      <w:rFonts w:hint="eastAsia"/>
                      <w:color w:val="auto"/>
                      <w:kern w:val="2"/>
                      <w:sz w:val="21"/>
                      <w:szCs w:val="21"/>
                    </w:rPr>
                    <w:t>N</w:t>
                  </w:r>
                  <w:r>
                    <w:rPr>
                      <w:color w:val="auto"/>
                      <w:kern w:val="2"/>
                      <w:sz w:val="21"/>
                      <w:szCs w:val="21"/>
                    </w:rPr>
                    <w:t>O</w:t>
                  </w:r>
                  <w:r>
                    <w:rPr>
                      <w:color w:val="auto"/>
                      <w:kern w:val="2"/>
                      <w:sz w:val="21"/>
                      <w:szCs w:val="21"/>
                      <w:vertAlign w:val="subscript"/>
                    </w:rPr>
                    <w:t>X</w:t>
                  </w:r>
                </w:p>
              </w:tc>
              <w:tc>
                <w:tcPr>
                  <w:tcW w:w="893" w:type="dxa"/>
                  <w:shd w:val="clear" w:color="auto" w:fill="auto"/>
                  <w:vAlign w:val="center"/>
                </w:tcPr>
                <w:p w14:paraId="129BE04E">
                  <w:pPr>
                    <w:widowControl/>
                    <w:adjustRightInd w:val="0"/>
                    <w:snapToGrid w:val="0"/>
                    <w:jc w:val="center"/>
                    <w:rPr>
                      <w:color w:val="auto"/>
                      <w:kern w:val="0"/>
                      <w:sz w:val="21"/>
                      <w:szCs w:val="21"/>
                    </w:rPr>
                  </w:pPr>
                  <w:r>
                    <w:rPr>
                      <w:rFonts w:hint="eastAsia"/>
                      <w:color w:val="auto"/>
                      <w:kern w:val="2"/>
                      <w:sz w:val="21"/>
                      <w:szCs w:val="21"/>
                    </w:rPr>
                    <w:t>1</w:t>
                  </w:r>
                  <w:r>
                    <w:rPr>
                      <w:color w:val="auto"/>
                      <w:kern w:val="2"/>
                      <w:sz w:val="21"/>
                      <w:szCs w:val="21"/>
                    </w:rPr>
                    <w:t>.48</w:t>
                  </w:r>
                </w:p>
              </w:tc>
              <w:tc>
                <w:tcPr>
                  <w:tcW w:w="969" w:type="dxa"/>
                  <w:shd w:val="clear" w:color="auto" w:fill="auto"/>
                  <w:vAlign w:val="center"/>
                </w:tcPr>
                <w:p w14:paraId="53F92886">
                  <w:pPr>
                    <w:widowControl/>
                    <w:adjustRightInd w:val="0"/>
                    <w:snapToGrid w:val="0"/>
                    <w:jc w:val="center"/>
                    <w:rPr>
                      <w:color w:val="auto"/>
                      <w:kern w:val="0"/>
                      <w:sz w:val="21"/>
                      <w:szCs w:val="21"/>
                    </w:rPr>
                  </w:pPr>
                  <w:r>
                    <w:rPr>
                      <w:rFonts w:hint="eastAsia"/>
                      <w:color w:val="auto"/>
                      <w:kern w:val="0"/>
                      <w:sz w:val="21"/>
                      <w:szCs w:val="21"/>
                    </w:rPr>
                    <w:t>/</w:t>
                  </w:r>
                </w:p>
              </w:tc>
              <w:tc>
                <w:tcPr>
                  <w:tcW w:w="1367" w:type="dxa"/>
                  <w:shd w:val="clear" w:color="auto" w:fill="auto"/>
                  <w:vAlign w:val="center"/>
                </w:tcPr>
                <w:p w14:paraId="2EC3DAB0">
                  <w:pPr>
                    <w:widowControl/>
                    <w:adjustRightInd w:val="0"/>
                    <w:snapToGrid w:val="0"/>
                    <w:jc w:val="center"/>
                    <w:rPr>
                      <w:color w:val="auto"/>
                      <w:kern w:val="0"/>
                      <w:sz w:val="21"/>
                      <w:szCs w:val="21"/>
                    </w:rPr>
                  </w:pPr>
                  <w:r>
                    <w:rPr>
                      <w:rFonts w:hint="eastAsia"/>
                      <w:color w:val="auto"/>
                      <w:kern w:val="0"/>
                      <w:sz w:val="21"/>
                      <w:szCs w:val="21"/>
                    </w:rPr>
                    <w:t>/</w:t>
                  </w:r>
                </w:p>
              </w:tc>
              <w:tc>
                <w:tcPr>
                  <w:tcW w:w="1292" w:type="dxa"/>
                  <w:vAlign w:val="center"/>
                </w:tcPr>
                <w:p w14:paraId="7C548644">
                  <w:pPr>
                    <w:widowControl/>
                    <w:adjustRightInd w:val="0"/>
                    <w:snapToGrid w:val="0"/>
                    <w:jc w:val="center"/>
                    <w:rPr>
                      <w:color w:val="auto"/>
                      <w:kern w:val="0"/>
                      <w:sz w:val="21"/>
                      <w:szCs w:val="21"/>
                    </w:rPr>
                  </w:pPr>
                  <w:r>
                    <w:rPr>
                      <w:rFonts w:hint="eastAsia"/>
                      <w:color w:val="auto"/>
                      <w:kern w:val="2"/>
                      <w:sz w:val="21"/>
                      <w:szCs w:val="21"/>
                    </w:rPr>
                    <w:t>1</w:t>
                  </w:r>
                  <w:r>
                    <w:rPr>
                      <w:color w:val="auto"/>
                      <w:kern w:val="2"/>
                      <w:sz w:val="21"/>
                      <w:szCs w:val="21"/>
                    </w:rPr>
                    <w:t>.48</w:t>
                  </w:r>
                </w:p>
              </w:tc>
            </w:tr>
            <w:tr w14:paraId="6337C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dxa"/>
                  <w:vMerge w:val="continue"/>
                  <w:vAlign w:val="center"/>
                </w:tcPr>
                <w:p w14:paraId="624FF22D">
                  <w:pPr>
                    <w:widowControl/>
                    <w:adjustRightInd w:val="0"/>
                    <w:snapToGrid w:val="0"/>
                    <w:jc w:val="center"/>
                    <w:rPr>
                      <w:color w:val="auto"/>
                      <w:kern w:val="0"/>
                      <w:sz w:val="21"/>
                      <w:szCs w:val="21"/>
                    </w:rPr>
                  </w:pPr>
                </w:p>
              </w:tc>
              <w:tc>
                <w:tcPr>
                  <w:tcW w:w="1331" w:type="dxa"/>
                  <w:vMerge w:val="continue"/>
                  <w:shd w:val="clear" w:color="auto" w:fill="auto"/>
                  <w:vAlign w:val="center"/>
                </w:tcPr>
                <w:p w14:paraId="34DA7733">
                  <w:pPr>
                    <w:widowControl/>
                    <w:adjustRightInd w:val="0"/>
                    <w:snapToGrid w:val="0"/>
                    <w:jc w:val="center"/>
                    <w:rPr>
                      <w:color w:val="auto"/>
                      <w:kern w:val="0"/>
                      <w:sz w:val="21"/>
                      <w:szCs w:val="21"/>
                    </w:rPr>
                  </w:pPr>
                </w:p>
              </w:tc>
              <w:tc>
                <w:tcPr>
                  <w:tcW w:w="2638" w:type="dxa"/>
                  <w:shd w:val="clear" w:color="auto" w:fill="auto"/>
                  <w:vAlign w:val="center"/>
                </w:tcPr>
                <w:p w14:paraId="34A5E7AA">
                  <w:pPr>
                    <w:widowControl/>
                    <w:adjustRightInd w:val="0"/>
                    <w:snapToGrid w:val="0"/>
                    <w:jc w:val="center"/>
                    <w:rPr>
                      <w:color w:val="auto"/>
                      <w:kern w:val="0"/>
                      <w:sz w:val="21"/>
                      <w:szCs w:val="21"/>
                    </w:rPr>
                  </w:pPr>
                  <w:r>
                    <w:rPr>
                      <w:rFonts w:hint="eastAsia"/>
                      <w:color w:val="auto"/>
                      <w:kern w:val="2"/>
                      <w:sz w:val="21"/>
                      <w:szCs w:val="21"/>
                    </w:rPr>
                    <w:t>非甲烷总烃</w:t>
                  </w:r>
                </w:p>
              </w:tc>
              <w:tc>
                <w:tcPr>
                  <w:tcW w:w="893" w:type="dxa"/>
                  <w:shd w:val="clear" w:color="auto" w:fill="auto"/>
                  <w:vAlign w:val="center"/>
                </w:tcPr>
                <w:p w14:paraId="40787526">
                  <w:pPr>
                    <w:widowControl/>
                    <w:adjustRightInd w:val="0"/>
                    <w:snapToGrid w:val="0"/>
                    <w:jc w:val="center"/>
                    <w:rPr>
                      <w:color w:val="auto"/>
                      <w:kern w:val="0"/>
                      <w:sz w:val="21"/>
                      <w:szCs w:val="21"/>
                    </w:rPr>
                  </w:pPr>
                  <w:r>
                    <w:rPr>
                      <w:rFonts w:hint="eastAsia"/>
                      <w:color w:val="auto"/>
                      <w:kern w:val="2"/>
                      <w:sz w:val="21"/>
                      <w:szCs w:val="21"/>
                    </w:rPr>
                    <w:t>0</w:t>
                  </w:r>
                  <w:r>
                    <w:rPr>
                      <w:color w:val="auto"/>
                      <w:kern w:val="2"/>
                      <w:sz w:val="21"/>
                      <w:szCs w:val="21"/>
                    </w:rPr>
                    <w:t>.04</w:t>
                  </w:r>
                </w:p>
              </w:tc>
              <w:tc>
                <w:tcPr>
                  <w:tcW w:w="969" w:type="dxa"/>
                  <w:shd w:val="clear" w:color="auto" w:fill="auto"/>
                  <w:vAlign w:val="center"/>
                </w:tcPr>
                <w:p w14:paraId="346FB8D2">
                  <w:pPr>
                    <w:widowControl/>
                    <w:adjustRightInd w:val="0"/>
                    <w:snapToGrid w:val="0"/>
                    <w:jc w:val="center"/>
                    <w:rPr>
                      <w:color w:val="auto"/>
                      <w:kern w:val="0"/>
                      <w:sz w:val="21"/>
                      <w:szCs w:val="21"/>
                    </w:rPr>
                  </w:pPr>
                  <w:r>
                    <w:rPr>
                      <w:rFonts w:hint="eastAsia"/>
                      <w:color w:val="auto"/>
                      <w:kern w:val="0"/>
                      <w:sz w:val="21"/>
                      <w:szCs w:val="21"/>
                    </w:rPr>
                    <w:t>/</w:t>
                  </w:r>
                </w:p>
              </w:tc>
              <w:tc>
                <w:tcPr>
                  <w:tcW w:w="1367" w:type="dxa"/>
                  <w:shd w:val="clear" w:color="auto" w:fill="auto"/>
                  <w:vAlign w:val="center"/>
                </w:tcPr>
                <w:p w14:paraId="6096F2DF">
                  <w:pPr>
                    <w:widowControl/>
                    <w:adjustRightInd w:val="0"/>
                    <w:snapToGrid w:val="0"/>
                    <w:jc w:val="center"/>
                    <w:rPr>
                      <w:color w:val="auto"/>
                      <w:kern w:val="0"/>
                      <w:sz w:val="21"/>
                      <w:szCs w:val="21"/>
                    </w:rPr>
                  </w:pPr>
                  <w:r>
                    <w:rPr>
                      <w:rFonts w:hint="eastAsia"/>
                      <w:color w:val="auto"/>
                      <w:kern w:val="0"/>
                      <w:sz w:val="21"/>
                      <w:szCs w:val="21"/>
                    </w:rPr>
                    <w:t>/</w:t>
                  </w:r>
                </w:p>
              </w:tc>
              <w:tc>
                <w:tcPr>
                  <w:tcW w:w="1292" w:type="dxa"/>
                  <w:vAlign w:val="center"/>
                </w:tcPr>
                <w:p w14:paraId="5D70BD7C">
                  <w:pPr>
                    <w:widowControl/>
                    <w:adjustRightInd w:val="0"/>
                    <w:snapToGrid w:val="0"/>
                    <w:jc w:val="center"/>
                    <w:rPr>
                      <w:color w:val="auto"/>
                      <w:kern w:val="0"/>
                      <w:sz w:val="21"/>
                      <w:szCs w:val="21"/>
                    </w:rPr>
                  </w:pPr>
                  <w:r>
                    <w:rPr>
                      <w:rFonts w:hint="eastAsia"/>
                      <w:color w:val="auto"/>
                      <w:kern w:val="2"/>
                      <w:sz w:val="21"/>
                      <w:szCs w:val="21"/>
                    </w:rPr>
                    <w:t>0</w:t>
                  </w:r>
                  <w:r>
                    <w:rPr>
                      <w:color w:val="auto"/>
                      <w:kern w:val="2"/>
                      <w:sz w:val="21"/>
                      <w:szCs w:val="21"/>
                    </w:rPr>
                    <w:t>.04</w:t>
                  </w:r>
                </w:p>
              </w:tc>
            </w:tr>
            <w:tr w14:paraId="2EB30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67" w:type="dxa"/>
                  <w:gridSpan w:val="2"/>
                  <w:vMerge w:val="restart"/>
                  <w:shd w:val="clear" w:color="auto" w:fill="auto"/>
                  <w:vAlign w:val="center"/>
                </w:tcPr>
                <w:p w14:paraId="4ED7E4BB">
                  <w:pPr>
                    <w:widowControl/>
                    <w:adjustRightInd w:val="0"/>
                    <w:snapToGrid w:val="0"/>
                    <w:jc w:val="center"/>
                    <w:rPr>
                      <w:color w:val="auto"/>
                      <w:kern w:val="0"/>
                      <w:sz w:val="21"/>
                      <w:szCs w:val="21"/>
                    </w:rPr>
                  </w:pPr>
                  <w:r>
                    <w:rPr>
                      <w:color w:val="auto"/>
                      <w:kern w:val="0"/>
                      <w:sz w:val="21"/>
                      <w:szCs w:val="21"/>
                    </w:rPr>
                    <w:t>废水</w:t>
                  </w:r>
                </w:p>
              </w:tc>
              <w:tc>
                <w:tcPr>
                  <w:tcW w:w="2638" w:type="dxa"/>
                  <w:shd w:val="clear" w:color="auto" w:fill="auto"/>
                  <w:vAlign w:val="center"/>
                </w:tcPr>
                <w:p w14:paraId="6412179C">
                  <w:pPr>
                    <w:widowControl/>
                    <w:adjustRightInd w:val="0"/>
                    <w:snapToGrid w:val="0"/>
                    <w:jc w:val="center"/>
                    <w:rPr>
                      <w:color w:val="auto"/>
                      <w:kern w:val="0"/>
                      <w:sz w:val="21"/>
                      <w:szCs w:val="21"/>
                    </w:rPr>
                  </w:pPr>
                  <w:r>
                    <w:rPr>
                      <w:color w:val="auto"/>
                      <w:kern w:val="0"/>
                      <w:sz w:val="21"/>
                      <w:szCs w:val="21"/>
                    </w:rPr>
                    <w:t>废水量，m</w:t>
                  </w:r>
                  <w:r>
                    <w:rPr>
                      <w:color w:val="auto"/>
                      <w:kern w:val="0"/>
                      <w:sz w:val="21"/>
                      <w:szCs w:val="21"/>
                      <w:vertAlign w:val="superscript"/>
                    </w:rPr>
                    <w:t>3</w:t>
                  </w:r>
                  <w:r>
                    <w:rPr>
                      <w:color w:val="auto"/>
                      <w:kern w:val="0"/>
                      <w:sz w:val="21"/>
                      <w:szCs w:val="21"/>
                    </w:rPr>
                    <w:t>/a</w:t>
                  </w:r>
                </w:p>
              </w:tc>
              <w:tc>
                <w:tcPr>
                  <w:tcW w:w="893" w:type="dxa"/>
                  <w:shd w:val="clear" w:color="auto" w:fill="auto"/>
                  <w:vAlign w:val="center"/>
                </w:tcPr>
                <w:p w14:paraId="50216B9D">
                  <w:pPr>
                    <w:widowControl/>
                    <w:adjustRightInd w:val="0"/>
                    <w:snapToGrid w:val="0"/>
                    <w:jc w:val="center"/>
                    <w:rPr>
                      <w:color w:val="auto"/>
                      <w:kern w:val="0"/>
                      <w:sz w:val="21"/>
                      <w:szCs w:val="21"/>
                    </w:rPr>
                  </w:pPr>
                  <w:r>
                    <w:rPr>
                      <w:rFonts w:hint="eastAsia" w:eastAsia="宋体"/>
                      <w:color w:val="auto"/>
                      <w:kern w:val="0"/>
                      <w:sz w:val="21"/>
                      <w:szCs w:val="21"/>
                    </w:rPr>
                    <w:t>1</w:t>
                  </w:r>
                  <w:r>
                    <w:rPr>
                      <w:rFonts w:eastAsia="宋体"/>
                      <w:color w:val="auto"/>
                      <w:kern w:val="0"/>
                      <w:sz w:val="21"/>
                      <w:szCs w:val="21"/>
                    </w:rPr>
                    <w:t>4600</w:t>
                  </w:r>
                </w:p>
              </w:tc>
              <w:tc>
                <w:tcPr>
                  <w:tcW w:w="969" w:type="dxa"/>
                  <w:shd w:val="clear" w:color="auto" w:fill="auto"/>
                  <w:vAlign w:val="center"/>
                </w:tcPr>
                <w:p w14:paraId="11496A1C">
                  <w:pPr>
                    <w:widowControl/>
                    <w:adjustRightInd w:val="0"/>
                    <w:snapToGrid w:val="0"/>
                    <w:jc w:val="center"/>
                    <w:rPr>
                      <w:color w:val="auto"/>
                      <w:kern w:val="0"/>
                      <w:sz w:val="21"/>
                      <w:szCs w:val="21"/>
                    </w:rPr>
                  </w:pPr>
                  <w:r>
                    <w:rPr>
                      <w:rFonts w:hint="eastAsia"/>
                      <w:color w:val="auto"/>
                      <w:kern w:val="0"/>
                      <w:sz w:val="21"/>
                      <w:szCs w:val="21"/>
                    </w:rPr>
                    <w:t>0</w:t>
                  </w:r>
                </w:p>
              </w:tc>
              <w:tc>
                <w:tcPr>
                  <w:tcW w:w="1367" w:type="dxa"/>
                  <w:shd w:val="clear" w:color="auto" w:fill="auto"/>
                  <w:vAlign w:val="center"/>
                </w:tcPr>
                <w:p w14:paraId="6FE72BCD">
                  <w:pPr>
                    <w:widowControl/>
                    <w:adjustRightInd w:val="0"/>
                    <w:snapToGrid w:val="0"/>
                    <w:jc w:val="center"/>
                    <w:rPr>
                      <w:color w:val="auto"/>
                      <w:kern w:val="0"/>
                      <w:sz w:val="21"/>
                      <w:szCs w:val="21"/>
                    </w:rPr>
                  </w:pPr>
                  <w:r>
                    <w:rPr>
                      <w:rFonts w:hint="eastAsia" w:eastAsia="宋体"/>
                      <w:color w:val="auto"/>
                      <w:kern w:val="0"/>
                      <w:sz w:val="21"/>
                      <w:szCs w:val="21"/>
                    </w:rPr>
                    <w:t>1</w:t>
                  </w:r>
                  <w:r>
                    <w:rPr>
                      <w:rFonts w:eastAsia="宋体"/>
                      <w:color w:val="auto"/>
                      <w:kern w:val="0"/>
                      <w:sz w:val="21"/>
                      <w:szCs w:val="21"/>
                    </w:rPr>
                    <w:t>4600</w:t>
                  </w:r>
                </w:p>
              </w:tc>
              <w:tc>
                <w:tcPr>
                  <w:tcW w:w="1292" w:type="dxa"/>
                  <w:vAlign w:val="center"/>
                </w:tcPr>
                <w:p w14:paraId="6349FB9D">
                  <w:pPr>
                    <w:widowControl/>
                    <w:adjustRightInd w:val="0"/>
                    <w:snapToGrid w:val="0"/>
                    <w:jc w:val="center"/>
                    <w:rPr>
                      <w:color w:val="auto"/>
                      <w:kern w:val="0"/>
                      <w:sz w:val="21"/>
                      <w:szCs w:val="21"/>
                    </w:rPr>
                  </w:pPr>
                  <w:r>
                    <w:rPr>
                      <w:rFonts w:hint="eastAsia" w:eastAsia="宋体"/>
                      <w:color w:val="auto"/>
                      <w:kern w:val="0"/>
                      <w:sz w:val="21"/>
                      <w:szCs w:val="21"/>
                    </w:rPr>
                    <w:t>1</w:t>
                  </w:r>
                  <w:r>
                    <w:rPr>
                      <w:rFonts w:eastAsia="宋体"/>
                      <w:color w:val="auto"/>
                      <w:kern w:val="0"/>
                      <w:sz w:val="21"/>
                      <w:szCs w:val="21"/>
                    </w:rPr>
                    <w:t>4600</w:t>
                  </w:r>
                </w:p>
              </w:tc>
            </w:tr>
            <w:tr w14:paraId="03FFA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67" w:type="dxa"/>
                  <w:gridSpan w:val="2"/>
                  <w:vMerge w:val="continue"/>
                  <w:vAlign w:val="center"/>
                </w:tcPr>
                <w:p w14:paraId="04825315">
                  <w:pPr>
                    <w:widowControl/>
                    <w:adjustRightInd w:val="0"/>
                    <w:snapToGrid w:val="0"/>
                    <w:jc w:val="center"/>
                    <w:rPr>
                      <w:color w:val="auto"/>
                      <w:kern w:val="0"/>
                      <w:sz w:val="21"/>
                      <w:szCs w:val="21"/>
                    </w:rPr>
                  </w:pPr>
                </w:p>
              </w:tc>
              <w:tc>
                <w:tcPr>
                  <w:tcW w:w="2638" w:type="dxa"/>
                  <w:shd w:val="clear" w:color="auto" w:fill="auto"/>
                  <w:noWrap/>
                  <w:vAlign w:val="center"/>
                </w:tcPr>
                <w:p w14:paraId="56C3C01E">
                  <w:pPr>
                    <w:widowControl/>
                    <w:adjustRightInd w:val="0"/>
                    <w:snapToGrid w:val="0"/>
                    <w:jc w:val="center"/>
                    <w:rPr>
                      <w:color w:val="auto"/>
                      <w:kern w:val="0"/>
                      <w:sz w:val="21"/>
                      <w:szCs w:val="21"/>
                    </w:rPr>
                  </w:pPr>
                  <w:r>
                    <w:rPr>
                      <w:color w:val="auto"/>
                      <w:kern w:val="0"/>
                      <w:sz w:val="21"/>
                      <w:szCs w:val="21"/>
                    </w:rPr>
                    <w:t>COD</w:t>
                  </w:r>
                </w:p>
              </w:tc>
              <w:tc>
                <w:tcPr>
                  <w:tcW w:w="893" w:type="dxa"/>
                  <w:shd w:val="clear" w:color="auto" w:fill="auto"/>
                  <w:vAlign w:val="center"/>
                </w:tcPr>
                <w:p w14:paraId="010CEB9D">
                  <w:pPr>
                    <w:widowControl/>
                    <w:jc w:val="center"/>
                    <w:rPr>
                      <w:rFonts w:eastAsia="宋体"/>
                      <w:color w:val="auto"/>
                      <w:kern w:val="0"/>
                      <w:sz w:val="21"/>
                      <w:szCs w:val="21"/>
                    </w:rPr>
                  </w:pPr>
                  <w:r>
                    <w:rPr>
                      <w:rFonts w:eastAsia="宋体"/>
                      <w:color w:val="auto"/>
                      <w:kern w:val="2"/>
                      <w:sz w:val="21"/>
                      <w:szCs w:val="21"/>
                    </w:rPr>
                    <w:t xml:space="preserve">5.84 </w:t>
                  </w:r>
                </w:p>
              </w:tc>
              <w:tc>
                <w:tcPr>
                  <w:tcW w:w="969" w:type="dxa"/>
                  <w:shd w:val="clear" w:color="auto" w:fill="auto"/>
                  <w:vAlign w:val="center"/>
                </w:tcPr>
                <w:p w14:paraId="47727400">
                  <w:pPr>
                    <w:jc w:val="center"/>
                    <w:rPr>
                      <w:rFonts w:eastAsia="宋体"/>
                      <w:color w:val="auto"/>
                      <w:kern w:val="2"/>
                      <w:sz w:val="21"/>
                      <w:szCs w:val="21"/>
                    </w:rPr>
                  </w:pPr>
                  <w:r>
                    <w:rPr>
                      <w:rFonts w:hint="eastAsia" w:eastAsia="宋体"/>
                      <w:color w:val="auto"/>
                      <w:kern w:val="2"/>
                      <w:sz w:val="21"/>
                      <w:szCs w:val="21"/>
                    </w:rPr>
                    <w:t>1</w:t>
                  </w:r>
                  <w:r>
                    <w:rPr>
                      <w:rFonts w:eastAsia="宋体"/>
                      <w:color w:val="auto"/>
                      <w:kern w:val="2"/>
                      <w:sz w:val="21"/>
                      <w:szCs w:val="21"/>
                    </w:rPr>
                    <w:t>.46</w:t>
                  </w:r>
                </w:p>
              </w:tc>
              <w:tc>
                <w:tcPr>
                  <w:tcW w:w="1367" w:type="dxa"/>
                  <w:shd w:val="clear" w:color="auto" w:fill="auto"/>
                  <w:vAlign w:val="center"/>
                </w:tcPr>
                <w:p w14:paraId="0F547AFC">
                  <w:pPr>
                    <w:widowControl/>
                    <w:jc w:val="center"/>
                    <w:rPr>
                      <w:rFonts w:eastAsia="宋体"/>
                      <w:color w:val="auto"/>
                      <w:kern w:val="0"/>
                      <w:sz w:val="21"/>
                      <w:szCs w:val="21"/>
                    </w:rPr>
                  </w:pPr>
                  <w:r>
                    <w:rPr>
                      <w:rFonts w:hint="eastAsia" w:eastAsia="宋体"/>
                      <w:color w:val="auto"/>
                      <w:kern w:val="0"/>
                      <w:sz w:val="21"/>
                      <w:szCs w:val="21"/>
                    </w:rPr>
                    <w:t>4</w:t>
                  </w:r>
                  <w:r>
                    <w:rPr>
                      <w:rFonts w:eastAsia="宋体"/>
                      <w:color w:val="auto"/>
                      <w:kern w:val="0"/>
                      <w:sz w:val="21"/>
                      <w:szCs w:val="21"/>
                    </w:rPr>
                    <w:t>.38</w:t>
                  </w:r>
                </w:p>
              </w:tc>
              <w:tc>
                <w:tcPr>
                  <w:tcW w:w="1292" w:type="dxa"/>
                  <w:vAlign w:val="center"/>
                </w:tcPr>
                <w:p w14:paraId="300E32F5">
                  <w:pPr>
                    <w:widowControl/>
                    <w:jc w:val="center"/>
                    <w:rPr>
                      <w:rFonts w:eastAsia="宋体"/>
                      <w:color w:val="auto"/>
                      <w:kern w:val="0"/>
                      <w:sz w:val="21"/>
                      <w:szCs w:val="21"/>
                    </w:rPr>
                  </w:pPr>
                  <w:r>
                    <w:rPr>
                      <w:rFonts w:hint="eastAsia" w:eastAsia="宋体"/>
                      <w:color w:val="auto"/>
                      <w:kern w:val="0"/>
                      <w:sz w:val="21"/>
                      <w:szCs w:val="21"/>
                    </w:rPr>
                    <w:t>0</w:t>
                  </w:r>
                  <w:r>
                    <w:rPr>
                      <w:rFonts w:eastAsia="宋体"/>
                      <w:color w:val="auto"/>
                      <w:kern w:val="0"/>
                      <w:sz w:val="21"/>
                      <w:szCs w:val="21"/>
                    </w:rPr>
                    <w:t>.58</w:t>
                  </w:r>
                </w:p>
              </w:tc>
            </w:tr>
            <w:tr w14:paraId="0887B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67" w:type="dxa"/>
                  <w:gridSpan w:val="2"/>
                  <w:vMerge w:val="continue"/>
                  <w:vAlign w:val="center"/>
                </w:tcPr>
                <w:p w14:paraId="22277052">
                  <w:pPr>
                    <w:widowControl/>
                    <w:adjustRightInd w:val="0"/>
                    <w:snapToGrid w:val="0"/>
                    <w:jc w:val="center"/>
                    <w:rPr>
                      <w:color w:val="auto"/>
                      <w:kern w:val="0"/>
                      <w:sz w:val="21"/>
                      <w:szCs w:val="21"/>
                    </w:rPr>
                  </w:pPr>
                </w:p>
              </w:tc>
              <w:tc>
                <w:tcPr>
                  <w:tcW w:w="2638" w:type="dxa"/>
                  <w:shd w:val="clear" w:color="auto" w:fill="auto"/>
                  <w:noWrap/>
                  <w:vAlign w:val="center"/>
                </w:tcPr>
                <w:p w14:paraId="312CBA48">
                  <w:pPr>
                    <w:widowControl/>
                    <w:adjustRightInd w:val="0"/>
                    <w:snapToGrid w:val="0"/>
                    <w:jc w:val="center"/>
                    <w:rPr>
                      <w:color w:val="auto"/>
                      <w:kern w:val="0"/>
                      <w:sz w:val="21"/>
                      <w:szCs w:val="21"/>
                    </w:rPr>
                  </w:pPr>
                  <w:r>
                    <w:rPr>
                      <w:color w:val="auto"/>
                      <w:kern w:val="0"/>
                      <w:sz w:val="21"/>
                      <w:szCs w:val="21"/>
                    </w:rPr>
                    <w:t>SS</w:t>
                  </w:r>
                </w:p>
              </w:tc>
              <w:tc>
                <w:tcPr>
                  <w:tcW w:w="893" w:type="dxa"/>
                  <w:shd w:val="clear" w:color="auto" w:fill="auto"/>
                  <w:vAlign w:val="center"/>
                </w:tcPr>
                <w:p w14:paraId="75A224B9">
                  <w:pPr>
                    <w:widowControl/>
                    <w:jc w:val="center"/>
                    <w:rPr>
                      <w:rFonts w:eastAsia="宋体"/>
                      <w:color w:val="auto"/>
                      <w:kern w:val="0"/>
                      <w:sz w:val="21"/>
                      <w:szCs w:val="21"/>
                    </w:rPr>
                  </w:pPr>
                  <w:r>
                    <w:rPr>
                      <w:rFonts w:eastAsia="宋体"/>
                      <w:color w:val="auto"/>
                      <w:kern w:val="2"/>
                      <w:sz w:val="21"/>
                      <w:szCs w:val="21"/>
                    </w:rPr>
                    <w:t xml:space="preserve">4.38 </w:t>
                  </w:r>
                </w:p>
              </w:tc>
              <w:tc>
                <w:tcPr>
                  <w:tcW w:w="969" w:type="dxa"/>
                  <w:shd w:val="clear" w:color="auto" w:fill="auto"/>
                  <w:vAlign w:val="center"/>
                </w:tcPr>
                <w:p w14:paraId="66BC6AB8">
                  <w:pPr>
                    <w:jc w:val="center"/>
                    <w:rPr>
                      <w:rFonts w:eastAsia="宋体"/>
                      <w:color w:val="auto"/>
                      <w:kern w:val="2"/>
                      <w:sz w:val="21"/>
                      <w:szCs w:val="21"/>
                    </w:rPr>
                  </w:pPr>
                  <w:r>
                    <w:rPr>
                      <w:rFonts w:hint="eastAsia" w:eastAsia="宋体"/>
                      <w:color w:val="auto"/>
                      <w:kern w:val="2"/>
                      <w:sz w:val="21"/>
                      <w:szCs w:val="21"/>
                    </w:rPr>
                    <w:t>0</w:t>
                  </w:r>
                  <w:r>
                    <w:rPr>
                      <w:rFonts w:eastAsia="宋体"/>
                      <w:color w:val="auto"/>
                      <w:kern w:val="2"/>
                      <w:sz w:val="21"/>
                      <w:szCs w:val="21"/>
                    </w:rPr>
                    <w:t>.73</w:t>
                  </w:r>
                </w:p>
              </w:tc>
              <w:tc>
                <w:tcPr>
                  <w:tcW w:w="1367" w:type="dxa"/>
                  <w:shd w:val="clear" w:color="auto" w:fill="auto"/>
                  <w:vAlign w:val="center"/>
                </w:tcPr>
                <w:p w14:paraId="78985A20">
                  <w:pPr>
                    <w:widowControl/>
                    <w:jc w:val="center"/>
                    <w:rPr>
                      <w:rFonts w:eastAsia="宋体"/>
                      <w:color w:val="auto"/>
                      <w:kern w:val="0"/>
                      <w:sz w:val="21"/>
                      <w:szCs w:val="21"/>
                    </w:rPr>
                  </w:pPr>
                  <w:r>
                    <w:rPr>
                      <w:rFonts w:hint="eastAsia" w:eastAsia="宋体"/>
                      <w:color w:val="auto"/>
                      <w:kern w:val="0"/>
                      <w:sz w:val="21"/>
                      <w:szCs w:val="21"/>
                    </w:rPr>
                    <w:t>3</w:t>
                  </w:r>
                  <w:r>
                    <w:rPr>
                      <w:rFonts w:eastAsia="宋体"/>
                      <w:color w:val="auto"/>
                      <w:kern w:val="0"/>
                      <w:sz w:val="21"/>
                      <w:szCs w:val="21"/>
                    </w:rPr>
                    <w:t>.65</w:t>
                  </w:r>
                </w:p>
              </w:tc>
              <w:tc>
                <w:tcPr>
                  <w:tcW w:w="1292" w:type="dxa"/>
                  <w:vAlign w:val="center"/>
                </w:tcPr>
                <w:p w14:paraId="1423ED5F">
                  <w:pPr>
                    <w:widowControl/>
                    <w:jc w:val="center"/>
                    <w:rPr>
                      <w:rFonts w:eastAsia="宋体"/>
                      <w:color w:val="auto"/>
                      <w:kern w:val="0"/>
                      <w:sz w:val="21"/>
                      <w:szCs w:val="21"/>
                    </w:rPr>
                  </w:pPr>
                  <w:r>
                    <w:rPr>
                      <w:rFonts w:hint="eastAsia" w:eastAsia="宋体"/>
                      <w:color w:val="auto"/>
                      <w:kern w:val="0"/>
                      <w:sz w:val="21"/>
                      <w:szCs w:val="21"/>
                    </w:rPr>
                    <w:t>0</w:t>
                  </w:r>
                  <w:r>
                    <w:rPr>
                      <w:rFonts w:eastAsia="宋体"/>
                      <w:color w:val="auto"/>
                      <w:kern w:val="0"/>
                      <w:sz w:val="21"/>
                      <w:szCs w:val="21"/>
                    </w:rPr>
                    <w:t>.15</w:t>
                  </w:r>
                </w:p>
              </w:tc>
            </w:tr>
            <w:tr w14:paraId="76A52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67" w:type="dxa"/>
                  <w:gridSpan w:val="2"/>
                  <w:vMerge w:val="continue"/>
                  <w:vAlign w:val="center"/>
                </w:tcPr>
                <w:p w14:paraId="47830A64">
                  <w:pPr>
                    <w:widowControl/>
                    <w:adjustRightInd w:val="0"/>
                    <w:snapToGrid w:val="0"/>
                    <w:jc w:val="center"/>
                    <w:rPr>
                      <w:color w:val="auto"/>
                      <w:kern w:val="0"/>
                      <w:sz w:val="21"/>
                      <w:szCs w:val="21"/>
                    </w:rPr>
                  </w:pPr>
                </w:p>
              </w:tc>
              <w:tc>
                <w:tcPr>
                  <w:tcW w:w="2638" w:type="dxa"/>
                  <w:shd w:val="clear" w:color="auto" w:fill="auto"/>
                  <w:noWrap/>
                  <w:vAlign w:val="center"/>
                </w:tcPr>
                <w:p w14:paraId="167BCF4F">
                  <w:pPr>
                    <w:widowControl/>
                    <w:adjustRightInd w:val="0"/>
                    <w:snapToGrid w:val="0"/>
                    <w:jc w:val="center"/>
                    <w:rPr>
                      <w:color w:val="auto"/>
                      <w:kern w:val="0"/>
                      <w:sz w:val="21"/>
                      <w:szCs w:val="21"/>
                    </w:rPr>
                  </w:pPr>
                  <w:r>
                    <w:rPr>
                      <w:color w:val="auto"/>
                      <w:kern w:val="0"/>
                      <w:sz w:val="21"/>
                      <w:szCs w:val="21"/>
                    </w:rPr>
                    <w:t>氨氮</w:t>
                  </w:r>
                </w:p>
              </w:tc>
              <w:tc>
                <w:tcPr>
                  <w:tcW w:w="893" w:type="dxa"/>
                  <w:shd w:val="clear" w:color="auto" w:fill="auto"/>
                  <w:vAlign w:val="center"/>
                </w:tcPr>
                <w:p w14:paraId="4845AD2A">
                  <w:pPr>
                    <w:widowControl/>
                    <w:jc w:val="center"/>
                    <w:rPr>
                      <w:rFonts w:eastAsia="宋体"/>
                      <w:color w:val="auto"/>
                      <w:kern w:val="0"/>
                      <w:sz w:val="21"/>
                      <w:szCs w:val="21"/>
                    </w:rPr>
                  </w:pPr>
                  <w:r>
                    <w:rPr>
                      <w:rFonts w:eastAsia="宋体"/>
                      <w:color w:val="auto"/>
                      <w:kern w:val="2"/>
                      <w:sz w:val="21"/>
                      <w:szCs w:val="21"/>
                    </w:rPr>
                    <w:t xml:space="preserve">0.44 </w:t>
                  </w:r>
                </w:p>
              </w:tc>
              <w:tc>
                <w:tcPr>
                  <w:tcW w:w="969" w:type="dxa"/>
                  <w:shd w:val="clear" w:color="auto" w:fill="auto"/>
                  <w:vAlign w:val="center"/>
                </w:tcPr>
                <w:p w14:paraId="6769B70B">
                  <w:pPr>
                    <w:jc w:val="center"/>
                    <w:rPr>
                      <w:rFonts w:eastAsia="宋体"/>
                      <w:color w:val="auto"/>
                      <w:kern w:val="2"/>
                      <w:sz w:val="21"/>
                      <w:szCs w:val="21"/>
                    </w:rPr>
                  </w:pPr>
                  <w:r>
                    <w:rPr>
                      <w:rFonts w:hint="eastAsia" w:eastAsia="宋体"/>
                      <w:color w:val="auto"/>
                      <w:kern w:val="2"/>
                      <w:sz w:val="21"/>
                      <w:szCs w:val="21"/>
                    </w:rPr>
                    <w:t>0</w:t>
                  </w:r>
                </w:p>
              </w:tc>
              <w:tc>
                <w:tcPr>
                  <w:tcW w:w="1367" w:type="dxa"/>
                  <w:shd w:val="clear" w:color="auto" w:fill="auto"/>
                  <w:vAlign w:val="center"/>
                </w:tcPr>
                <w:p w14:paraId="29ECA46C">
                  <w:pPr>
                    <w:widowControl/>
                    <w:jc w:val="center"/>
                    <w:rPr>
                      <w:rFonts w:eastAsia="宋体"/>
                      <w:color w:val="auto"/>
                      <w:kern w:val="0"/>
                      <w:sz w:val="21"/>
                      <w:szCs w:val="21"/>
                    </w:rPr>
                  </w:pPr>
                  <w:r>
                    <w:rPr>
                      <w:rFonts w:hint="eastAsia" w:eastAsia="宋体"/>
                      <w:color w:val="auto"/>
                      <w:kern w:val="0"/>
                      <w:sz w:val="21"/>
                      <w:szCs w:val="21"/>
                    </w:rPr>
                    <w:t>0</w:t>
                  </w:r>
                  <w:r>
                    <w:rPr>
                      <w:rFonts w:eastAsia="宋体"/>
                      <w:color w:val="auto"/>
                      <w:kern w:val="0"/>
                      <w:sz w:val="21"/>
                      <w:szCs w:val="21"/>
                    </w:rPr>
                    <w:t>.44</w:t>
                  </w:r>
                </w:p>
              </w:tc>
              <w:tc>
                <w:tcPr>
                  <w:tcW w:w="1292" w:type="dxa"/>
                  <w:vAlign w:val="center"/>
                </w:tcPr>
                <w:p w14:paraId="59CA23FD">
                  <w:pPr>
                    <w:widowControl/>
                    <w:jc w:val="center"/>
                    <w:rPr>
                      <w:rFonts w:eastAsia="宋体"/>
                      <w:color w:val="auto"/>
                      <w:kern w:val="0"/>
                      <w:sz w:val="21"/>
                      <w:szCs w:val="21"/>
                    </w:rPr>
                  </w:pPr>
                  <w:r>
                    <w:rPr>
                      <w:rFonts w:hint="eastAsia" w:eastAsia="宋体"/>
                      <w:color w:val="auto"/>
                      <w:kern w:val="0"/>
                      <w:sz w:val="21"/>
                      <w:szCs w:val="21"/>
                    </w:rPr>
                    <w:t>0</w:t>
                  </w:r>
                  <w:r>
                    <w:rPr>
                      <w:rFonts w:eastAsia="宋体"/>
                      <w:color w:val="auto"/>
                      <w:kern w:val="0"/>
                      <w:sz w:val="21"/>
                      <w:szCs w:val="21"/>
                    </w:rPr>
                    <w:t>.04</w:t>
                  </w:r>
                </w:p>
              </w:tc>
            </w:tr>
            <w:tr w14:paraId="4000B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67" w:type="dxa"/>
                  <w:gridSpan w:val="2"/>
                  <w:vMerge w:val="continue"/>
                  <w:vAlign w:val="center"/>
                </w:tcPr>
                <w:p w14:paraId="4FEB24A1">
                  <w:pPr>
                    <w:widowControl/>
                    <w:adjustRightInd w:val="0"/>
                    <w:snapToGrid w:val="0"/>
                    <w:jc w:val="center"/>
                    <w:rPr>
                      <w:color w:val="auto"/>
                      <w:kern w:val="0"/>
                      <w:sz w:val="21"/>
                      <w:szCs w:val="21"/>
                    </w:rPr>
                  </w:pPr>
                </w:p>
              </w:tc>
              <w:tc>
                <w:tcPr>
                  <w:tcW w:w="2638" w:type="dxa"/>
                  <w:shd w:val="clear" w:color="auto" w:fill="auto"/>
                  <w:noWrap/>
                  <w:vAlign w:val="center"/>
                </w:tcPr>
                <w:p w14:paraId="5F27A531">
                  <w:pPr>
                    <w:widowControl/>
                    <w:adjustRightInd w:val="0"/>
                    <w:snapToGrid w:val="0"/>
                    <w:jc w:val="center"/>
                    <w:rPr>
                      <w:color w:val="auto"/>
                      <w:kern w:val="0"/>
                      <w:sz w:val="21"/>
                      <w:szCs w:val="21"/>
                    </w:rPr>
                  </w:pPr>
                  <w:r>
                    <w:rPr>
                      <w:color w:val="auto"/>
                      <w:kern w:val="0"/>
                      <w:sz w:val="21"/>
                      <w:szCs w:val="21"/>
                    </w:rPr>
                    <w:t>总氮</w:t>
                  </w:r>
                </w:p>
              </w:tc>
              <w:tc>
                <w:tcPr>
                  <w:tcW w:w="893" w:type="dxa"/>
                  <w:shd w:val="clear" w:color="auto" w:fill="auto"/>
                  <w:vAlign w:val="center"/>
                </w:tcPr>
                <w:p w14:paraId="2A570D64">
                  <w:pPr>
                    <w:widowControl/>
                    <w:jc w:val="center"/>
                    <w:rPr>
                      <w:rFonts w:eastAsia="宋体"/>
                      <w:color w:val="auto"/>
                      <w:kern w:val="0"/>
                      <w:sz w:val="21"/>
                      <w:szCs w:val="21"/>
                    </w:rPr>
                  </w:pPr>
                  <w:r>
                    <w:rPr>
                      <w:rFonts w:eastAsia="宋体"/>
                      <w:color w:val="auto"/>
                      <w:kern w:val="2"/>
                      <w:sz w:val="21"/>
                      <w:szCs w:val="21"/>
                    </w:rPr>
                    <w:t xml:space="preserve">0.66 </w:t>
                  </w:r>
                </w:p>
              </w:tc>
              <w:tc>
                <w:tcPr>
                  <w:tcW w:w="969" w:type="dxa"/>
                  <w:shd w:val="clear" w:color="auto" w:fill="auto"/>
                  <w:vAlign w:val="center"/>
                </w:tcPr>
                <w:p w14:paraId="1FDE14FB">
                  <w:pPr>
                    <w:jc w:val="center"/>
                    <w:rPr>
                      <w:rFonts w:eastAsia="宋体"/>
                      <w:color w:val="auto"/>
                      <w:kern w:val="2"/>
                      <w:sz w:val="21"/>
                      <w:szCs w:val="21"/>
                    </w:rPr>
                  </w:pPr>
                  <w:r>
                    <w:rPr>
                      <w:rFonts w:hint="eastAsia" w:eastAsia="宋体"/>
                      <w:color w:val="auto"/>
                      <w:kern w:val="2"/>
                      <w:sz w:val="21"/>
                      <w:szCs w:val="21"/>
                    </w:rPr>
                    <w:t>0</w:t>
                  </w:r>
                </w:p>
              </w:tc>
              <w:tc>
                <w:tcPr>
                  <w:tcW w:w="1367" w:type="dxa"/>
                  <w:shd w:val="clear" w:color="auto" w:fill="auto"/>
                  <w:vAlign w:val="center"/>
                </w:tcPr>
                <w:p w14:paraId="1ADA976F">
                  <w:pPr>
                    <w:widowControl/>
                    <w:jc w:val="center"/>
                    <w:rPr>
                      <w:rFonts w:eastAsia="宋体"/>
                      <w:color w:val="auto"/>
                      <w:kern w:val="0"/>
                      <w:sz w:val="21"/>
                      <w:szCs w:val="21"/>
                    </w:rPr>
                  </w:pPr>
                  <w:r>
                    <w:rPr>
                      <w:rFonts w:hint="eastAsia" w:eastAsia="宋体"/>
                      <w:color w:val="auto"/>
                      <w:kern w:val="0"/>
                      <w:sz w:val="21"/>
                      <w:szCs w:val="21"/>
                    </w:rPr>
                    <w:t>0</w:t>
                  </w:r>
                  <w:r>
                    <w:rPr>
                      <w:rFonts w:eastAsia="宋体"/>
                      <w:color w:val="auto"/>
                      <w:kern w:val="0"/>
                      <w:sz w:val="21"/>
                      <w:szCs w:val="21"/>
                    </w:rPr>
                    <w:t>.66</w:t>
                  </w:r>
                </w:p>
              </w:tc>
              <w:tc>
                <w:tcPr>
                  <w:tcW w:w="1292" w:type="dxa"/>
                  <w:vAlign w:val="center"/>
                </w:tcPr>
                <w:p w14:paraId="7A7786D0">
                  <w:pPr>
                    <w:widowControl/>
                    <w:jc w:val="center"/>
                    <w:rPr>
                      <w:rFonts w:eastAsia="宋体"/>
                      <w:color w:val="auto"/>
                      <w:kern w:val="0"/>
                      <w:sz w:val="21"/>
                      <w:szCs w:val="21"/>
                    </w:rPr>
                  </w:pPr>
                  <w:r>
                    <w:rPr>
                      <w:rFonts w:hint="eastAsia" w:eastAsia="宋体"/>
                      <w:color w:val="auto"/>
                      <w:kern w:val="0"/>
                      <w:sz w:val="21"/>
                      <w:szCs w:val="21"/>
                    </w:rPr>
                    <w:t>0</w:t>
                  </w:r>
                  <w:r>
                    <w:rPr>
                      <w:rFonts w:eastAsia="宋体"/>
                      <w:color w:val="auto"/>
                      <w:kern w:val="0"/>
                      <w:sz w:val="21"/>
                      <w:szCs w:val="21"/>
                    </w:rPr>
                    <w:t>.15</w:t>
                  </w:r>
                </w:p>
              </w:tc>
            </w:tr>
            <w:tr w14:paraId="391AE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67" w:type="dxa"/>
                  <w:gridSpan w:val="2"/>
                  <w:vMerge w:val="continue"/>
                  <w:vAlign w:val="center"/>
                </w:tcPr>
                <w:p w14:paraId="642996C7">
                  <w:pPr>
                    <w:widowControl/>
                    <w:adjustRightInd w:val="0"/>
                    <w:snapToGrid w:val="0"/>
                    <w:jc w:val="center"/>
                    <w:rPr>
                      <w:color w:val="auto"/>
                      <w:kern w:val="0"/>
                      <w:sz w:val="21"/>
                      <w:szCs w:val="21"/>
                    </w:rPr>
                  </w:pPr>
                </w:p>
              </w:tc>
              <w:tc>
                <w:tcPr>
                  <w:tcW w:w="2638" w:type="dxa"/>
                  <w:shd w:val="clear" w:color="auto" w:fill="auto"/>
                  <w:noWrap/>
                  <w:vAlign w:val="center"/>
                </w:tcPr>
                <w:p w14:paraId="31DE1227">
                  <w:pPr>
                    <w:widowControl/>
                    <w:adjustRightInd w:val="0"/>
                    <w:snapToGrid w:val="0"/>
                    <w:jc w:val="center"/>
                    <w:rPr>
                      <w:color w:val="auto"/>
                      <w:kern w:val="0"/>
                      <w:sz w:val="21"/>
                      <w:szCs w:val="21"/>
                    </w:rPr>
                  </w:pPr>
                  <w:r>
                    <w:rPr>
                      <w:color w:val="auto"/>
                      <w:kern w:val="0"/>
                      <w:sz w:val="21"/>
                      <w:szCs w:val="21"/>
                    </w:rPr>
                    <w:t>总磷</w:t>
                  </w:r>
                </w:p>
              </w:tc>
              <w:tc>
                <w:tcPr>
                  <w:tcW w:w="893" w:type="dxa"/>
                  <w:shd w:val="clear" w:color="auto" w:fill="auto"/>
                  <w:vAlign w:val="center"/>
                </w:tcPr>
                <w:p w14:paraId="60CD1587">
                  <w:pPr>
                    <w:widowControl/>
                    <w:jc w:val="center"/>
                    <w:rPr>
                      <w:rFonts w:eastAsia="宋体"/>
                      <w:color w:val="auto"/>
                      <w:kern w:val="0"/>
                      <w:sz w:val="21"/>
                      <w:szCs w:val="21"/>
                    </w:rPr>
                  </w:pPr>
                  <w:r>
                    <w:rPr>
                      <w:rFonts w:eastAsia="宋体"/>
                      <w:color w:val="auto"/>
                      <w:kern w:val="2"/>
                      <w:sz w:val="21"/>
                      <w:szCs w:val="21"/>
                    </w:rPr>
                    <w:t xml:space="preserve">0.07 </w:t>
                  </w:r>
                </w:p>
              </w:tc>
              <w:tc>
                <w:tcPr>
                  <w:tcW w:w="969" w:type="dxa"/>
                  <w:shd w:val="clear" w:color="auto" w:fill="auto"/>
                  <w:vAlign w:val="center"/>
                </w:tcPr>
                <w:p w14:paraId="13478560">
                  <w:pPr>
                    <w:jc w:val="center"/>
                    <w:rPr>
                      <w:rFonts w:eastAsia="宋体"/>
                      <w:color w:val="auto"/>
                      <w:kern w:val="2"/>
                      <w:sz w:val="21"/>
                      <w:szCs w:val="21"/>
                    </w:rPr>
                  </w:pPr>
                  <w:r>
                    <w:rPr>
                      <w:rFonts w:hint="eastAsia" w:eastAsia="宋体"/>
                      <w:color w:val="auto"/>
                      <w:kern w:val="2"/>
                      <w:sz w:val="21"/>
                      <w:szCs w:val="21"/>
                    </w:rPr>
                    <w:t>0</w:t>
                  </w:r>
                  <w:r>
                    <w:rPr>
                      <w:rFonts w:eastAsia="宋体"/>
                      <w:color w:val="auto"/>
                      <w:kern w:val="2"/>
                      <w:sz w:val="21"/>
                      <w:szCs w:val="21"/>
                    </w:rPr>
                    <w:t>.01</w:t>
                  </w:r>
                </w:p>
              </w:tc>
              <w:tc>
                <w:tcPr>
                  <w:tcW w:w="1367" w:type="dxa"/>
                  <w:shd w:val="clear" w:color="auto" w:fill="auto"/>
                  <w:vAlign w:val="center"/>
                </w:tcPr>
                <w:p w14:paraId="17F3BF56">
                  <w:pPr>
                    <w:widowControl/>
                    <w:jc w:val="center"/>
                    <w:rPr>
                      <w:rFonts w:eastAsia="宋体"/>
                      <w:color w:val="auto"/>
                      <w:kern w:val="0"/>
                      <w:sz w:val="21"/>
                      <w:szCs w:val="21"/>
                    </w:rPr>
                  </w:pPr>
                  <w:r>
                    <w:rPr>
                      <w:rFonts w:hint="eastAsia" w:eastAsia="宋体"/>
                      <w:color w:val="auto"/>
                      <w:kern w:val="0"/>
                      <w:sz w:val="21"/>
                      <w:szCs w:val="21"/>
                    </w:rPr>
                    <w:t>0</w:t>
                  </w:r>
                  <w:r>
                    <w:rPr>
                      <w:rFonts w:eastAsia="宋体"/>
                      <w:color w:val="auto"/>
                      <w:kern w:val="0"/>
                      <w:sz w:val="21"/>
                      <w:szCs w:val="21"/>
                    </w:rPr>
                    <w:t>.06</w:t>
                  </w:r>
                </w:p>
              </w:tc>
              <w:tc>
                <w:tcPr>
                  <w:tcW w:w="1292" w:type="dxa"/>
                  <w:vAlign w:val="center"/>
                </w:tcPr>
                <w:p w14:paraId="667022DF">
                  <w:pPr>
                    <w:widowControl/>
                    <w:jc w:val="center"/>
                    <w:rPr>
                      <w:rFonts w:eastAsia="宋体"/>
                      <w:color w:val="auto"/>
                      <w:kern w:val="0"/>
                      <w:sz w:val="21"/>
                      <w:szCs w:val="21"/>
                    </w:rPr>
                  </w:pPr>
                  <w:r>
                    <w:rPr>
                      <w:rFonts w:hint="eastAsia" w:eastAsia="宋体"/>
                      <w:color w:val="auto"/>
                      <w:kern w:val="0"/>
                      <w:sz w:val="21"/>
                      <w:szCs w:val="21"/>
                    </w:rPr>
                    <w:t>0</w:t>
                  </w:r>
                  <w:r>
                    <w:rPr>
                      <w:rFonts w:eastAsia="宋体"/>
                      <w:color w:val="auto"/>
                      <w:kern w:val="0"/>
                      <w:sz w:val="21"/>
                      <w:szCs w:val="21"/>
                    </w:rPr>
                    <w:t>.01</w:t>
                  </w:r>
                </w:p>
              </w:tc>
            </w:tr>
            <w:tr w14:paraId="21506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67" w:type="dxa"/>
                  <w:gridSpan w:val="2"/>
                  <w:vMerge w:val="restart"/>
                  <w:shd w:val="clear" w:color="auto" w:fill="auto"/>
                  <w:vAlign w:val="center"/>
                </w:tcPr>
                <w:p w14:paraId="5E3DD6F4">
                  <w:pPr>
                    <w:widowControl/>
                    <w:adjustRightInd w:val="0"/>
                    <w:snapToGrid w:val="0"/>
                    <w:jc w:val="center"/>
                    <w:rPr>
                      <w:color w:val="auto"/>
                      <w:kern w:val="0"/>
                      <w:sz w:val="21"/>
                      <w:szCs w:val="21"/>
                    </w:rPr>
                  </w:pPr>
                  <w:r>
                    <w:rPr>
                      <w:color w:val="auto"/>
                      <w:kern w:val="0"/>
                      <w:sz w:val="21"/>
                      <w:szCs w:val="21"/>
                    </w:rPr>
                    <w:t>固废</w:t>
                  </w:r>
                </w:p>
              </w:tc>
              <w:tc>
                <w:tcPr>
                  <w:tcW w:w="2638" w:type="dxa"/>
                  <w:shd w:val="clear" w:color="auto" w:fill="auto"/>
                  <w:vAlign w:val="center"/>
                </w:tcPr>
                <w:p w14:paraId="3C1C1C65">
                  <w:pPr>
                    <w:widowControl/>
                    <w:adjustRightInd w:val="0"/>
                    <w:snapToGrid w:val="0"/>
                    <w:jc w:val="center"/>
                    <w:rPr>
                      <w:color w:val="auto"/>
                      <w:kern w:val="0"/>
                      <w:sz w:val="21"/>
                      <w:szCs w:val="21"/>
                    </w:rPr>
                  </w:pPr>
                  <w:r>
                    <w:rPr>
                      <w:color w:val="auto"/>
                      <w:kern w:val="0"/>
                      <w:sz w:val="21"/>
                      <w:szCs w:val="21"/>
                    </w:rPr>
                    <w:t>危险固废</w:t>
                  </w:r>
                </w:p>
              </w:tc>
              <w:tc>
                <w:tcPr>
                  <w:tcW w:w="893" w:type="dxa"/>
                  <w:shd w:val="clear" w:color="auto" w:fill="auto"/>
                  <w:vAlign w:val="center"/>
                </w:tcPr>
                <w:p w14:paraId="34623D49">
                  <w:pPr>
                    <w:widowControl/>
                    <w:adjustRightInd w:val="0"/>
                    <w:snapToGrid w:val="0"/>
                    <w:jc w:val="center"/>
                    <w:rPr>
                      <w:color w:val="auto"/>
                      <w:kern w:val="0"/>
                      <w:sz w:val="21"/>
                      <w:szCs w:val="21"/>
                    </w:rPr>
                  </w:pPr>
                  <w:r>
                    <w:rPr>
                      <w:color w:val="auto"/>
                      <w:kern w:val="0"/>
                      <w:sz w:val="21"/>
                      <w:szCs w:val="21"/>
                    </w:rPr>
                    <w:t>12</w:t>
                  </w:r>
                </w:p>
              </w:tc>
              <w:tc>
                <w:tcPr>
                  <w:tcW w:w="969" w:type="dxa"/>
                  <w:shd w:val="clear" w:color="auto" w:fill="auto"/>
                  <w:vAlign w:val="center"/>
                </w:tcPr>
                <w:p w14:paraId="13DBEE41">
                  <w:pPr>
                    <w:widowControl/>
                    <w:adjustRightInd w:val="0"/>
                    <w:snapToGrid w:val="0"/>
                    <w:jc w:val="center"/>
                    <w:rPr>
                      <w:color w:val="auto"/>
                      <w:kern w:val="0"/>
                      <w:sz w:val="21"/>
                      <w:szCs w:val="21"/>
                    </w:rPr>
                  </w:pPr>
                  <w:r>
                    <w:rPr>
                      <w:rFonts w:hint="eastAsia"/>
                      <w:color w:val="auto"/>
                      <w:kern w:val="0"/>
                      <w:sz w:val="21"/>
                      <w:szCs w:val="21"/>
                    </w:rPr>
                    <w:t>1</w:t>
                  </w:r>
                  <w:r>
                    <w:rPr>
                      <w:color w:val="auto"/>
                      <w:kern w:val="0"/>
                      <w:sz w:val="21"/>
                      <w:szCs w:val="21"/>
                    </w:rPr>
                    <w:t>2</w:t>
                  </w:r>
                </w:p>
              </w:tc>
              <w:tc>
                <w:tcPr>
                  <w:tcW w:w="1367" w:type="dxa"/>
                  <w:shd w:val="clear" w:color="auto" w:fill="auto"/>
                  <w:vAlign w:val="center"/>
                </w:tcPr>
                <w:p w14:paraId="33524F49">
                  <w:pPr>
                    <w:widowControl/>
                    <w:adjustRightInd w:val="0"/>
                    <w:snapToGrid w:val="0"/>
                    <w:jc w:val="center"/>
                    <w:rPr>
                      <w:color w:val="auto"/>
                      <w:kern w:val="0"/>
                      <w:sz w:val="21"/>
                      <w:szCs w:val="21"/>
                    </w:rPr>
                  </w:pPr>
                  <w:r>
                    <w:rPr>
                      <w:color w:val="auto"/>
                      <w:kern w:val="0"/>
                      <w:sz w:val="21"/>
                      <w:szCs w:val="21"/>
                    </w:rPr>
                    <w:t>/</w:t>
                  </w:r>
                </w:p>
              </w:tc>
              <w:tc>
                <w:tcPr>
                  <w:tcW w:w="1292" w:type="dxa"/>
                  <w:vAlign w:val="center"/>
                </w:tcPr>
                <w:p w14:paraId="7E45A8FB">
                  <w:pPr>
                    <w:widowControl/>
                    <w:adjustRightInd w:val="0"/>
                    <w:snapToGrid w:val="0"/>
                    <w:jc w:val="center"/>
                    <w:rPr>
                      <w:color w:val="auto"/>
                      <w:kern w:val="0"/>
                      <w:sz w:val="21"/>
                      <w:szCs w:val="21"/>
                    </w:rPr>
                  </w:pPr>
                  <w:r>
                    <w:rPr>
                      <w:color w:val="auto"/>
                      <w:kern w:val="0"/>
                      <w:sz w:val="21"/>
                      <w:szCs w:val="21"/>
                    </w:rPr>
                    <w:t>0</w:t>
                  </w:r>
                </w:p>
              </w:tc>
            </w:tr>
            <w:tr w14:paraId="50E05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67" w:type="dxa"/>
                  <w:gridSpan w:val="2"/>
                  <w:vMerge w:val="continue"/>
                  <w:vAlign w:val="center"/>
                </w:tcPr>
                <w:p w14:paraId="1E06898B">
                  <w:pPr>
                    <w:widowControl/>
                    <w:adjustRightInd w:val="0"/>
                    <w:snapToGrid w:val="0"/>
                    <w:jc w:val="center"/>
                    <w:rPr>
                      <w:color w:val="auto"/>
                      <w:kern w:val="0"/>
                      <w:sz w:val="21"/>
                      <w:szCs w:val="21"/>
                    </w:rPr>
                  </w:pPr>
                </w:p>
              </w:tc>
              <w:tc>
                <w:tcPr>
                  <w:tcW w:w="2638" w:type="dxa"/>
                  <w:shd w:val="clear" w:color="auto" w:fill="auto"/>
                  <w:vAlign w:val="center"/>
                </w:tcPr>
                <w:p w14:paraId="48CD5E1E">
                  <w:pPr>
                    <w:widowControl/>
                    <w:adjustRightInd w:val="0"/>
                    <w:snapToGrid w:val="0"/>
                    <w:jc w:val="center"/>
                    <w:rPr>
                      <w:color w:val="auto"/>
                      <w:kern w:val="0"/>
                      <w:sz w:val="21"/>
                      <w:szCs w:val="21"/>
                    </w:rPr>
                  </w:pPr>
                  <w:r>
                    <w:rPr>
                      <w:rFonts w:hint="eastAsia"/>
                      <w:color w:val="auto"/>
                      <w:kern w:val="0"/>
                      <w:sz w:val="21"/>
                      <w:szCs w:val="21"/>
                    </w:rPr>
                    <w:t>一般固废</w:t>
                  </w:r>
                </w:p>
              </w:tc>
              <w:tc>
                <w:tcPr>
                  <w:tcW w:w="893" w:type="dxa"/>
                  <w:shd w:val="clear" w:color="auto" w:fill="auto"/>
                  <w:vAlign w:val="center"/>
                </w:tcPr>
                <w:p w14:paraId="1160B464">
                  <w:pPr>
                    <w:widowControl/>
                    <w:adjustRightInd w:val="0"/>
                    <w:snapToGrid w:val="0"/>
                    <w:jc w:val="center"/>
                    <w:rPr>
                      <w:color w:val="auto"/>
                      <w:kern w:val="0"/>
                      <w:sz w:val="21"/>
                      <w:szCs w:val="21"/>
                    </w:rPr>
                  </w:pPr>
                  <w:r>
                    <w:rPr>
                      <w:rFonts w:hint="eastAsia"/>
                      <w:color w:val="auto"/>
                      <w:kern w:val="0"/>
                      <w:sz w:val="21"/>
                      <w:szCs w:val="21"/>
                    </w:rPr>
                    <w:t>3</w:t>
                  </w:r>
                  <w:r>
                    <w:rPr>
                      <w:color w:val="auto"/>
                      <w:kern w:val="0"/>
                      <w:sz w:val="21"/>
                      <w:szCs w:val="21"/>
                    </w:rPr>
                    <w:t>20</w:t>
                  </w:r>
                </w:p>
              </w:tc>
              <w:tc>
                <w:tcPr>
                  <w:tcW w:w="969" w:type="dxa"/>
                  <w:shd w:val="clear" w:color="auto" w:fill="auto"/>
                  <w:vAlign w:val="center"/>
                </w:tcPr>
                <w:p w14:paraId="4510D84B">
                  <w:pPr>
                    <w:widowControl/>
                    <w:adjustRightInd w:val="0"/>
                    <w:snapToGrid w:val="0"/>
                    <w:jc w:val="center"/>
                    <w:rPr>
                      <w:color w:val="auto"/>
                      <w:kern w:val="0"/>
                      <w:sz w:val="21"/>
                      <w:szCs w:val="21"/>
                    </w:rPr>
                  </w:pPr>
                  <w:r>
                    <w:rPr>
                      <w:rFonts w:hint="eastAsia"/>
                      <w:color w:val="auto"/>
                      <w:kern w:val="0"/>
                      <w:sz w:val="21"/>
                      <w:szCs w:val="21"/>
                    </w:rPr>
                    <w:t>3</w:t>
                  </w:r>
                  <w:r>
                    <w:rPr>
                      <w:color w:val="auto"/>
                      <w:kern w:val="0"/>
                      <w:sz w:val="21"/>
                      <w:szCs w:val="21"/>
                    </w:rPr>
                    <w:t>20</w:t>
                  </w:r>
                </w:p>
              </w:tc>
              <w:tc>
                <w:tcPr>
                  <w:tcW w:w="1367" w:type="dxa"/>
                  <w:shd w:val="clear" w:color="auto" w:fill="auto"/>
                  <w:vAlign w:val="center"/>
                </w:tcPr>
                <w:p w14:paraId="5F629071">
                  <w:pPr>
                    <w:widowControl/>
                    <w:adjustRightInd w:val="0"/>
                    <w:snapToGrid w:val="0"/>
                    <w:jc w:val="center"/>
                    <w:rPr>
                      <w:color w:val="auto"/>
                      <w:kern w:val="0"/>
                      <w:sz w:val="21"/>
                      <w:szCs w:val="21"/>
                    </w:rPr>
                  </w:pPr>
                  <w:r>
                    <w:rPr>
                      <w:color w:val="auto"/>
                      <w:kern w:val="0"/>
                      <w:sz w:val="21"/>
                      <w:szCs w:val="21"/>
                    </w:rPr>
                    <w:t>/</w:t>
                  </w:r>
                </w:p>
              </w:tc>
              <w:tc>
                <w:tcPr>
                  <w:tcW w:w="1292" w:type="dxa"/>
                  <w:vAlign w:val="center"/>
                </w:tcPr>
                <w:p w14:paraId="6E62426D">
                  <w:pPr>
                    <w:widowControl/>
                    <w:adjustRightInd w:val="0"/>
                    <w:snapToGrid w:val="0"/>
                    <w:jc w:val="center"/>
                    <w:rPr>
                      <w:color w:val="auto"/>
                      <w:kern w:val="0"/>
                      <w:sz w:val="21"/>
                      <w:szCs w:val="21"/>
                    </w:rPr>
                  </w:pPr>
                  <w:r>
                    <w:rPr>
                      <w:color w:val="auto"/>
                      <w:kern w:val="0"/>
                      <w:sz w:val="21"/>
                      <w:szCs w:val="21"/>
                    </w:rPr>
                    <w:t>0</w:t>
                  </w:r>
                </w:p>
              </w:tc>
            </w:tr>
            <w:tr w14:paraId="2B994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67" w:type="dxa"/>
                  <w:gridSpan w:val="2"/>
                  <w:vMerge w:val="continue"/>
                  <w:vAlign w:val="center"/>
                </w:tcPr>
                <w:p w14:paraId="4E903C2B">
                  <w:pPr>
                    <w:widowControl/>
                    <w:adjustRightInd w:val="0"/>
                    <w:snapToGrid w:val="0"/>
                    <w:jc w:val="center"/>
                    <w:rPr>
                      <w:color w:val="auto"/>
                      <w:kern w:val="0"/>
                      <w:sz w:val="21"/>
                      <w:szCs w:val="21"/>
                    </w:rPr>
                  </w:pPr>
                </w:p>
              </w:tc>
              <w:tc>
                <w:tcPr>
                  <w:tcW w:w="2638" w:type="dxa"/>
                  <w:shd w:val="clear" w:color="auto" w:fill="auto"/>
                  <w:vAlign w:val="center"/>
                </w:tcPr>
                <w:p w14:paraId="2F4A325A">
                  <w:pPr>
                    <w:widowControl/>
                    <w:adjustRightInd w:val="0"/>
                    <w:snapToGrid w:val="0"/>
                    <w:jc w:val="center"/>
                    <w:rPr>
                      <w:color w:val="auto"/>
                      <w:kern w:val="0"/>
                      <w:sz w:val="21"/>
                      <w:szCs w:val="21"/>
                    </w:rPr>
                  </w:pPr>
                  <w:r>
                    <w:rPr>
                      <w:color w:val="auto"/>
                      <w:kern w:val="0"/>
                      <w:sz w:val="21"/>
                      <w:szCs w:val="21"/>
                    </w:rPr>
                    <w:t>生活垃圾</w:t>
                  </w:r>
                </w:p>
              </w:tc>
              <w:tc>
                <w:tcPr>
                  <w:tcW w:w="893" w:type="dxa"/>
                  <w:shd w:val="clear" w:color="auto" w:fill="auto"/>
                  <w:vAlign w:val="center"/>
                </w:tcPr>
                <w:p w14:paraId="6A2123B1">
                  <w:pPr>
                    <w:widowControl/>
                    <w:adjustRightInd w:val="0"/>
                    <w:snapToGrid w:val="0"/>
                    <w:jc w:val="center"/>
                    <w:rPr>
                      <w:color w:val="auto"/>
                      <w:kern w:val="0"/>
                      <w:sz w:val="21"/>
                      <w:szCs w:val="21"/>
                    </w:rPr>
                  </w:pPr>
                  <w:r>
                    <w:rPr>
                      <w:color w:val="auto"/>
                      <w:kern w:val="0"/>
                      <w:sz w:val="21"/>
                      <w:szCs w:val="21"/>
                    </w:rPr>
                    <w:t>160.6</w:t>
                  </w:r>
                </w:p>
              </w:tc>
              <w:tc>
                <w:tcPr>
                  <w:tcW w:w="969" w:type="dxa"/>
                  <w:shd w:val="clear" w:color="auto" w:fill="auto"/>
                  <w:vAlign w:val="center"/>
                </w:tcPr>
                <w:p w14:paraId="4D1A76FD">
                  <w:pPr>
                    <w:widowControl/>
                    <w:adjustRightInd w:val="0"/>
                    <w:snapToGrid w:val="0"/>
                    <w:jc w:val="center"/>
                    <w:rPr>
                      <w:color w:val="auto"/>
                      <w:kern w:val="0"/>
                      <w:sz w:val="21"/>
                      <w:szCs w:val="21"/>
                    </w:rPr>
                  </w:pPr>
                  <w:r>
                    <w:rPr>
                      <w:color w:val="auto"/>
                      <w:kern w:val="0"/>
                      <w:sz w:val="21"/>
                      <w:szCs w:val="21"/>
                    </w:rPr>
                    <w:t>160.6</w:t>
                  </w:r>
                </w:p>
              </w:tc>
              <w:tc>
                <w:tcPr>
                  <w:tcW w:w="1367" w:type="dxa"/>
                  <w:shd w:val="clear" w:color="auto" w:fill="auto"/>
                  <w:vAlign w:val="center"/>
                </w:tcPr>
                <w:p w14:paraId="1DD6EAC7">
                  <w:pPr>
                    <w:widowControl/>
                    <w:adjustRightInd w:val="0"/>
                    <w:snapToGrid w:val="0"/>
                    <w:jc w:val="center"/>
                    <w:rPr>
                      <w:color w:val="auto"/>
                      <w:kern w:val="0"/>
                      <w:sz w:val="21"/>
                      <w:szCs w:val="21"/>
                    </w:rPr>
                  </w:pPr>
                  <w:r>
                    <w:rPr>
                      <w:color w:val="auto"/>
                      <w:kern w:val="0"/>
                      <w:sz w:val="21"/>
                      <w:szCs w:val="21"/>
                    </w:rPr>
                    <w:t>/</w:t>
                  </w:r>
                </w:p>
              </w:tc>
              <w:tc>
                <w:tcPr>
                  <w:tcW w:w="1292" w:type="dxa"/>
                  <w:vAlign w:val="center"/>
                </w:tcPr>
                <w:p w14:paraId="29718000">
                  <w:pPr>
                    <w:widowControl/>
                    <w:adjustRightInd w:val="0"/>
                    <w:snapToGrid w:val="0"/>
                    <w:jc w:val="center"/>
                    <w:rPr>
                      <w:color w:val="auto"/>
                      <w:kern w:val="0"/>
                      <w:sz w:val="21"/>
                      <w:szCs w:val="21"/>
                    </w:rPr>
                  </w:pPr>
                  <w:r>
                    <w:rPr>
                      <w:color w:val="auto"/>
                      <w:kern w:val="0"/>
                      <w:sz w:val="21"/>
                      <w:szCs w:val="21"/>
                    </w:rPr>
                    <w:t>0</w:t>
                  </w:r>
                </w:p>
              </w:tc>
            </w:tr>
            <w:bookmarkEnd w:id="7"/>
          </w:tbl>
          <w:p w14:paraId="190ABCBF">
            <w:pPr>
              <w:widowControl/>
              <w:adjustRightInd w:val="0"/>
              <w:snapToGrid w:val="0"/>
              <w:spacing w:line="500" w:lineRule="exact"/>
              <w:ind w:firstLine="482" w:firstLineChars="200"/>
              <w:rPr>
                <w:rFonts w:hint="default" w:ascii="Times New Roman" w:hAnsi="Times New Roman" w:eastAsia="宋体" w:cs="Times New Roman"/>
                <w:color w:val="auto"/>
                <w:kern w:val="0"/>
                <w:sz w:val="24"/>
                <w:szCs w:val="24"/>
                <w:lang w:val="en-US" w:eastAsia="zh-CN"/>
              </w:rPr>
            </w:pPr>
            <w:r>
              <w:rPr>
                <w:rFonts w:hint="eastAsia" w:cs="Times New Roman"/>
                <w:b/>
                <w:bCs/>
                <w:color w:val="auto"/>
                <w:kern w:val="0"/>
                <w:sz w:val="24"/>
                <w:szCs w:val="24"/>
                <w:lang w:val="en-US" w:eastAsia="zh-CN"/>
              </w:rPr>
              <w:t>3、在建项目污染防治措施情况</w:t>
            </w:r>
          </w:p>
          <w:p w14:paraId="291A191E">
            <w:pPr>
              <w:widowControl/>
              <w:adjustRightInd w:val="0"/>
              <w:snapToGrid w:val="0"/>
              <w:spacing w:line="500" w:lineRule="exact"/>
              <w:ind w:firstLine="480" w:firstLineChars="200"/>
              <w:jc w:val="both"/>
              <w:rPr>
                <w:rFonts w:hint="default"/>
                <w:b/>
                <w:bCs/>
                <w:color w:val="auto"/>
                <w:sz w:val="24"/>
                <w:szCs w:val="24"/>
                <w:lang w:val="en-US"/>
              </w:rPr>
            </w:pPr>
            <w:r>
              <w:rPr>
                <w:rFonts w:hint="eastAsia" w:cs="Times New Roman"/>
                <w:color w:val="auto"/>
                <w:kern w:val="0"/>
                <w:sz w:val="24"/>
                <w:szCs w:val="24"/>
                <w:lang w:val="en-US" w:eastAsia="zh-CN"/>
              </w:rPr>
              <w:t>在建项目污染防治措施情况见下表：</w:t>
            </w:r>
          </w:p>
          <w:p w14:paraId="479FA911">
            <w:pPr>
              <w:widowControl/>
              <w:adjustRightInd w:val="0"/>
              <w:snapToGrid w:val="0"/>
              <w:spacing w:line="500" w:lineRule="exact"/>
              <w:jc w:val="center"/>
              <w:rPr>
                <w:b/>
                <w:bCs/>
                <w:color w:val="auto"/>
                <w:sz w:val="24"/>
                <w:szCs w:val="24"/>
              </w:rPr>
            </w:pPr>
            <w:r>
              <w:rPr>
                <w:rFonts w:hint="eastAsia"/>
                <w:b/>
                <w:bCs/>
                <w:color w:val="auto"/>
                <w:sz w:val="24"/>
                <w:szCs w:val="24"/>
              </w:rPr>
              <w:t>表</w:t>
            </w:r>
            <w:r>
              <w:rPr>
                <w:rFonts w:hint="eastAsia"/>
                <w:b/>
                <w:bCs/>
                <w:color w:val="auto"/>
                <w:sz w:val="24"/>
                <w:szCs w:val="24"/>
                <w:lang w:val="en-US" w:eastAsia="zh-CN"/>
              </w:rPr>
              <w:t>3.3-4  在建</w:t>
            </w:r>
            <w:r>
              <w:rPr>
                <w:rFonts w:hint="eastAsia"/>
                <w:b/>
                <w:bCs/>
                <w:color w:val="auto"/>
                <w:sz w:val="24"/>
                <w:szCs w:val="24"/>
              </w:rPr>
              <w:t>项目环保投资估算及“三同时”验收一览表</w:t>
            </w:r>
          </w:p>
          <w:tbl>
            <w:tblPr>
              <w:tblStyle w:val="89"/>
              <w:tblW w:w="5000" w:type="pct"/>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63"/>
              <w:gridCol w:w="1000"/>
              <w:gridCol w:w="1538"/>
              <w:gridCol w:w="2011"/>
              <w:gridCol w:w="2152"/>
              <w:gridCol w:w="914"/>
              <w:gridCol w:w="471"/>
            </w:tblGrid>
            <w:tr w14:paraId="5F29D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12" w:space="0"/>
                    <w:left w:val="nil"/>
                    <w:bottom w:val="single" w:color="auto" w:sz="4" w:space="0"/>
                    <w:right w:val="single" w:color="auto" w:sz="4" w:space="0"/>
                  </w:tcBorders>
                  <w:vAlign w:val="center"/>
                </w:tcPr>
                <w:p w14:paraId="06E72CE5">
                  <w:pPr>
                    <w:widowControl/>
                    <w:adjustRightInd w:val="0"/>
                    <w:snapToGrid w:val="0"/>
                    <w:jc w:val="center"/>
                    <w:rPr>
                      <w:color w:val="auto"/>
                      <w:kern w:val="2"/>
                      <w:sz w:val="21"/>
                      <w:szCs w:val="21"/>
                    </w:rPr>
                  </w:pPr>
                  <w:r>
                    <w:rPr>
                      <w:rFonts w:hint="eastAsia"/>
                      <w:b/>
                      <w:bCs/>
                      <w:color w:val="auto"/>
                      <w:kern w:val="2"/>
                      <w:sz w:val="21"/>
                      <w:szCs w:val="22"/>
                    </w:rPr>
                    <w:t>项目名称</w:t>
                  </w:r>
                </w:p>
              </w:tc>
              <w:tc>
                <w:tcPr>
                  <w:tcW w:w="12150" w:type="dxa"/>
                  <w:gridSpan w:val="6"/>
                  <w:tcBorders>
                    <w:top w:val="single" w:color="auto" w:sz="12" w:space="0"/>
                    <w:left w:val="single" w:color="auto" w:sz="4" w:space="0"/>
                    <w:bottom w:val="single" w:color="auto" w:sz="4" w:space="0"/>
                    <w:right w:val="nil"/>
                  </w:tcBorders>
                  <w:vAlign w:val="center"/>
                </w:tcPr>
                <w:p w14:paraId="6EBCB180">
                  <w:pPr>
                    <w:widowControl/>
                    <w:adjustRightInd w:val="0"/>
                    <w:snapToGrid w:val="0"/>
                    <w:jc w:val="center"/>
                    <w:rPr>
                      <w:b/>
                      <w:bCs/>
                      <w:color w:val="auto"/>
                      <w:kern w:val="2"/>
                      <w:sz w:val="21"/>
                      <w:szCs w:val="22"/>
                    </w:rPr>
                  </w:pPr>
                  <w:r>
                    <w:rPr>
                      <w:rFonts w:hint="eastAsia"/>
                      <w:b/>
                      <w:bCs/>
                      <w:color w:val="auto"/>
                      <w:kern w:val="2"/>
                      <w:sz w:val="21"/>
                      <w:szCs w:val="22"/>
                    </w:rPr>
                    <w:t>淮安港市区港区黄码作业区码头工程项目</w:t>
                  </w:r>
                </w:p>
              </w:tc>
            </w:tr>
            <w:tr w14:paraId="41451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4" w:space="0"/>
                    <w:left w:val="nil"/>
                    <w:bottom w:val="single" w:color="auto" w:sz="4" w:space="0"/>
                    <w:right w:val="single" w:color="auto" w:sz="4" w:space="0"/>
                  </w:tcBorders>
                  <w:vAlign w:val="center"/>
                </w:tcPr>
                <w:p w14:paraId="63D50B85">
                  <w:pPr>
                    <w:widowControl/>
                    <w:adjustRightInd w:val="0"/>
                    <w:snapToGrid w:val="0"/>
                    <w:jc w:val="center"/>
                    <w:rPr>
                      <w:b/>
                      <w:bCs/>
                      <w:color w:val="auto"/>
                      <w:kern w:val="2"/>
                      <w:sz w:val="21"/>
                      <w:szCs w:val="22"/>
                    </w:rPr>
                  </w:pPr>
                  <w:r>
                    <w:rPr>
                      <w:rFonts w:hint="eastAsia"/>
                      <w:b/>
                      <w:bCs/>
                      <w:color w:val="auto"/>
                      <w:kern w:val="2"/>
                      <w:sz w:val="21"/>
                      <w:szCs w:val="22"/>
                    </w:rPr>
                    <w:t>类别</w:t>
                  </w:r>
                </w:p>
              </w:tc>
              <w:tc>
                <w:tcPr>
                  <w:tcW w:w="1689" w:type="dxa"/>
                  <w:tcBorders>
                    <w:top w:val="single" w:color="auto" w:sz="4" w:space="0"/>
                    <w:left w:val="single" w:color="auto" w:sz="4" w:space="0"/>
                    <w:bottom w:val="single" w:color="auto" w:sz="4" w:space="0"/>
                    <w:right w:val="single" w:color="auto" w:sz="4" w:space="0"/>
                  </w:tcBorders>
                  <w:vAlign w:val="center"/>
                </w:tcPr>
                <w:p w14:paraId="0461F4BB">
                  <w:pPr>
                    <w:widowControl/>
                    <w:adjustRightInd w:val="0"/>
                    <w:snapToGrid w:val="0"/>
                    <w:jc w:val="center"/>
                    <w:rPr>
                      <w:b/>
                      <w:bCs/>
                      <w:color w:val="auto"/>
                      <w:kern w:val="2"/>
                      <w:sz w:val="21"/>
                      <w:szCs w:val="22"/>
                    </w:rPr>
                  </w:pPr>
                  <w:r>
                    <w:rPr>
                      <w:rFonts w:hint="eastAsia"/>
                      <w:b/>
                      <w:bCs/>
                      <w:color w:val="auto"/>
                      <w:kern w:val="2"/>
                      <w:sz w:val="21"/>
                      <w:szCs w:val="22"/>
                    </w:rPr>
                    <w:t>污染源</w:t>
                  </w:r>
                </w:p>
              </w:tc>
              <w:tc>
                <w:tcPr>
                  <w:tcW w:w="2310" w:type="dxa"/>
                  <w:tcBorders>
                    <w:top w:val="single" w:color="auto" w:sz="4" w:space="0"/>
                    <w:left w:val="single" w:color="auto" w:sz="4" w:space="0"/>
                    <w:bottom w:val="single" w:color="auto" w:sz="4" w:space="0"/>
                    <w:right w:val="single" w:color="auto" w:sz="4" w:space="0"/>
                  </w:tcBorders>
                  <w:vAlign w:val="center"/>
                </w:tcPr>
                <w:p w14:paraId="3EFE14E6">
                  <w:pPr>
                    <w:widowControl/>
                    <w:adjustRightInd w:val="0"/>
                    <w:snapToGrid w:val="0"/>
                    <w:jc w:val="center"/>
                    <w:rPr>
                      <w:b/>
                      <w:bCs/>
                      <w:color w:val="auto"/>
                      <w:kern w:val="2"/>
                      <w:sz w:val="21"/>
                      <w:szCs w:val="22"/>
                    </w:rPr>
                  </w:pPr>
                  <w:r>
                    <w:rPr>
                      <w:rFonts w:hint="eastAsia"/>
                      <w:b/>
                      <w:bCs/>
                      <w:color w:val="auto"/>
                      <w:kern w:val="2"/>
                      <w:sz w:val="21"/>
                      <w:szCs w:val="22"/>
                    </w:rPr>
                    <w:t>污染物</w:t>
                  </w:r>
                </w:p>
              </w:tc>
              <w:tc>
                <w:tcPr>
                  <w:tcW w:w="3223" w:type="dxa"/>
                  <w:tcBorders>
                    <w:top w:val="single" w:color="auto" w:sz="4" w:space="0"/>
                    <w:left w:val="single" w:color="auto" w:sz="4" w:space="0"/>
                    <w:bottom w:val="single" w:color="auto" w:sz="4" w:space="0"/>
                    <w:right w:val="single" w:color="auto" w:sz="4" w:space="0"/>
                  </w:tcBorders>
                  <w:vAlign w:val="center"/>
                </w:tcPr>
                <w:p w14:paraId="422E00A5">
                  <w:pPr>
                    <w:widowControl/>
                    <w:adjustRightInd w:val="0"/>
                    <w:snapToGrid w:val="0"/>
                    <w:jc w:val="center"/>
                    <w:rPr>
                      <w:b/>
                      <w:bCs/>
                      <w:color w:val="auto"/>
                      <w:kern w:val="2"/>
                      <w:sz w:val="21"/>
                      <w:szCs w:val="22"/>
                    </w:rPr>
                  </w:pPr>
                  <w:r>
                    <w:rPr>
                      <w:rFonts w:hint="eastAsia"/>
                      <w:b/>
                      <w:bCs/>
                      <w:color w:val="auto"/>
                      <w:kern w:val="2"/>
                      <w:sz w:val="21"/>
                      <w:szCs w:val="22"/>
                    </w:rPr>
                    <w:t>治理措施</w:t>
                  </w:r>
                </w:p>
                <w:p w14:paraId="20F3547D">
                  <w:pPr>
                    <w:widowControl/>
                    <w:adjustRightInd w:val="0"/>
                    <w:snapToGrid w:val="0"/>
                    <w:jc w:val="center"/>
                    <w:rPr>
                      <w:b/>
                      <w:bCs/>
                      <w:color w:val="auto"/>
                      <w:kern w:val="2"/>
                      <w:sz w:val="21"/>
                      <w:szCs w:val="22"/>
                    </w:rPr>
                  </w:pPr>
                  <w:r>
                    <w:rPr>
                      <w:rFonts w:hint="eastAsia"/>
                      <w:b/>
                      <w:bCs/>
                      <w:color w:val="auto"/>
                      <w:kern w:val="2"/>
                      <w:sz w:val="21"/>
                      <w:szCs w:val="22"/>
                    </w:rPr>
                    <w:t>（设施数目、规模、处理能力等）</w:t>
                  </w:r>
                </w:p>
              </w:tc>
              <w:tc>
                <w:tcPr>
                  <w:tcW w:w="2891" w:type="dxa"/>
                  <w:tcBorders>
                    <w:top w:val="single" w:color="auto" w:sz="4" w:space="0"/>
                    <w:left w:val="single" w:color="auto" w:sz="4" w:space="0"/>
                    <w:bottom w:val="single" w:color="auto" w:sz="4" w:space="0"/>
                    <w:right w:val="single" w:color="auto" w:sz="4" w:space="0"/>
                  </w:tcBorders>
                  <w:vAlign w:val="center"/>
                </w:tcPr>
                <w:p w14:paraId="05BBAF56">
                  <w:pPr>
                    <w:widowControl/>
                    <w:adjustRightInd w:val="0"/>
                    <w:snapToGrid w:val="0"/>
                    <w:jc w:val="center"/>
                    <w:rPr>
                      <w:b/>
                      <w:bCs/>
                      <w:color w:val="auto"/>
                      <w:kern w:val="2"/>
                      <w:sz w:val="21"/>
                      <w:szCs w:val="22"/>
                    </w:rPr>
                  </w:pPr>
                  <w:r>
                    <w:rPr>
                      <w:rFonts w:hint="eastAsia"/>
                      <w:b/>
                      <w:bCs/>
                      <w:color w:val="auto"/>
                      <w:kern w:val="2"/>
                      <w:sz w:val="21"/>
                      <w:szCs w:val="22"/>
                    </w:rPr>
                    <w:t>处理效果、执行标准或拟达标准</w:t>
                  </w:r>
                </w:p>
              </w:tc>
              <w:tc>
                <w:tcPr>
                  <w:tcW w:w="1341" w:type="dxa"/>
                  <w:tcBorders>
                    <w:top w:val="single" w:color="auto" w:sz="4" w:space="0"/>
                    <w:left w:val="single" w:color="auto" w:sz="4" w:space="0"/>
                    <w:bottom w:val="single" w:color="auto" w:sz="4" w:space="0"/>
                    <w:right w:val="single" w:color="auto" w:sz="4" w:space="0"/>
                  </w:tcBorders>
                  <w:vAlign w:val="center"/>
                </w:tcPr>
                <w:p w14:paraId="49681019">
                  <w:pPr>
                    <w:widowControl/>
                    <w:adjustRightInd w:val="0"/>
                    <w:snapToGrid w:val="0"/>
                    <w:jc w:val="center"/>
                    <w:rPr>
                      <w:b/>
                      <w:bCs/>
                      <w:color w:val="auto"/>
                      <w:kern w:val="2"/>
                      <w:sz w:val="21"/>
                      <w:szCs w:val="22"/>
                    </w:rPr>
                  </w:pPr>
                  <w:r>
                    <w:rPr>
                      <w:rFonts w:hint="eastAsia"/>
                      <w:b/>
                      <w:bCs/>
                      <w:color w:val="auto"/>
                      <w:kern w:val="2"/>
                      <w:sz w:val="21"/>
                      <w:szCs w:val="22"/>
                    </w:rPr>
                    <w:t>环保投资</w:t>
                  </w:r>
                </w:p>
                <w:p w14:paraId="02E31A7E">
                  <w:pPr>
                    <w:widowControl/>
                    <w:adjustRightInd w:val="0"/>
                    <w:snapToGrid w:val="0"/>
                    <w:jc w:val="center"/>
                    <w:rPr>
                      <w:b/>
                      <w:bCs/>
                      <w:color w:val="auto"/>
                      <w:kern w:val="2"/>
                      <w:sz w:val="21"/>
                      <w:szCs w:val="22"/>
                    </w:rPr>
                  </w:pPr>
                  <w:r>
                    <w:rPr>
                      <w:rFonts w:hint="eastAsia"/>
                      <w:b/>
                      <w:bCs/>
                      <w:color w:val="auto"/>
                      <w:kern w:val="2"/>
                      <w:sz w:val="21"/>
                      <w:szCs w:val="22"/>
                    </w:rPr>
                    <w:t>（万元）</w:t>
                  </w:r>
                </w:p>
              </w:tc>
              <w:tc>
                <w:tcPr>
                  <w:tcW w:w="696" w:type="dxa"/>
                  <w:tcBorders>
                    <w:top w:val="single" w:color="auto" w:sz="4" w:space="0"/>
                    <w:left w:val="single" w:color="auto" w:sz="4" w:space="0"/>
                    <w:bottom w:val="single" w:color="auto" w:sz="4" w:space="0"/>
                    <w:right w:val="nil"/>
                  </w:tcBorders>
                  <w:vAlign w:val="center"/>
                </w:tcPr>
                <w:p w14:paraId="6EF1D8DD">
                  <w:pPr>
                    <w:widowControl/>
                    <w:adjustRightInd w:val="0"/>
                    <w:snapToGrid w:val="0"/>
                    <w:jc w:val="center"/>
                    <w:rPr>
                      <w:b/>
                      <w:bCs/>
                      <w:color w:val="auto"/>
                      <w:kern w:val="2"/>
                      <w:sz w:val="21"/>
                      <w:szCs w:val="22"/>
                    </w:rPr>
                  </w:pPr>
                  <w:r>
                    <w:rPr>
                      <w:rFonts w:hint="eastAsia"/>
                      <w:b/>
                      <w:bCs/>
                      <w:color w:val="auto"/>
                      <w:kern w:val="2"/>
                      <w:sz w:val="21"/>
                      <w:szCs w:val="22"/>
                    </w:rPr>
                    <w:t>完成时间</w:t>
                  </w:r>
                </w:p>
              </w:tc>
            </w:tr>
            <w:tr w14:paraId="2C9EF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5" w:hRule="atLeast"/>
              </w:trPr>
              <w:tc>
                <w:tcPr>
                  <w:tcW w:w="1815" w:type="dxa"/>
                  <w:tcBorders>
                    <w:top w:val="single" w:color="auto" w:sz="4" w:space="0"/>
                    <w:left w:val="nil"/>
                    <w:bottom w:val="single" w:color="auto" w:sz="4" w:space="0"/>
                    <w:right w:val="single" w:color="auto" w:sz="4" w:space="0"/>
                  </w:tcBorders>
                  <w:vAlign w:val="center"/>
                </w:tcPr>
                <w:p w14:paraId="7542C508">
                  <w:pPr>
                    <w:widowControl/>
                    <w:adjustRightInd w:val="0"/>
                    <w:snapToGrid w:val="0"/>
                    <w:jc w:val="center"/>
                    <w:rPr>
                      <w:color w:val="auto"/>
                      <w:kern w:val="2"/>
                      <w:sz w:val="21"/>
                      <w:szCs w:val="22"/>
                    </w:rPr>
                  </w:pPr>
                  <w:r>
                    <w:rPr>
                      <w:rFonts w:hint="eastAsia"/>
                      <w:color w:val="auto"/>
                      <w:kern w:val="2"/>
                      <w:sz w:val="21"/>
                      <w:szCs w:val="22"/>
                    </w:rPr>
                    <w:t>废气</w:t>
                  </w:r>
                </w:p>
              </w:tc>
              <w:tc>
                <w:tcPr>
                  <w:tcW w:w="1689" w:type="dxa"/>
                  <w:tcBorders>
                    <w:top w:val="single" w:color="auto" w:sz="4" w:space="0"/>
                    <w:left w:val="single" w:color="auto" w:sz="4" w:space="0"/>
                    <w:bottom w:val="single" w:color="auto" w:sz="4" w:space="0"/>
                    <w:right w:val="single" w:color="auto" w:sz="4" w:space="0"/>
                  </w:tcBorders>
                  <w:vAlign w:val="center"/>
                </w:tcPr>
                <w:p w14:paraId="0063018B">
                  <w:pPr>
                    <w:adjustRightInd w:val="0"/>
                    <w:snapToGrid w:val="0"/>
                    <w:jc w:val="center"/>
                    <w:rPr>
                      <w:color w:val="auto"/>
                      <w:kern w:val="2"/>
                      <w:sz w:val="21"/>
                      <w:szCs w:val="22"/>
                    </w:rPr>
                  </w:pPr>
                  <w:r>
                    <w:rPr>
                      <w:rFonts w:hint="eastAsia"/>
                      <w:color w:val="auto"/>
                      <w:kern w:val="2"/>
                      <w:sz w:val="21"/>
                      <w:szCs w:val="22"/>
                    </w:rPr>
                    <w:t>无组织</w:t>
                  </w:r>
                </w:p>
              </w:tc>
              <w:tc>
                <w:tcPr>
                  <w:tcW w:w="2310" w:type="dxa"/>
                  <w:tcBorders>
                    <w:top w:val="single" w:color="auto" w:sz="4" w:space="0"/>
                    <w:left w:val="single" w:color="auto" w:sz="4" w:space="0"/>
                    <w:bottom w:val="single" w:color="auto" w:sz="4" w:space="0"/>
                    <w:right w:val="single" w:color="auto" w:sz="4" w:space="0"/>
                  </w:tcBorders>
                  <w:vAlign w:val="center"/>
                </w:tcPr>
                <w:p w14:paraId="4F0B07A9">
                  <w:pPr>
                    <w:adjustRightInd w:val="0"/>
                    <w:snapToGrid w:val="0"/>
                    <w:jc w:val="center"/>
                    <w:rPr>
                      <w:color w:val="auto"/>
                      <w:kern w:val="2"/>
                      <w:sz w:val="21"/>
                      <w:szCs w:val="22"/>
                    </w:rPr>
                  </w:pPr>
                  <w:r>
                    <w:rPr>
                      <w:rFonts w:hint="eastAsia"/>
                      <w:color w:val="auto"/>
                      <w:kern w:val="2"/>
                      <w:sz w:val="21"/>
                      <w:szCs w:val="22"/>
                    </w:rPr>
                    <w:t>颗粒物、非甲烷总烃、氮氧化物</w:t>
                  </w:r>
                </w:p>
              </w:tc>
              <w:tc>
                <w:tcPr>
                  <w:tcW w:w="3223" w:type="dxa"/>
                  <w:tcBorders>
                    <w:top w:val="single" w:color="auto" w:sz="4" w:space="0"/>
                    <w:left w:val="single" w:color="auto" w:sz="4" w:space="0"/>
                    <w:bottom w:val="single" w:color="auto" w:sz="4" w:space="0"/>
                    <w:right w:val="single" w:color="auto" w:sz="4" w:space="0"/>
                  </w:tcBorders>
                  <w:vAlign w:val="center"/>
                </w:tcPr>
                <w:p w14:paraId="173B8A9A">
                  <w:pPr>
                    <w:adjustRightInd w:val="0"/>
                    <w:snapToGrid w:val="0"/>
                    <w:jc w:val="center"/>
                    <w:rPr>
                      <w:rFonts w:ascii="Calibri" w:hAnsi="Calibri" w:eastAsia="宋体"/>
                      <w:color w:val="auto"/>
                      <w:kern w:val="2"/>
                      <w:sz w:val="21"/>
                      <w:szCs w:val="22"/>
                    </w:rPr>
                  </w:pPr>
                  <w:r>
                    <w:rPr>
                      <w:rFonts w:hint="eastAsia"/>
                      <w:color w:val="auto"/>
                      <w:kern w:val="0"/>
                      <w:sz w:val="21"/>
                      <w:szCs w:val="22"/>
                    </w:rPr>
                    <w:t>1）采用散货连续装船机；装船机皮带头部设置密闭罩；装船机尾车、臂架皮带机两侧及装船机行走段皮带机 设置挡风板，廊道予以封闭；装船机头部、导料槽设置喷嘴。 2）采用桥式抓斗式卸船机卸料漏斗上方四周设置挡尘 板和喷雾装置，漏斗下口与皮带机接触部分设置橡胶 防尘帘和喷雾装置。 3）码头前沿输送廊道两侧设置</w:t>
                  </w:r>
                  <w:r>
                    <w:rPr>
                      <w:rFonts w:hint="eastAsia"/>
                      <w:color w:val="auto"/>
                      <w:kern w:val="0"/>
                      <w:sz w:val="21"/>
                      <w:szCs w:val="22"/>
                      <w:lang w:eastAsia="zh-CN"/>
                    </w:rPr>
                    <w:t>挡风板</w:t>
                  </w:r>
                  <w:r>
                    <w:rPr>
                      <w:rFonts w:hint="eastAsia"/>
                      <w:color w:val="auto"/>
                      <w:kern w:val="0"/>
                      <w:sz w:val="21"/>
                      <w:szCs w:val="22"/>
                    </w:rPr>
                    <w:t>，转运站运输采用密闭管带机传输，</w:t>
                  </w:r>
                  <w:r>
                    <w:rPr>
                      <w:color w:val="auto"/>
                      <w:kern w:val="0"/>
                      <w:sz w:val="21"/>
                      <w:szCs w:val="22"/>
                    </w:rPr>
                    <w:t>4</w:t>
                  </w:r>
                  <w:r>
                    <w:rPr>
                      <w:rFonts w:hint="eastAsia"/>
                      <w:color w:val="auto"/>
                      <w:kern w:val="0"/>
                      <w:sz w:val="21"/>
                      <w:szCs w:val="22"/>
                    </w:rPr>
                    <w:t>）设置密闭堆场，并配备防尘网、设置固定式喷枪洒水装置。</w:t>
                  </w:r>
                </w:p>
              </w:tc>
              <w:tc>
                <w:tcPr>
                  <w:tcW w:w="2891" w:type="dxa"/>
                  <w:tcBorders>
                    <w:top w:val="single" w:color="auto" w:sz="4" w:space="0"/>
                    <w:left w:val="single" w:color="auto" w:sz="4" w:space="0"/>
                    <w:bottom w:val="single" w:color="auto" w:sz="4" w:space="0"/>
                    <w:right w:val="single" w:color="auto" w:sz="4" w:space="0"/>
                  </w:tcBorders>
                  <w:vAlign w:val="center"/>
                </w:tcPr>
                <w:p w14:paraId="6AE44C51">
                  <w:pPr>
                    <w:adjustRightInd w:val="0"/>
                    <w:snapToGrid w:val="0"/>
                    <w:jc w:val="center"/>
                    <w:rPr>
                      <w:color w:val="auto"/>
                      <w:kern w:val="2"/>
                      <w:sz w:val="21"/>
                      <w:szCs w:val="22"/>
                    </w:rPr>
                  </w:pPr>
                  <w:r>
                    <w:rPr>
                      <w:rFonts w:hint="eastAsia"/>
                      <w:color w:val="auto"/>
                      <w:kern w:val="2"/>
                      <w:sz w:val="21"/>
                      <w:szCs w:val="22"/>
                    </w:rPr>
                    <w:t>达标排放</w:t>
                  </w:r>
                </w:p>
              </w:tc>
              <w:tc>
                <w:tcPr>
                  <w:tcW w:w="1341" w:type="dxa"/>
                  <w:tcBorders>
                    <w:top w:val="single" w:color="auto" w:sz="4" w:space="0"/>
                    <w:left w:val="single" w:color="auto" w:sz="4" w:space="0"/>
                    <w:bottom w:val="single" w:color="auto" w:sz="4" w:space="0"/>
                    <w:right w:val="single" w:color="auto" w:sz="4" w:space="0"/>
                  </w:tcBorders>
                  <w:vAlign w:val="center"/>
                </w:tcPr>
                <w:p w14:paraId="28E1C1CF">
                  <w:pPr>
                    <w:widowControl/>
                    <w:adjustRightInd w:val="0"/>
                    <w:snapToGrid w:val="0"/>
                    <w:jc w:val="center"/>
                    <w:rPr>
                      <w:color w:val="auto"/>
                      <w:kern w:val="2"/>
                      <w:sz w:val="21"/>
                      <w:szCs w:val="22"/>
                    </w:rPr>
                  </w:pPr>
                  <w:r>
                    <w:rPr>
                      <w:color w:val="auto"/>
                      <w:kern w:val="2"/>
                      <w:sz w:val="21"/>
                      <w:szCs w:val="22"/>
                    </w:rPr>
                    <w:t>5000</w:t>
                  </w:r>
                </w:p>
              </w:tc>
              <w:tc>
                <w:tcPr>
                  <w:tcW w:w="696" w:type="dxa"/>
                  <w:vMerge w:val="restart"/>
                  <w:tcBorders>
                    <w:top w:val="single" w:color="auto" w:sz="4" w:space="0"/>
                    <w:left w:val="single" w:color="auto" w:sz="4" w:space="0"/>
                    <w:bottom w:val="single" w:color="auto" w:sz="4" w:space="0"/>
                    <w:right w:val="nil"/>
                  </w:tcBorders>
                  <w:vAlign w:val="center"/>
                </w:tcPr>
                <w:p w14:paraId="30C5A493">
                  <w:pPr>
                    <w:widowControl/>
                    <w:adjustRightInd w:val="0"/>
                    <w:snapToGrid w:val="0"/>
                    <w:jc w:val="center"/>
                    <w:rPr>
                      <w:color w:val="auto"/>
                      <w:kern w:val="2"/>
                      <w:sz w:val="21"/>
                      <w:szCs w:val="22"/>
                    </w:rPr>
                  </w:pPr>
                  <w:r>
                    <w:rPr>
                      <w:rFonts w:hint="eastAsia"/>
                      <w:color w:val="auto"/>
                      <w:kern w:val="2"/>
                      <w:sz w:val="21"/>
                      <w:szCs w:val="22"/>
                    </w:rPr>
                    <w:t>与拟建项目同步实施</w:t>
                  </w:r>
                </w:p>
              </w:tc>
            </w:tr>
            <w:tr w14:paraId="1F50E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vMerge w:val="restart"/>
                  <w:tcBorders>
                    <w:top w:val="single" w:color="auto" w:sz="4" w:space="0"/>
                    <w:left w:val="nil"/>
                    <w:right w:val="single" w:color="auto" w:sz="4" w:space="0"/>
                  </w:tcBorders>
                  <w:vAlign w:val="center"/>
                </w:tcPr>
                <w:p w14:paraId="5C42C784">
                  <w:pPr>
                    <w:widowControl/>
                    <w:adjustRightInd w:val="0"/>
                    <w:snapToGrid w:val="0"/>
                    <w:jc w:val="center"/>
                    <w:rPr>
                      <w:color w:val="auto"/>
                      <w:kern w:val="2"/>
                      <w:sz w:val="21"/>
                      <w:szCs w:val="22"/>
                    </w:rPr>
                  </w:pPr>
                  <w:r>
                    <w:rPr>
                      <w:rFonts w:hint="eastAsia"/>
                      <w:color w:val="auto"/>
                      <w:kern w:val="2"/>
                      <w:sz w:val="21"/>
                      <w:szCs w:val="22"/>
                    </w:rPr>
                    <w:t>废水</w:t>
                  </w:r>
                </w:p>
              </w:tc>
              <w:tc>
                <w:tcPr>
                  <w:tcW w:w="1689" w:type="dxa"/>
                  <w:tcBorders>
                    <w:top w:val="single" w:color="auto" w:sz="4" w:space="0"/>
                    <w:left w:val="single" w:color="auto" w:sz="4" w:space="0"/>
                    <w:bottom w:val="single" w:color="auto" w:sz="4" w:space="0"/>
                    <w:right w:val="single" w:color="auto" w:sz="4" w:space="0"/>
                  </w:tcBorders>
                  <w:vAlign w:val="center"/>
                </w:tcPr>
                <w:p w14:paraId="7FECC883">
                  <w:pPr>
                    <w:widowControl/>
                    <w:adjustRightInd w:val="0"/>
                    <w:snapToGrid w:val="0"/>
                    <w:jc w:val="center"/>
                    <w:rPr>
                      <w:color w:val="auto"/>
                      <w:kern w:val="2"/>
                      <w:sz w:val="21"/>
                      <w:szCs w:val="22"/>
                    </w:rPr>
                  </w:pPr>
                  <w:r>
                    <w:rPr>
                      <w:rFonts w:hint="eastAsia"/>
                      <w:color w:val="auto"/>
                      <w:kern w:val="2"/>
                      <w:sz w:val="21"/>
                      <w:szCs w:val="22"/>
                    </w:rPr>
                    <w:t>生活废水</w:t>
                  </w:r>
                </w:p>
              </w:tc>
              <w:tc>
                <w:tcPr>
                  <w:tcW w:w="2310" w:type="dxa"/>
                  <w:tcBorders>
                    <w:top w:val="single" w:color="auto" w:sz="4" w:space="0"/>
                    <w:left w:val="single" w:color="auto" w:sz="4" w:space="0"/>
                    <w:bottom w:val="single" w:color="auto" w:sz="4" w:space="0"/>
                    <w:right w:val="single" w:color="auto" w:sz="4" w:space="0"/>
                  </w:tcBorders>
                  <w:vAlign w:val="center"/>
                </w:tcPr>
                <w:p w14:paraId="18B7A72A">
                  <w:pPr>
                    <w:adjustRightInd w:val="0"/>
                    <w:snapToGrid w:val="0"/>
                    <w:jc w:val="center"/>
                    <w:rPr>
                      <w:color w:val="auto"/>
                      <w:kern w:val="2"/>
                      <w:sz w:val="21"/>
                      <w:szCs w:val="22"/>
                    </w:rPr>
                  </w:pPr>
                  <w:r>
                    <w:rPr>
                      <w:color w:val="auto"/>
                      <w:kern w:val="2"/>
                      <w:sz w:val="21"/>
                      <w:szCs w:val="22"/>
                    </w:rPr>
                    <w:t>COD</w:t>
                  </w:r>
                  <w:r>
                    <w:rPr>
                      <w:rFonts w:hint="eastAsia"/>
                      <w:color w:val="auto"/>
                      <w:kern w:val="2"/>
                      <w:sz w:val="21"/>
                      <w:szCs w:val="22"/>
                    </w:rPr>
                    <w:t>、</w:t>
                  </w:r>
                  <w:r>
                    <w:rPr>
                      <w:color w:val="auto"/>
                      <w:kern w:val="2"/>
                      <w:sz w:val="21"/>
                      <w:szCs w:val="22"/>
                    </w:rPr>
                    <w:t>SS</w:t>
                  </w:r>
                  <w:r>
                    <w:rPr>
                      <w:rFonts w:hint="eastAsia"/>
                      <w:color w:val="auto"/>
                      <w:kern w:val="2"/>
                      <w:sz w:val="21"/>
                      <w:szCs w:val="22"/>
                    </w:rPr>
                    <w:t>、氨氮、总氮、总磷</w:t>
                  </w:r>
                </w:p>
              </w:tc>
              <w:tc>
                <w:tcPr>
                  <w:tcW w:w="3223" w:type="dxa"/>
                  <w:tcBorders>
                    <w:top w:val="single" w:color="auto" w:sz="4" w:space="0"/>
                    <w:left w:val="single" w:color="auto" w:sz="4" w:space="0"/>
                    <w:bottom w:val="single" w:color="auto" w:sz="4" w:space="0"/>
                    <w:right w:val="single" w:color="auto" w:sz="4" w:space="0"/>
                  </w:tcBorders>
                  <w:vAlign w:val="center"/>
                </w:tcPr>
                <w:p w14:paraId="591DF937">
                  <w:pPr>
                    <w:adjustRightInd w:val="0"/>
                    <w:snapToGrid w:val="0"/>
                    <w:jc w:val="center"/>
                    <w:rPr>
                      <w:color w:val="auto"/>
                      <w:kern w:val="2"/>
                      <w:sz w:val="21"/>
                      <w:szCs w:val="22"/>
                    </w:rPr>
                  </w:pPr>
                  <w:r>
                    <w:rPr>
                      <w:rFonts w:hint="eastAsia"/>
                      <w:color w:val="auto"/>
                      <w:kern w:val="2"/>
                      <w:sz w:val="21"/>
                      <w:szCs w:val="22"/>
                    </w:rPr>
                    <w:t>化粪池处理后接管</w:t>
                  </w:r>
                </w:p>
              </w:tc>
              <w:tc>
                <w:tcPr>
                  <w:tcW w:w="2891" w:type="dxa"/>
                  <w:tcBorders>
                    <w:top w:val="single" w:color="auto" w:sz="4" w:space="0"/>
                    <w:left w:val="single" w:color="auto" w:sz="4" w:space="0"/>
                    <w:bottom w:val="single" w:color="auto" w:sz="4" w:space="0"/>
                    <w:right w:val="single" w:color="auto" w:sz="4" w:space="0"/>
                  </w:tcBorders>
                  <w:vAlign w:val="center"/>
                </w:tcPr>
                <w:p w14:paraId="3AB87BA2">
                  <w:pPr>
                    <w:widowControl/>
                    <w:adjustRightInd w:val="0"/>
                    <w:snapToGrid w:val="0"/>
                    <w:jc w:val="center"/>
                    <w:rPr>
                      <w:color w:val="auto"/>
                      <w:kern w:val="2"/>
                      <w:sz w:val="21"/>
                      <w:szCs w:val="22"/>
                    </w:rPr>
                  </w:pPr>
                  <w:r>
                    <w:rPr>
                      <w:rFonts w:hint="eastAsia"/>
                      <w:color w:val="auto"/>
                      <w:kern w:val="2"/>
                      <w:sz w:val="21"/>
                      <w:szCs w:val="22"/>
                    </w:rPr>
                    <w:t>达接管标准</w:t>
                  </w:r>
                </w:p>
              </w:tc>
              <w:tc>
                <w:tcPr>
                  <w:tcW w:w="1341" w:type="dxa"/>
                  <w:tcBorders>
                    <w:top w:val="single" w:color="auto" w:sz="4" w:space="0"/>
                    <w:left w:val="single" w:color="auto" w:sz="4" w:space="0"/>
                    <w:bottom w:val="single" w:color="auto" w:sz="4" w:space="0"/>
                    <w:right w:val="single" w:color="auto" w:sz="4" w:space="0"/>
                  </w:tcBorders>
                  <w:vAlign w:val="center"/>
                </w:tcPr>
                <w:p w14:paraId="070D1E4F">
                  <w:pPr>
                    <w:widowControl/>
                    <w:adjustRightInd w:val="0"/>
                    <w:snapToGrid w:val="0"/>
                    <w:jc w:val="center"/>
                    <w:rPr>
                      <w:color w:val="auto"/>
                      <w:kern w:val="2"/>
                      <w:sz w:val="21"/>
                      <w:szCs w:val="22"/>
                    </w:rPr>
                  </w:pPr>
                  <w:r>
                    <w:rPr>
                      <w:color w:val="auto"/>
                      <w:kern w:val="2"/>
                      <w:sz w:val="21"/>
                      <w:szCs w:val="22"/>
                    </w:rPr>
                    <w:t>50</w:t>
                  </w:r>
                </w:p>
              </w:tc>
              <w:tc>
                <w:tcPr>
                  <w:tcW w:w="696" w:type="dxa"/>
                  <w:vMerge w:val="continue"/>
                  <w:tcBorders>
                    <w:top w:val="single" w:color="auto" w:sz="4" w:space="0"/>
                    <w:left w:val="single" w:color="auto" w:sz="4" w:space="0"/>
                    <w:bottom w:val="single" w:color="auto" w:sz="4" w:space="0"/>
                    <w:right w:val="nil"/>
                  </w:tcBorders>
                  <w:vAlign w:val="center"/>
                </w:tcPr>
                <w:p w14:paraId="539C5C44">
                  <w:pPr>
                    <w:widowControl/>
                    <w:jc w:val="left"/>
                    <w:rPr>
                      <w:color w:val="auto"/>
                      <w:kern w:val="2"/>
                      <w:sz w:val="21"/>
                      <w:szCs w:val="22"/>
                    </w:rPr>
                  </w:pPr>
                </w:p>
              </w:tc>
            </w:tr>
            <w:tr w14:paraId="11DF1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vMerge w:val="continue"/>
                  <w:tcBorders>
                    <w:left w:val="nil"/>
                    <w:bottom w:val="single" w:color="auto" w:sz="4" w:space="0"/>
                    <w:right w:val="single" w:color="auto" w:sz="4" w:space="0"/>
                  </w:tcBorders>
                  <w:vAlign w:val="center"/>
                </w:tcPr>
                <w:p w14:paraId="26A07409">
                  <w:pPr>
                    <w:widowControl/>
                    <w:adjustRightInd w:val="0"/>
                    <w:snapToGrid w:val="0"/>
                    <w:jc w:val="center"/>
                    <w:rPr>
                      <w:color w:val="auto"/>
                      <w:kern w:val="2"/>
                      <w:sz w:val="21"/>
                      <w:szCs w:val="22"/>
                    </w:rPr>
                  </w:pPr>
                </w:p>
              </w:tc>
              <w:tc>
                <w:tcPr>
                  <w:tcW w:w="1689" w:type="dxa"/>
                  <w:tcBorders>
                    <w:top w:val="single" w:color="auto" w:sz="4" w:space="0"/>
                    <w:left w:val="single" w:color="auto" w:sz="4" w:space="0"/>
                    <w:bottom w:val="single" w:color="auto" w:sz="4" w:space="0"/>
                    <w:right w:val="single" w:color="auto" w:sz="4" w:space="0"/>
                  </w:tcBorders>
                  <w:vAlign w:val="center"/>
                </w:tcPr>
                <w:p w14:paraId="24B75E56">
                  <w:pPr>
                    <w:widowControl/>
                    <w:adjustRightInd w:val="0"/>
                    <w:snapToGrid w:val="0"/>
                    <w:jc w:val="center"/>
                    <w:rPr>
                      <w:color w:val="auto"/>
                      <w:kern w:val="2"/>
                      <w:sz w:val="21"/>
                      <w:szCs w:val="22"/>
                    </w:rPr>
                  </w:pPr>
                  <w:r>
                    <w:rPr>
                      <w:rFonts w:hint="eastAsia"/>
                      <w:color w:val="auto"/>
                      <w:kern w:val="2"/>
                      <w:sz w:val="21"/>
                      <w:szCs w:val="22"/>
                    </w:rPr>
                    <w:t>冲洗废水及初期雨水</w:t>
                  </w:r>
                </w:p>
              </w:tc>
              <w:tc>
                <w:tcPr>
                  <w:tcW w:w="2310" w:type="dxa"/>
                  <w:tcBorders>
                    <w:top w:val="single" w:color="auto" w:sz="4" w:space="0"/>
                    <w:left w:val="single" w:color="auto" w:sz="4" w:space="0"/>
                    <w:bottom w:val="single" w:color="auto" w:sz="4" w:space="0"/>
                    <w:right w:val="single" w:color="auto" w:sz="4" w:space="0"/>
                  </w:tcBorders>
                  <w:vAlign w:val="center"/>
                </w:tcPr>
                <w:p w14:paraId="4C7B4B14">
                  <w:pPr>
                    <w:adjustRightInd w:val="0"/>
                    <w:snapToGrid w:val="0"/>
                    <w:jc w:val="center"/>
                    <w:rPr>
                      <w:color w:val="auto"/>
                      <w:kern w:val="2"/>
                      <w:sz w:val="21"/>
                      <w:szCs w:val="22"/>
                    </w:rPr>
                  </w:pPr>
                  <w:r>
                    <w:rPr>
                      <w:rFonts w:hint="eastAsia"/>
                      <w:color w:val="auto"/>
                      <w:kern w:val="2"/>
                      <w:sz w:val="21"/>
                      <w:szCs w:val="22"/>
                    </w:rPr>
                    <w:t>C</w:t>
                  </w:r>
                  <w:r>
                    <w:rPr>
                      <w:color w:val="auto"/>
                      <w:kern w:val="2"/>
                      <w:sz w:val="21"/>
                      <w:szCs w:val="22"/>
                    </w:rPr>
                    <w:t>OD</w:t>
                  </w:r>
                  <w:r>
                    <w:rPr>
                      <w:rFonts w:hint="eastAsia"/>
                      <w:color w:val="auto"/>
                      <w:kern w:val="2"/>
                      <w:sz w:val="21"/>
                      <w:szCs w:val="22"/>
                    </w:rPr>
                    <w:t>、S</w:t>
                  </w:r>
                  <w:r>
                    <w:rPr>
                      <w:color w:val="auto"/>
                      <w:kern w:val="2"/>
                      <w:sz w:val="21"/>
                      <w:szCs w:val="22"/>
                    </w:rPr>
                    <w:t>S</w:t>
                  </w:r>
                  <w:r>
                    <w:rPr>
                      <w:rFonts w:hint="eastAsia"/>
                      <w:color w:val="auto"/>
                      <w:kern w:val="2"/>
                      <w:sz w:val="21"/>
                      <w:szCs w:val="22"/>
                    </w:rPr>
                    <w:t>、氨氮、石油类</w:t>
                  </w:r>
                </w:p>
              </w:tc>
              <w:tc>
                <w:tcPr>
                  <w:tcW w:w="3223" w:type="dxa"/>
                  <w:tcBorders>
                    <w:top w:val="single" w:color="auto" w:sz="4" w:space="0"/>
                    <w:left w:val="single" w:color="auto" w:sz="4" w:space="0"/>
                    <w:bottom w:val="single" w:color="auto" w:sz="4" w:space="0"/>
                    <w:right w:val="single" w:color="auto" w:sz="4" w:space="0"/>
                  </w:tcBorders>
                  <w:vAlign w:val="center"/>
                </w:tcPr>
                <w:p w14:paraId="04346030">
                  <w:pPr>
                    <w:adjustRightInd w:val="0"/>
                    <w:snapToGrid w:val="0"/>
                    <w:jc w:val="center"/>
                    <w:rPr>
                      <w:color w:val="auto"/>
                      <w:kern w:val="2"/>
                      <w:sz w:val="21"/>
                      <w:szCs w:val="22"/>
                    </w:rPr>
                  </w:pPr>
                  <w:r>
                    <w:rPr>
                      <w:rFonts w:hint="eastAsia"/>
                      <w:color w:val="auto"/>
                      <w:kern w:val="2"/>
                      <w:sz w:val="21"/>
                      <w:szCs w:val="22"/>
                    </w:rPr>
                    <w:t>隔油+沉淀池处理后回用</w:t>
                  </w:r>
                </w:p>
              </w:tc>
              <w:tc>
                <w:tcPr>
                  <w:tcW w:w="2891" w:type="dxa"/>
                  <w:tcBorders>
                    <w:top w:val="single" w:color="auto" w:sz="4" w:space="0"/>
                    <w:left w:val="single" w:color="auto" w:sz="4" w:space="0"/>
                    <w:bottom w:val="single" w:color="auto" w:sz="4" w:space="0"/>
                    <w:right w:val="single" w:color="auto" w:sz="4" w:space="0"/>
                  </w:tcBorders>
                  <w:vAlign w:val="center"/>
                </w:tcPr>
                <w:p w14:paraId="3E94E396">
                  <w:pPr>
                    <w:widowControl/>
                    <w:adjustRightInd w:val="0"/>
                    <w:snapToGrid w:val="0"/>
                    <w:jc w:val="center"/>
                    <w:rPr>
                      <w:color w:val="auto"/>
                      <w:kern w:val="2"/>
                      <w:sz w:val="21"/>
                      <w:szCs w:val="22"/>
                    </w:rPr>
                  </w:pPr>
                  <w:r>
                    <w:rPr>
                      <w:rFonts w:hint="eastAsia"/>
                      <w:color w:val="auto"/>
                      <w:kern w:val="2"/>
                      <w:sz w:val="21"/>
                      <w:szCs w:val="22"/>
                    </w:rPr>
                    <w:t>达标</w:t>
                  </w:r>
                </w:p>
              </w:tc>
              <w:tc>
                <w:tcPr>
                  <w:tcW w:w="1341" w:type="dxa"/>
                  <w:tcBorders>
                    <w:top w:val="single" w:color="auto" w:sz="4" w:space="0"/>
                    <w:left w:val="single" w:color="auto" w:sz="4" w:space="0"/>
                    <w:bottom w:val="single" w:color="auto" w:sz="4" w:space="0"/>
                    <w:right w:val="single" w:color="auto" w:sz="4" w:space="0"/>
                  </w:tcBorders>
                  <w:vAlign w:val="center"/>
                </w:tcPr>
                <w:p w14:paraId="6A1790E7">
                  <w:pPr>
                    <w:widowControl/>
                    <w:adjustRightInd w:val="0"/>
                    <w:snapToGrid w:val="0"/>
                    <w:jc w:val="center"/>
                    <w:rPr>
                      <w:color w:val="auto"/>
                      <w:kern w:val="2"/>
                      <w:sz w:val="21"/>
                      <w:szCs w:val="22"/>
                    </w:rPr>
                  </w:pPr>
                  <w:r>
                    <w:rPr>
                      <w:rFonts w:hint="eastAsia"/>
                      <w:color w:val="auto"/>
                      <w:kern w:val="2"/>
                      <w:sz w:val="21"/>
                      <w:szCs w:val="22"/>
                    </w:rPr>
                    <w:t>1</w:t>
                  </w:r>
                  <w:r>
                    <w:rPr>
                      <w:color w:val="auto"/>
                      <w:kern w:val="2"/>
                      <w:sz w:val="21"/>
                      <w:szCs w:val="22"/>
                    </w:rPr>
                    <w:t>00</w:t>
                  </w:r>
                </w:p>
              </w:tc>
              <w:tc>
                <w:tcPr>
                  <w:tcW w:w="696" w:type="dxa"/>
                  <w:vMerge w:val="continue"/>
                  <w:tcBorders>
                    <w:top w:val="single" w:color="auto" w:sz="4" w:space="0"/>
                    <w:left w:val="single" w:color="auto" w:sz="4" w:space="0"/>
                    <w:bottom w:val="single" w:color="auto" w:sz="4" w:space="0"/>
                    <w:right w:val="nil"/>
                  </w:tcBorders>
                  <w:vAlign w:val="center"/>
                </w:tcPr>
                <w:p w14:paraId="3D0A7DCA">
                  <w:pPr>
                    <w:widowControl/>
                    <w:jc w:val="left"/>
                    <w:rPr>
                      <w:color w:val="auto"/>
                      <w:kern w:val="2"/>
                      <w:sz w:val="21"/>
                      <w:szCs w:val="22"/>
                    </w:rPr>
                  </w:pPr>
                </w:p>
              </w:tc>
            </w:tr>
            <w:tr w14:paraId="4709A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4" w:space="0"/>
                    <w:left w:val="nil"/>
                    <w:bottom w:val="single" w:color="auto" w:sz="4" w:space="0"/>
                    <w:right w:val="single" w:color="auto" w:sz="4" w:space="0"/>
                  </w:tcBorders>
                  <w:vAlign w:val="center"/>
                </w:tcPr>
                <w:p w14:paraId="36666AD1">
                  <w:pPr>
                    <w:widowControl/>
                    <w:adjustRightInd w:val="0"/>
                    <w:snapToGrid w:val="0"/>
                    <w:jc w:val="center"/>
                    <w:rPr>
                      <w:color w:val="auto"/>
                      <w:kern w:val="2"/>
                      <w:sz w:val="21"/>
                      <w:szCs w:val="22"/>
                    </w:rPr>
                  </w:pPr>
                  <w:r>
                    <w:rPr>
                      <w:rFonts w:hint="eastAsia"/>
                      <w:color w:val="auto"/>
                      <w:kern w:val="2"/>
                      <w:sz w:val="21"/>
                      <w:szCs w:val="22"/>
                    </w:rPr>
                    <w:t>噪声</w:t>
                  </w:r>
                </w:p>
              </w:tc>
              <w:tc>
                <w:tcPr>
                  <w:tcW w:w="1689" w:type="dxa"/>
                  <w:tcBorders>
                    <w:top w:val="single" w:color="auto" w:sz="4" w:space="0"/>
                    <w:left w:val="single" w:color="auto" w:sz="4" w:space="0"/>
                    <w:bottom w:val="single" w:color="auto" w:sz="4" w:space="0"/>
                    <w:right w:val="single" w:color="auto" w:sz="4" w:space="0"/>
                  </w:tcBorders>
                  <w:vAlign w:val="center"/>
                </w:tcPr>
                <w:p w14:paraId="5E9C357C">
                  <w:pPr>
                    <w:widowControl/>
                    <w:adjustRightInd w:val="0"/>
                    <w:snapToGrid w:val="0"/>
                    <w:jc w:val="center"/>
                    <w:rPr>
                      <w:color w:val="auto"/>
                      <w:kern w:val="2"/>
                      <w:sz w:val="21"/>
                      <w:szCs w:val="22"/>
                    </w:rPr>
                  </w:pPr>
                  <w:r>
                    <w:rPr>
                      <w:rFonts w:hint="eastAsia"/>
                      <w:color w:val="auto"/>
                      <w:kern w:val="2"/>
                      <w:sz w:val="21"/>
                      <w:szCs w:val="22"/>
                    </w:rPr>
                    <w:t>设备噪声</w:t>
                  </w:r>
                </w:p>
              </w:tc>
              <w:tc>
                <w:tcPr>
                  <w:tcW w:w="2310" w:type="dxa"/>
                  <w:tcBorders>
                    <w:top w:val="single" w:color="auto" w:sz="4" w:space="0"/>
                    <w:left w:val="single" w:color="auto" w:sz="4" w:space="0"/>
                    <w:bottom w:val="single" w:color="auto" w:sz="4" w:space="0"/>
                    <w:right w:val="single" w:color="auto" w:sz="4" w:space="0"/>
                  </w:tcBorders>
                  <w:vAlign w:val="center"/>
                </w:tcPr>
                <w:p w14:paraId="1D647985">
                  <w:pPr>
                    <w:widowControl/>
                    <w:adjustRightInd w:val="0"/>
                    <w:snapToGrid w:val="0"/>
                    <w:jc w:val="center"/>
                    <w:rPr>
                      <w:color w:val="auto"/>
                      <w:kern w:val="2"/>
                      <w:sz w:val="21"/>
                      <w:szCs w:val="22"/>
                    </w:rPr>
                  </w:pPr>
                  <w:r>
                    <w:rPr>
                      <w:color w:val="auto"/>
                      <w:kern w:val="2"/>
                      <w:sz w:val="21"/>
                      <w:szCs w:val="22"/>
                    </w:rPr>
                    <w:t>/</w:t>
                  </w:r>
                </w:p>
              </w:tc>
              <w:tc>
                <w:tcPr>
                  <w:tcW w:w="3223" w:type="dxa"/>
                  <w:tcBorders>
                    <w:top w:val="single" w:color="auto" w:sz="4" w:space="0"/>
                    <w:left w:val="single" w:color="auto" w:sz="4" w:space="0"/>
                    <w:bottom w:val="single" w:color="auto" w:sz="4" w:space="0"/>
                    <w:right w:val="single" w:color="auto" w:sz="4" w:space="0"/>
                  </w:tcBorders>
                  <w:vAlign w:val="center"/>
                </w:tcPr>
                <w:p w14:paraId="78BB99E7">
                  <w:pPr>
                    <w:widowControl/>
                    <w:adjustRightInd w:val="0"/>
                    <w:snapToGrid w:val="0"/>
                    <w:jc w:val="center"/>
                    <w:rPr>
                      <w:color w:val="auto"/>
                      <w:kern w:val="2"/>
                      <w:sz w:val="21"/>
                      <w:szCs w:val="22"/>
                    </w:rPr>
                  </w:pPr>
                  <w:r>
                    <w:rPr>
                      <w:rFonts w:hint="eastAsia"/>
                      <w:color w:val="auto"/>
                      <w:kern w:val="2"/>
                      <w:sz w:val="21"/>
                      <w:szCs w:val="22"/>
                    </w:rPr>
                    <w:t>低噪声设备；建筑物隔声；设备减震等</w:t>
                  </w:r>
                </w:p>
              </w:tc>
              <w:tc>
                <w:tcPr>
                  <w:tcW w:w="2891" w:type="dxa"/>
                  <w:tcBorders>
                    <w:top w:val="single" w:color="auto" w:sz="4" w:space="0"/>
                    <w:left w:val="single" w:color="auto" w:sz="4" w:space="0"/>
                    <w:bottom w:val="single" w:color="auto" w:sz="4" w:space="0"/>
                    <w:right w:val="single" w:color="auto" w:sz="4" w:space="0"/>
                  </w:tcBorders>
                  <w:vAlign w:val="center"/>
                </w:tcPr>
                <w:p w14:paraId="309B0F8C">
                  <w:pPr>
                    <w:widowControl/>
                    <w:adjustRightInd w:val="0"/>
                    <w:snapToGrid w:val="0"/>
                    <w:jc w:val="center"/>
                    <w:rPr>
                      <w:color w:val="auto"/>
                      <w:kern w:val="2"/>
                      <w:sz w:val="21"/>
                      <w:szCs w:val="22"/>
                    </w:rPr>
                  </w:pPr>
                  <w:r>
                    <w:rPr>
                      <w:rFonts w:hint="eastAsia"/>
                      <w:color w:val="auto"/>
                      <w:kern w:val="2"/>
                      <w:sz w:val="21"/>
                      <w:szCs w:val="22"/>
                    </w:rPr>
                    <w:t>达</w:t>
                  </w:r>
                  <w:r>
                    <w:rPr>
                      <w:color w:val="auto"/>
                      <w:kern w:val="2"/>
                      <w:sz w:val="21"/>
                      <w:szCs w:val="22"/>
                    </w:rPr>
                    <w:t>GB12348-2008</w:t>
                  </w:r>
                  <w:r>
                    <w:rPr>
                      <w:rFonts w:hint="eastAsia"/>
                      <w:color w:val="auto"/>
                      <w:kern w:val="2"/>
                      <w:sz w:val="21"/>
                      <w:szCs w:val="22"/>
                    </w:rPr>
                    <w:t>中</w:t>
                  </w:r>
                  <w:r>
                    <w:rPr>
                      <w:color w:val="auto"/>
                      <w:kern w:val="2"/>
                      <w:sz w:val="21"/>
                      <w:szCs w:val="22"/>
                    </w:rPr>
                    <w:t>2</w:t>
                  </w:r>
                  <w:r>
                    <w:rPr>
                      <w:rFonts w:hint="eastAsia"/>
                      <w:color w:val="auto"/>
                      <w:kern w:val="2"/>
                      <w:sz w:val="21"/>
                      <w:szCs w:val="22"/>
                    </w:rPr>
                    <w:t>级标准</w:t>
                  </w:r>
                </w:p>
                <w:p w14:paraId="06044086">
                  <w:pPr>
                    <w:widowControl/>
                    <w:adjustRightInd w:val="0"/>
                    <w:snapToGrid w:val="0"/>
                    <w:jc w:val="center"/>
                    <w:rPr>
                      <w:color w:val="auto"/>
                      <w:kern w:val="2"/>
                      <w:sz w:val="21"/>
                      <w:szCs w:val="22"/>
                    </w:rPr>
                  </w:pPr>
                  <w:r>
                    <w:rPr>
                      <w:rFonts w:hint="eastAsia"/>
                      <w:color w:val="auto"/>
                      <w:kern w:val="2"/>
                      <w:sz w:val="21"/>
                      <w:szCs w:val="22"/>
                    </w:rPr>
                    <w:t>厂界东侧执行4a类标准</w:t>
                  </w:r>
                </w:p>
              </w:tc>
              <w:tc>
                <w:tcPr>
                  <w:tcW w:w="1341" w:type="dxa"/>
                  <w:tcBorders>
                    <w:top w:val="single" w:color="auto" w:sz="4" w:space="0"/>
                    <w:left w:val="single" w:color="auto" w:sz="4" w:space="0"/>
                    <w:bottom w:val="single" w:color="auto" w:sz="4" w:space="0"/>
                    <w:right w:val="single" w:color="auto" w:sz="4" w:space="0"/>
                  </w:tcBorders>
                  <w:vAlign w:val="center"/>
                </w:tcPr>
                <w:p w14:paraId="40831718">
                  <w:pPr>
                    <w:widowControl/>
                    <w:adjustRightInd w:val="0"/>
                    <w:snapToGrid w:val="0"/>
                    <w:jc w:val="center"/>
                    <w:rPr>
                      <w:color w:val="auto"/>
                      <w:kern w:val="2"/>
                      <w:sz w:val="21"/>
                      <w:szCs w:val="22"/>
                    </w:rPr>
                  </w:pPr>
                  <w:r>
                    <w:rPr>
                      <w:rFonts w:hint="eastAsia"/>
                      <w:color w:val="auto"/>
                      <w:kern w:val="2"/>
                      <w:sz w:val="21"/>
                      <w:szCs w:val="22"/>
                    </w:rPr>
                    <w:t>2</w:t>
                  </w:r>
                  <w:r>
                    <w:rPr>
                      <w:color w:val="auto"/>
                      <w:kern w:val="2"/>
                      <w:sz w:val="21"/>
                      <w:szCs w:val="22"/>
                    </w:rPr>
                    <w:t>00</w:t>
                  </w:r>
                </w:p>
              </w:tc>
              <w:tc>
                <w:tcPr>
                  <w:tcW w:w="696" w:type="dxa"/>
                  <w:vMerge w:val="continue"/>
                  <w:tcBorders>
                    <w:top w:val="single" w:color="auto" w:sz="4" w:space="0"/>
                    <w:left w:val="single" w:color="auto" w:sz="4" w:space="0"/>
                    <w:bottom w:val="single" w:color="auto" w:sz="4" w:space="0"/>
                    <w:right w:val="nil"/>
                  </w:tcBorders>
                  <w:vAlign w:val="center"/>
                </w:tcPr>
                <w:p w14:paraId="0E161E1A">
                  <w:pPr>
                    <w:widowControl/>
                    <w:jc w:val="left"/>
                    <w:rPr>
                      <w:color w:val="auto"/>
                      <w:kern w:val="2"/>
                      <w:sz w:val="21"/>
                      <w:szCs w:val="22"/>
                    </w:rPr>
                  </w:pPr>
                </w:p>
              </w:tc>
            </w:tr>
            <w:tr w14:paraId="444F8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vMerge w:val="restart"/>
                  <w:tcBorders>
                    <w:top w:val="single" w:color="auto" w:sz="4" w:space="0"/>
                    <w:left w:val="nil"/>
                    <w:bottom w:val="single" w:color="auto" w:sz="4" w:space="0"/>
                    <w:right w:val="single" w:color="auto" w:sz="4" w:space="0"/>
                  </w:tcBorders>
                  <w:vAlign w:val="center"/>
                </w:tcPr>
                <w:p w14:paraId="58DA91FA">
                  <w:pPr>
                    <w:widowControl/>
                    <w:adjustRightInd w:val="0"/>
                    <w:snapToGrid w:val="0"/>
                    <w:jc w:val="center"/>
                    <w:rPr>
                      <w:color w:val="auto"/>
                      <w:kern w:val="2"/>
                      <w:sz w:val="21"/>
                      <w:szCs w:val="22"/>
                    </w:rPr>
                  </w:pPr>
                  <w:r>
                    <w:rPr>
                      <w:rFonts w:hint="eastAsia"/>
                      <w:color w:val="auto"/>
                      <w:kern w:val="2"/>
                      <w:sz w:val="21"/>
                      <w:szCs w:val="22"/>
                    </w:rPr>
                    <w:t>固废</w:t>
                  </w:r>
                </w:p>
              </w:tc>
              <w:tc>
                <w:tcPr>
                  <w:tcW w:w="1689" w:type="dxa"/>
                  <w:tcBorders>
                    <w:top w:val="single" w:color="auto" w:sz="4" w:space="0"/>
                    <w:left w:val="single" w:color="auto" w:sz="4" w:space="0"/>
                    <w:bottom w:val="single" w:color="auto" w:sz="4" w:space="0"/>
                    <w:right w:val="single" w:color="auto" w:sz="4" w:space="0"/>
                  </w:tcBorders>
                  <w:vAlign w:val="center"/>
                </w:tcPr>
                <w:p w14:paraId="24238AC9">
                  <w:pPr>
                    <w:widowControl/>
                    <w:adjustRightInd w:val="0"/>
                    <w:snapToGrid w:val="0"/>
                    <w:jc w:val="center"/>
                    <w:rPr>
                      <w:color w:val="auto"/>
                      <w:kern w:val="2"/>
                      <w:sz w:val="21"/>
                      <w:szCs w:val="22"/>
                    </w:rPr>
                  </w:pPr>
                  <w:r>
                    <w:rPr>
                      <w:rFonts w:hint="eastAsia"/>
                      <w:color w:val="auto"/>
                      <w:kern w:val="2"/>
                      <w:sz w:val="21"/>
                      <w:szCs w:val="22"/>
                    </w:rPr>
                    <w:t>危险废物</w:t>
                  </w:r>
                </w:p>
              </w:tc>
              <w:tc>
                <w:tcPr>
                  <w:tcW w:w="2310" w:type="dxa"/>
                  <w:tcBorders>
                    <w:top w:val="single" w:color="auto" w:sz="4" w:space="0"/>
                    <w:left w:val="single" w:color="auto" w:sz="4" w:space="0"/>
                    <w:bottom w:val="single" w:color="auto" w:sz="4" w:space="0"/>
                    <w:right w:val="single" w:color="auto" w:sz="4" w:space="0"/>
                  </w:tcBorders>
                  <w:vAlign w:val="center"/>
                </w:tcPr>
                <w:p w14:paraId="0C083FEF">
                  <w:pPr>
                    <w:widowControl/>
                    <w:adjustRightInd w:val="0"/>
                    <w:snapToGrid w:val="0"/>
                    <w:jc w:val="center"/>
                    <w:rPr>
                      <w:color w:val="auto"/>
                      <w:kern w:val="2"/>
                      <w:sz w:val="21"/>
                      <w:szCs w:val="22"/>
                    </w:rPr>
                  </w:pPr>
                  <w:r>
                    <w:rPr>
                      <w:rFonts w:hint="eastAsia"/>
                      <w:color w:val="auto"/>
                      <w:kern w:val="2"/>
                      <w:sz w:val="21"/>
                      <w:szCs w:val="22"/>
                    </w:rPr>
                    <w:t>废机油、废抹布手套</w:t>
                  </w:r>
                </w:p>
              </w:tc>
              <w:tc>
                <w:tcPr>
                  <w:tcW w:w="3223" w:type="dxa"/>
                  <w:tcBorders>
                    <w:top w:val="single" w:color="auto" w:sz="4" w:space="0"/>
                    <w:left w:val="single" w:color="auto" w:sz="4" w:space="0"/>
                    <w:bottom w:val="single" w:color="auto" w:sz="4" w:space="0"/>
                    <w:right w:val="single" w:color="auto" w:sz="4" w:space="0"/>
                  </w:tcBorders>
                  <w:vAlign w:val="center"/>
                </w:tcPr>
                <w:p w14:paraId="3D959E56">
                  <w:pPr>
                    <w:widowControl/>
                    <w:adjustRightInd w:val="0"/>
                    <w:snapToGrid w:val="0"/>
                    <w:jc w:val="center"/>
                    <w:rPr>
                      <w:color w:val="auto"/>
                      <w:kern w:val="2"/>
                      <w:sz w:val="21"/>
                      <w:szCs w:val="22"/>
                    </w:rPr>
                  </w:pPr>
                  <w:r>
                    <w:rPr>
                      <w:rFonts w:hint="eastAsia"/>
                      <w:color w:val="auto"/>
                      <w:kern w:val="2"/>
                      <w:sz w:val="21"/>
                      <w:szCs w:val="22"/>
                    </w:rPr>
                    <w:t>危废仓库</w:t>
                  </w:r>
                  <w:r>
                    <w:rPr>
                      <w:color w:val="auto"/>
                      <w:kern w:val="2"/>
                      <w:sz w:val="21"/>
                      <w:szCs w:val="22"/>
                    </w:rPr>
                    <w:t>50m</w:t>
                  </w:r>
                  <w:r>
                    <w:rPr>
                      <w:color w:val="auto"/>
                      <w:kern w:val="2"/>
                      <w:sz w:val="21"/>
                      <w:szCs w:val="22"/>
                      <w:vertAlign w:val="superscript"/>
                    </w:rPr>
                    <w:t>2</w:t>
                  </w:r>
                </w:p>
                <w:p w14:paraId="7D5C0F5D">
                  <w:pPr>
                    <w:widowControl/>
                    <w:adjustRightInd w:val="0"/>
                    <w:snapToGrid w:val="0"/>
                    <w:jc w:val="center"/>
                    <w:rPr>
                      <w:color w:val="auto"/>
                      <w:kern w:val="2"/>
                      <w:sz w:val="21"/>
                      <w:szCs w:val="22"/>
                    </w:rPr>
                  </w:pPr>
                  <w:r>
                    <w:rPr>
                      <w:rFonts w:hint="eastAsia"/>
                      <w:color w:val="auto"/>
                      <w:kern w:val="2"/>
                      <w:sz w:val="21"/>
                      <w:szCs w:val="22"/>
                    </w:rPr>
                    <w:t>委托有资质单位处置</w:t>
                  </w:r>
                </w:p>
                <w:p w14:paraId="79521E1C">
                  <w:pPr>
                    <w:widowControl/>
                    <w:adjustRightInd w:val="0"/>
                    <w:snapToGrid w:val="0"/>
                    <w:jc w:val="center"/>
                    <w:rPr>
                      <w:color w:val="auto"/>
                      <w:kern w:val="2"/>
                      <w:sz w:val="21"/>
                      <w:szCs w:val="22"/>
                    </w:rPr>
                  </w:pPr>
                  <w:r>
                    <w:rPr>
                      <w:rFonts w:hint="eastAsia"/>
                      <w:color w:val="auto"/>
                      <w:kern w:val="2"/>
                      <w:sz w:val="21"/>
                      <w:szCs w:val="22"/>
                    </w:rPr>
                    <w:t>废抹布手套按照《国家危险废物名录（2021年）》全过程豁免，委托环卫部门清运</w:t>
                  </w:r>
                </w:p>
              </w:tc>
              <w:tc>
                <w:tcPr>
                  <w:tcW w:w="2891" w:type="dxa"/>
                  <w:vMerge w:val="restart"/>
                  <w:tcBorders>
                    <w:top w:val="single" w:color="auto" w:sz="4" w:space="0"/>
                    <w:left w:val="single" w:color="auto" w:sz="4" w:space="0"/>
                    <w:bottom w:val="single" w:color="auto" w:sz="4" w:space="0"/>
                    <w:right w:val="single" w:color="auto" w:sz="4" w:space="0"/>
                  </w:tcBorders>
                  <w:vAlign w:val="center"/>
                </w:tcPr>
                <w:p w14:paraId="6B490060">
                  <w:pPr>
                    <w:widowControl/>
                    <w:adjustRightInd w:val="0"/>
                    <w:snapToGrid w:val="0"/>
                    <w:jc w:val="center"/>
                    <w:rPr>
                      <w:color w:val="auto"/>
                      <w:kern w:val="2"/>
                      <w:sz w:val="21"/>
                      <w:szCs w:val="22"/>
                    </w:rPr>
                  </w:pPr>
                  <w:r>
                    <w:rPr>
                      <w:rFonts w:hint="eastAsia"/>
                      <w:color w:val="auto"/>
                      <w:kern w:val="2"/>
                      <w:sz w:val="21"/>
                      <w:szCs w:val="22"/>
                    </w:rPr>
                    <w:t>零排放</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14:paraId="57DC4587">
                  <w:pPr>
                    <w:widowControl/>
                    <w:adjustRightInd w:val="0"/>
                    <w:snapToGrid w:val="0"/>
                    <w:jc w:val="center"/>
                    <w:rPr>
                      <w:color w:val="auto"/>
                      <w:kern w:val="2"/>
                      <w:sz w:val="21"/>
                      <w:szCs w:val="22"/>
                    </w:rPr>
                  </w:pPr>
                  <w:r>
                    <w:rPr>
                      <w:rFonts w:hint="eastAsia"/>
                      <w:color w:val="auto"/>
                      <w:kern w:val="2"/>
                      <w:sz w:val="21"/>
                      <w:szCs w:val="22"/>
                    </w:rPr>
                    <w:t>2</w:t>
                  </w:r>
                  <w:r>
                    <w:rPr>
                      <w:color w:val="auto"/>
                      <w:kern w:val="2"/>
                      <w:sz w:val="21"/>
                      <w:szCs w:val="22"/>
                    </w:rPr>
                    <w:t>50</w:t>
                  </w:r>
                </w:p>
              </w:tc>
              <w:tc>
                <w:tcPr>
                  <w:tcW w:w="696" w:type="dxa"/>
                  <w:vMerge w:val="continue"/>
                  <w:tcBorders>
                    <w:top w:val="single" w:color="auto" w:sz="4" w:space="0"/>
                    <w:left w:val="single" w:color="auto" w:sz="4" w:space="0"/>
                    <w:bottom w:val="single" w:color="auto" w:sz="4" w:space="0"/>
                    <w:right w:val="nil"/>
                  </w:tcBorders>
                  <w:vAlign w:val="center"/>
                </w:tcPr>
                <w:p w14:paraId="03ADCC72">
                  <w:pPr>
                    <w:widowControl/>
                    <w:jc w:val="left"/>
                    <w:rPr>
                      <w:color w:val="auto"/>
                      <w:kern w:val="2"/>
                      <w:sz w:val="21"/>
                      <w:szCs w:val="22"/>
                    </w:rPr>
                  </w:pPr>
                </w:p>
              </w:tc>
            </w:tr>
            <w:tr w14:paraId="46707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vMerge w:val="continue"/>
                  <w:tcBorders>
                    <w:top w:val="single" w:color="auto" w:sz="4" w:space="0"/>
                    <w:left w:val="nil"/>
                    <w:bottom w:val="single" w:color="auto" w:sz="4" w:space="0"/>
                    <w:right w:val="single" w:color="auto" w:sz="4" w:space="0"/>
                  </w:tcBorders>
                  <w:vAlign w:val="center"/>
                </w:tcPr>
                <w:p w14:paraId="0A9A6751">
                  <w:pPr>
                    <w:widowControl/>
                    <w:jc w:val="left"/>
                    <w:rPr>
                      <w:color w:val="auto"/>
                      <w:kern w:val="2"/>
                      <w:sz w:val="21"/>
                      <w:szCs w:val="22"/>
                    </w:rPr>
                  </w:pPr>
                </w:p>
              </w:tc>
              <w:tc>
                <w:tcPr>
                  <w:tcW w:w="1689" w:type="dxa"/>
                  <w:tcBorders>
                    <w:top w:val="single" w:color="auto" w:sz="4" w:space="0"/>
                    <w:left w:val="single" w:color="auto" w:sz="4" w:space="0"/>
                    <w:bottom w:val="single" w:color="auto" w:sz="4" w:space="0"/>
                    <w:right w:val="single" w:color="auto" w:sz="4" w:space="0"/>
                  </w:tcBorders>
                  <w:vAlign w:val="center"/>
                </w:tcPr>
                <w:p w14:paraId="1C7A1618">
                  <w:pPr>
                    <w:widowControl/>
                    <w:adjustRightInd w:val="0"/>
                    <w:snapToGrid w:val="0"/>
                    <w:jc w:val="center"/>
                    <w:rPr>
                      <w:color w:val="auto"/>
                      <w:kern w:val="2"/>
                      <w:sz w:val="21"/>
                      <w:szCs w:val="22"/>
                    </w:rPr>
                  </w:pPr>
                  <w:r>
                    <w:rPr>
                      <w:rFonts w:hint="eastAsia"/>
                      <w:color w:val="auto"/>
                      <w:kern w:val="2"/>
                      <w:sz w:val="21"/>
                      <w:szCs w:val="22"/>
                    </w:rPr>
                    <w:t>生活垃圾</w:t>
                  </w:r>
                </w:p>
              </w:tc>
              <w:tc>
                <w:tcPr>
                  <w:tcW w:w="2310" w:type="dxa"/>
                  <w:tcBorders>
                    <w:top w:val="single" w:color="auto" w:sz="4" w:space="0"/>
                    <w:left w:val="single" w:color="auto" w:sz="4" w:space="0"/>
                    <w:bottom w:val="single" w:color="auto" w:sz="4" w:space="0"/>
                    <w:right w:val="single" w:color="auto" w:sz="4" w:space="0"/>
                  </w:tcBorders>
                  <w:vAlign w:val="center"/>
                </w:tcPr>
                <w:p w14:paraId="7D2036F9">
                  <w:pPr>
                    <w:widowControl/>
                    <w:adjustRightInd w:val="0"/>
                    <w:snapToGrid w:val="0"/>
                    <w:jc w:val="center"/>
                    <w:rPr>
                      <w:color w:val="auto"/>
                      <w:kern w:val="2"/>
                      <w:sz w:val="21"/>
                      <w:szCs w:val="22"/>
                    </w:rPr>
                  </w:pPr>
                  <w:r>
                    <w:rPr>
                      <w:rFonts w:hint="eastAsia"/>
                      <w:color w:val="auto"/>
                      <w:kern w:val="2"/>
                      <w:sz w:val="21"/>
                      <w:szCs w:val="22"/>
                    </w:rPr>
                    <w:t>生活垃圾、沉淀池残渣</w:t>
                  </w:r>
                </w:p>
              </w:tc>
              <w:tc>
                <w:tcPr>
                  <w:tcW w:w="3223" w:type="dxa"/>
                  <w:tcBorders>
                    <w:top w:val="single" w:color="auto" w:sz="4" w:space="0"/>
                    <w:left w:val="single" w:color="auto" w:sz="4" w:space="0"/>
                    <w:bottom w:val="single" w:color="auto" w:sz="4" w:space="0"/>
                    <w:right w:val="single" w:color="auto" w:sz="4" w:space="0"/>
                  </w:tcBorders>
                  <w:vAlign w:val="center"/>
                </w:tcPr>
                <w:p w14:paraId="0FE38AC7">
                  <w:pPr>
                    <w:widowControl/>
                    <w:adjustRightInd w:val="0"/>
                    <w:snapToGrid w:val="0"/>
                    <w:jc w:val="center"/>
                    <w:rPr>
                      <w:color w:val="auto"/>
                      <w:kern w:val="2"/>
                      <w:sz w:val="21"/>
                      <w:szCs w:val="22"/>
                    </w:rPr>
                  </w:pPr>
                  <w:r>
                    <w:rPr>
                      <w:rFonts w:hint="eastAsia"/>
                      <w:color w:val="auto"/>
                      <w:kern w:val="2"/>
                      <w:sz w:val="21"/>
                      <w:szCs w:val="22"/>
                    </w:rPr>
                    <w:t>交由环卫部门处置</w:t>
                  </w:r>
                </w:p>
              </w:tc>
              <w:tc>
                <w:tcPr>
                  <w:tcW w:w="2891" w:type="dxa"/>
                  <w:vMerge w:val="continue"/>
                  <w:tcBorders>
                    <w:top w:val="single" w:color="auto" w:sz="4" w:space="0"/>
                    <w:left w:val="single" w:color="auto" w:sz="4" w:space="0"/>
                    <w:bottom w:val="single" w:color="auto" w:sz="4" w:space="0"/>
                    <w:right w:val="single" w:color="auto" w:sz="4" w:space="0"/>
                  </w:tcBorders>
                  <w:vAlign w:val="center"/>
                </w:tcPr>
                <w:p w14:paraId="00FD7439">
                  <w:pPr>
                    <w:widowControl/>
                    <w:jc w:val="left"/>
                    <w:rPr>
                      <w:color w:val="auto"/>
                      <w:kern w:val="2"/>
                      <w:sz w:val="21"/>
                      <w:szCs w:val="22"/>
                    </w:rPr>
                  </w:pPr>
                </w:p>
              </w:tc>
              <w:tc>
                <w:tcPr>
                  <w:tcW w:w="1341" w:type="dxa"/>
                  <w:vMerge w:val="continue"/>
                  <w:tcBorders>
                    <w:top w:val="single" w:color="auto" w:sz="4" w:space="0"/>
                    <w:left w:val="single" w:color="auto" w:sz="4" w:space="0"/>
                    <w:bottom w:val="single" w:color="auto" w:sz="4" w:space="0"/>
                    <w:right w:val="single" w:color="auto" w:sz="4" w:space="0"/>
                  </w:tcBorders>
                  <w:vAlign w:val="center"/>
                </w:tcPr>
                <w:p w14:paraId="0120B849">
                  <w:pPr>
                    <w:widowControl/>
                    <w:jc w:val="left"/>
                    <w:rPr>
                      <w:color w:val="auto"/>
                      <w:kern w:val="2"/>
                      <w:sz w:val="21"/>
                      <w:szCs w:val="22"/>
                    </w:rPr>
                  </w:pPr>
                </w:p>
              </w:tc>
              <w:tc>
                <w:tcPr>
                  <w:tcW w:w="696" w:type="dxa"/>
                  <w:vMerge w:val="continue"/>
                  <w:tcBorders>
                    <w:top w:val="single" w:color="auto" w:sz="4" w:space="0"/>
                    <w:left w:val="single" w:color="auto" w:sz="4" w:space="0"/>
                    <w:bottom w:val="single" w:color="auto" w:sz="4" w:space="0"/>
                    <w:right w:val="nil"/>
                  </w:tcBorders>
                  <w:vAlign w:val="center"/>
                </w:tcPr>
                <w:p w14:paraId="73D2B398">
                  <w:pPr>
                    <w:widowControl/>
                    <w:jc w:val="left"/>
                    <w:rPr>
                      <w:color w:val="auto"/>
                      <w:kern w:val="2"/>
                      <w:sz w:val="21"/>
                      <w:szCs w:val="22"/>
                    </w:rPr>
                  </w:pPr>
                </w:p>
              </w:tc>
            </w:tr>
            <w:tr w14:paraId="055B0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4" w:space="0"/>
                    <w:left w:val="nil"/>
                    <w:bottom w:val="single" w:color="auto" w:sz="4" w:space="0"/>
                    <w:right w:val="single" w:color="auto" w:sz="4" w:space="0"/>
                  </w:tcBorders>
                  <w:vAlign w:val="center"/>
                </w:tcPr>
                <w:p w14:paraId="37BE2EAC">
                  <w:pPr>
                    <w:widowControl/>
                    <w:adjustRightInd w:val="0"/>
                    <w:snapToGrid w:val="0"/>
                    <w:jc w:val="center"/>
                    <w:rPr>
                      <w:color w:val="auto"/>
                      <w:kern w:val="2"/>
                      <w:sz w:val="21"/>
                      <w:szCs w:val="22"/>
                    </w:rPr>
                  </w:pPr>
                  <w:r>
                    <w:rPr>
                      <w:rFonts w:hint="eastAsia"/>
                      <w:color w:val="auto"/>
                      <w:kern w:val="2"/>
                      <w:sz w:val="21"/>
                      <w:szCs w:val="22"/>
                    </w:rPr>
                    <w:t>事故应急措施</w:t>
                  </w:r>
                </w:p>
              </w:tc>
              <w:tc>
                <w:tcPr>
                  <w:tcW w:w="7222" w:type="dxa"/>
                  <w:gridSpan w:val="3"/>
                  <w:tcBorders>
                    <w:top w:val="single" w:color="auto" w:sz="4" w:space="0"/>
                    <w:left w:val="single" w:color="auto" w:sz="4" w:space="0"/>
                    <w:bottom w:val="single" w:color="auto" w:sz="4" w:space="0"/>
                    <w:right w:val="single" w:color="auto" w:sz="4" w:space="0"/>
                  </w:tcBorders>
                  <w:vAlign w:val="center"/>
                </w:tcPr>
                <w:p w14:paraId="442F34BC">
                  <w:pPr>
                    <w:widowControl/>
                    <w:adjustRightInd w:val="0"/>
                    <w:snapToGrid w:val="0"/>
                    <w:jc w:val="center"/>
                    <w:rPr>
                      <w:color w:val="auto"/>
                      <w:kern w:val="2"/>
                      <w:sz w:val="21"/>
                      <w:szCs w:val="22"/>
                    </w:rPr>
                  </w:pPr>
                  <w:r>
                    <w:rPr>
                      <w:rFonts w:hint="eastAsia"/>
                      <w:color w:val="auto"/>
                      <w:kern w:val="2"/>
                      <w:sz w:val="21"/>
                      <w:szCs w:val="22"/>
                    </w:rPr>
                    <w:t>配备围油栏、收油机、吸油毡、溢油分散剂等事故应急设施设备及物资，并制定事故预防措施、风险应急预案、监管、建立制度等。消防及火灾报警装置、应急防火物资。燃爆事故应急处理设备等。</w:t>
                  </w:r>
                </w:p>
              </w:tc>
              <w:tc>
                <w:tcPr>
                  <w:tcW w:w="2891" w:type="dxa"/>
                  <w:tcBorders>
                    <w:top w:val="single" w:color="auto" w:sz="4" w:space="0"/>
                    <w:left w:val="single" w:color="auto" w:sz="4" w:space="0"/>
                    <w:bottom w:val="single" w:color="auto" w:sz="4" w:space="0"/>
                    <w:right w:val="single" w:color="auto" w:sz="4" w:space="0"/>
                  </w:tcBorders>
                  <w:vAlign w:val="center"/>
                </w:tcPr>
                <w:p w14:paraId="33D9AD4F">
                  <w:pPr>
                    <w:widowControl/>
                    <w:adjustRightInd w:val="0"/>
                    <w:snapToGrid w:val="0"/>
                    <w:jc w:val="center"/>
                    <w:rPr>
                      <w:color w:val="auto"/>
                      <w:kern w:val="2"/>
                      <w:sz w:val="21"/>
                      <w:szCs w:val="22"/>
                    </w:rPr>
                  </w:pPr>
                  <w:r>
                    <w:rPr>
                      <w:rFonts w:hint="eastAsia"/>
                      <w:color w:val="auto"/>
                      <w:kern w:val="2"/>
                      <w:sz w:val="21"/>
                      <w:szCs w:val="22"/>
                    </w:rPr>
                    <w:t>确保事故发生时对环境的影响较小</w:t>
                  </w:r>
                </w:p>
              </w:tc>
              <w:tc>
                <w:tcPr>
                  <w:tcW w:w="1341" w:type="dxa"/>
                  <w:tcBorders>
                    <w:top w:val="single" w:color="auto" w:sz="4" w:space="0"/>
                    <w:left w:val="single" w:color="auto" w:sz="4" w:space="0"/>
                    <w:bottom w:val="single" w:color="auto" w:sz="4" w:space="0"/>
                    <w:right w:val="single" w:color="auto" w:sz="4" w:space="0"/>
                  </w:tcBorders>
                  <w:vAlign w:val="center"/>
                </w:tcPr>
                <w:p w14:paraId="59369B94">
                  <w:pPr>
                    <w:widowControl/>
                    <w:adjustRightInd w:val="0"/>
                    <w:snapToGrid w:val="0"/>
                    <w:jc w:val="center"/>
                    <w:rPr>
                      <w:color w:val="auto"/>
                      <w:kern w:val="2"/>
                      <w:sz w:val="21"/>
                      <w:szCs w:val="22"/>
                    </w:rPr>
                  </w:pPr>
                  <w:r>
                    <w:rPr>
                      <w:rFonts w:hint="eastAsia"/>
                      <w:color w:val="auto"/>
                      <w:kern w:val="2"/>
                      <w:sz w:val="21"/>
                      <w:szCs w:val="22"/>
                    </w:rPr>
                    <w:t>3</w:t>
                  </w:r>
                  <w:r>
                    <w:rPr>
                      <w:color w:val="auto"/>
                      <w:kern w:val="2"/>
                      <w:sz w:val="21"/>
                      <w:szCs w:val="22"/>
                    </w:rPr>
                    <w:t>000</w:t>
                  </w:r>
                </w:p>
              </w:tc>
              <w:tc>
                <w:tcPr>
                  <w:tcW w:w="696" w:type="dxa"/>
                  <w:vMerge w:val="continue"/>
                  <w:tcBorders>
                    <w:top w:val="single" w:color="auto" w:sz="4" w:space="0"/>
                    <w:left w:val="single" w:color="auto" w:sz="4" w:space="0"/>
                    <w:bottom w:val="single" w:color="auto" w:sz="4" w:space="0"/>
                    <w:right w:val="nil"/>
                  </w:tcBorders>
                  <w:vAlign w:val="center"/>
                </w:tcPr>
                <w:p w14:paraId="689638BE">
                  <w:pPr>
                    <w:widowControl/>
                    <w:jc w:val="left"/>
                    <w:rPr>
                      <w:color w:val="auto"/>
                      <w:kern w:val="2"/>
                      <w:sz w:val="21"/>
                      <w:szCs w:val="22"/>
                    </w:rPr>
                  </w:pPr>
                </w:p>
              </w:tc>
            </w:tr>
            <w:tr w14:paraId="20ED9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4" w:space="0"/>
                    <w:left w:val="nil"/>
                    <w:bottom w:val="single" w:color="auto" w:sz="4" w:space="0"/>
                    <w:right w:val="single" w:color="auto" w:sz="4" w:space="0"/>
                  </w:tcBorders>
                  <w:vAlign w:val="center"/>
                </w:tcPr>
                <w:p w14:paraId="4D5A63ED">
                  <w:pPr>
                    <w:widowControl/>
                    <w:adjustRightInd w:val="0"/>
                    <w:snapToGrid w:val="0"/>
                    <w:jc w:val="center"/>
                    <w:rPr>
                      <w:color w:val="auto"/>
                      <w:kern w:val="2"/>
                      <w:sz w:val="21"/>
                      <w:szCs w:val="22"/>
                    </w:rPr>
                  </w:pPr>
                  <w:r>
                    <w:rPr>
                      <w:rFonts w:hint="eastAsia"/>
                      <w:color w:val="auto"/>
                      <w:kern w:val="2"/>
                      <w:sz w:val="21"/>
                      <w:szCs w:val="22"/>
                    </w:rPr>
                    <w:t>环境管理</w:t>
                  </w:r>
                </w:p>
                <w:p w14:paraId="127325AD">
                  <w:pPr>
                    <w:widowControl/>
                    <w:adjustRightInd w:val="0"/>
                    <w:snapToGrid w:val="0"/>
                    <w:jc w:val="center"/>
                    <w:rPr>
                      <w:color w:val="auto"/>
                      <w:kern w:val="2"/>
                      <w:sz w:val="21"/>
                      <w:szCs w:val="22"/>
                    </w:rPr>
                  </w:pPr>
                  <w:r>
                    <w:rPr>
                      <w:rFonts w:hint="eastAsia"/>
                      <w:color w:val="auto"/>
                      <w:kern w:val="2"/>
                      <w:sz w:val="21"/>
                      <w:szCs w:val="22"/>
                    </w:rPr>
                    <w:t>（机构、监测能力）</w:t>
                  </w:r>
                </w:p>
              </w:tc>
              <w:tc>
                <w:tcPr>
                  <w:tcW w:w="7222" w:type="dxa"/>
                  <w:gridSpan w:val="3"/>
                  <w:tcBorders>
                    <w:top w:val="single" w:color="auto" w:sz="4" w:space="0"/>
                    <w:left w:val="single" w:color="auto" w:sz="4" w:space="0"/>
                    <w:bottom w:val="single" w:color="auto" w:sz="4" w:space="0"/>
                    <w:right w:val="single" w:color="auto" w:sz="4" w:space="0"/>
                  </w:tcBorders>
                  <w:vAlign w:val="center"/>
                </w:tcPr>
                <w:p w14:paraId="4A54A053">
                  <w:pPr>
                    <w:widowControl/>
                    <w:adjustRightInd w:val="0"/>
                    <w:snapToGrid w:val="0"/>
                    <w:jc w:val="center"/>
                    <w:rPr>
                      <w:color w:val="auto"/>
                      <w:kern w:val="2"/>
                      <w:sz w:val="21"/>
                      <w:szCs w:val="22"/>
                    </w:rPr>
                  </w:pPr>
                  <w:r>
                    <w:rPr>
                      <w:rFonts w:hint="eastAsia"/>
                      <w:color w:val="auto"/>
                      <w:kern w:val="2"/>
                      <w:sz w:val="21"/>
                      <w:szCs w:val="22"/>
                    </w:rPr>
                    <w:t>安环部，负责全公司的环境管理。将各产品的工艺、污染防治措施及相应的环保工作纳入集中管理，列入公司管理计划和内容</w:t>
                  </w:r>
                </w:p>
              </w:tc>
              <w:tc>
                <w:tcPr>
                  <w:tcW w:w="2891" w:type="dxa"/>
                  <w:tcBorders>
                    <w:top w:val="single" w:color="auto" w:sz="4" w:space="0"/>
                    <w:left w:val="single" w:color="auto" w:sz="4" w:space="0"/>
                    <w:bottom w:val="single" w:color="auto" w:sz="4" w:space="0"/>
                    <w:right w:val="single" w:color="auto" w:sz="4" w:space="0"/>
                  </w:tcBorders>
                  <w:vAlign w:val="center"/>
                </w:tcPr>
                <w:p w14:paraId="59A3B854">
                  <w:pPr>
                    <w:widowControl/>
                    <w:adjustRightInd w:val="0"/>
                    <w:snapToGrid w:val="0"/>
                    <w:jc w:val="center"/>
                    <w:rPr>
                      <w:color w:val="auto"/>
                      <w:kern w:val="2"/>
                      <w:sz w:val="21"/>
                      <w:szCs w:val="22"/>
                    </w:rPr>
                  </w:pPr>
                  <w:r>
                    <w:rPr>
                      <w:rFonts w:hint="eastAsia"/>
                      <w:color w:val="auto"/>
                      <w:kern w:val="2"/>
                      <w:sz w:val="21"/>
                      <w:szCs w:val="22"/>
                    </w:rPr>
                    <w:t>实现有效环境管理</w:t>
                  </w:r>
                </w:p>
              </w:tc>
              <w:tc>
                <w:tcPr>
                  <w:tcW w:w="1341" w:type="dxa"/>
                  <w:tcBorders>
                    <w:top w:val="single" w:color="auto" w:sz="4" w:space="0"/>
                    <w:left w:val="single" w:color="auto" w:sz="4" w:space="0"/>
                    <w:bottom w:val="single" w:color="auto" w:sz="4" w:space="0"/>
                    <w:right w:val="single" w:color="auto" w:sz="4" w:space="0"/>
                  </w:tcBorders>
                  <w:vAlign w:val="center"/>
                </w:tcPr>
                <w:p w14:paraId="77B76ECF">
                  <w:pPr>
                    <w:widowControl/>
                    <w:adjustRightInd w:val="0"/>
                    <w:snapToGrid w:val="0"/>
                    <w:jc w:val="center"/>
                    <w:rPr>
                      <w:color w:val="auto"/>
                      <w:kern w:val="2"/>
                      <w:sz w:val="21"/>
                      <w:szCs w:val="22"/>
                    </w:rPr>
                  </w:pPr>
                  <w:r>
                    <w:rPr>
                      <w:color w:val="auto"/>
                      <w:kern w:val="2"/>
                      <w:sz w:val="21"/>
                      <w:szCs w:val="22"/>
                    </w:rPr>
                    <w:t>300</w:t>
                  </w:r>
                </w:p>
              </w:tc>
              <w:tc>
                <w:tcPr>
                  <w:tcW w:w="696" w:type="dxa"/>
                  <w:vMerge w:val="continue"/>
                  <w:tcBorders>
                    <w:top w:val="single" w:color="auto" w:sz="4" w:space="0"/>
                    <w:left w:val="single" w:color="auto" w:sz="4" w:space="0"/>
                    <w:bottom w:val="single" w:color="auto" w:sz="4" w:space="0"/>
                    <w:right w:val="nil"/>
                  </w:tcBorders>
                  <w:vAlign w:val="center"/>
                </w:tcPr>
                <w:p w14:paraId="1EF33649">
                  <w:pPr>
                    <w:widowControl/>
                    <w:jc w:val="left"/>
                    <w:rPr>
                      <w:color w:val="auto"/>
                      <w:kern w:val="2"/>
                      <w:sz w:val="21"/>
                      <w:szCs w:val="22"/>
                    </w:rPr>
                  </w:pPr>
                </w:p>
              </w:tc>
            </w:tr>
            <w:tr w14:paraId="282AB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4" w:space="0"/>
                    <w:left w:val="nil"/>
                    <w:bottom w:val="single" w:color="auto" w:sz="4" w:space="0"/>
                    <w:right w:val="single" w:color="auto" w:sz="4" w:space="0"/>
                  </w:tcBorders>
                  <w:vAlign w:val="center"/>
                </w:tcPr>
                <w:p w14:paraId="73293711">
                  <w:pPr>
                    <w:widowControl/>
                    <w:adjustRightInd w:val="0"/>
                    <w:snapToGrid w:val="0"/>
                    <w:jc w:val="center"/>
                    <w:rPr>
                      <w:color w:val="auto"/>
                      <w:kern w:val="2"/>
                      <w:sz w:val="21"/>
                      <w:szCs w:val="22"/>
                    </w:rPr>
                  </w:pPr>
                  <w:r>
                    <w:rPr>
                      <w:rFonts w:hint="eastAsia"/>
                      <w:color w:val="auto"/>
                      <w:kern w:val="2"/>
                      <w:sz w:val="21"/>
                      <w:szCs w:val="22"/>
                    </w:rPr>
                    <w:t>清污分流、排污口规范化设置（流量计、在线监测仪表等）</w:t>
                  </w:r>
                </w:p>
              </w:tc>
              <w:tc>
                <w:tcPr>
                  <w:tcW w:w="7222" w:type="dxa"/>
                  <w:gridSpan w:val="3"/>
                  <w:tcBorders>
                    <w:top w:val="single" w:color="auto" w:sz="4" w:space="0"/>
                    <w:left w:val="single" w:color="auto" w:sz="4" w:space="0"/>
                    <w:bottom w:val="single" w:color="auto" w:sz="4" w:space="0"/>
                    <w:right w:val="single" w:color="auto" w:sz="4" w:space="0"/>
                  </w:tcBorders>
                  <w:vAlign w:val="center"/>
                </w:tcPr>
                <w:p w14:paraId="241EC7DF">
                  <w:pPr>
                    <w:widowControl/>
                    <w:adjustRightInd w:val="0"/>
                    <w:snapToGrid w:val="0"/>
                    <w:jc w:val="center"/>
                    <w:rPr>
                      <w:color w:val="auto"/>
                      <w:kern w:val="2"/>
                      <w:sz w:val="21"/>
                      <w:szCs w:val="22"/>
                    </w:rPr>
                  </w:pPr>
                  <w:r>
                    <w:rPr>
                      <w:rFonts w:hint="eastAsia"/>
                      <w:color w:val="auto"/>
                      <w:kern w:val="2"/>
                      <w:sz w:val="21"/>
                      <w:szCs w:val="22"/>
                    </w:rPr>
                    <w:t>废水排口、雨水排口、危废堆场、高噪声设备处等处应按照规范设置标识，醒目处树立环保图形标志牌。</w:t>
                  </w:r>
                </w:p>
              </w:tc>
              <w:tc>
                <w:tcPr>
                  <w:tcW w:w="2891" w:type="dxa"/>
                  <w:tcBorders>
                    <w:top w:val="single" w:color="auto" w:sz="4" w:space="0"/>
                    <w:left w:val="single" w:color="auto" w:sz="4" w:space="0"/>
                    <w:bottom w:val="single" w:color="auto" w:sz="4" w:space="0"/>
                    <w:right w:val="single" w:color="auto" w:sz="4" w:space="0"/>
                  </w:tcBorders>
                  <w:vAlign w:val="center"/>
                </w:tcPr>
                <w:p w14:paraId="014BB92C">
                  <w:pPr>
                    <w:widowControl/>
                    <w:adjustRightInd w:val="0"/>
                    <w:snapToGrid w:val="0"/>
                    <w:jc w:val="center"/>
                    <w:rPr>
                      <w:color w:val="auto"/>
                      <w:kern w:val="2"/>
                      <w:sz w:val="21"/>
                      <w:szCs w:val="22"/>
                    </w:rPr>
                  </w:pPr>
                  <w:r>
                    <w:rPr>
                      <w:rFonts w:hint="eastAsia"/>
                      <w:color w:val="auto"/>
                      <w:kern w:val="2"/>
                      <w:sz w:val="21"/>
                      <w:szCs w:val="22"/>
                    </w:rPr>
                    <w:t>实现有效监管</w:t>
                  </w:r>
                </w:p>
              </w:tc>
              <w:tc>
                <w:tcPr>
                  <w:tcW w:w="1341" w:type="dxa"/>
                  <w:tcBorders>
                    <w:top w:val="single" w:color="auto" w:sz="4" w:space="0"/>
                    <w:left w:val="single" w:color="auto" w:sz="4" w:space="0"/>
                    <w:bottom w:val="nil"/>
                    <w:right w:val="single" w:color="auto" w:sz="4" w:space="0"/>
                  </w:tcBorders>
                  <w:vAlign w:val="center"/>
                </w:tcPr>
                <w:p w14:paraId="32724184">
                  <w:pPr>
                    <w:widowControl/>
                    <w:adjustRightInd w:val="0"/>
                    <w:snapToGrid w:val="0"/>
                    <w:jc w:val="center"/>
                    <w:rPr>
                      <w:color w:val="auto"/>
                      <w:kern w:val="2"/>
                      <w:sz w:val="21"/>
                      <w:szCs w:val="22"/>
                    </w:rPr>
                  </w:pPr>
                  <w:r>
                    <w:rPr>
                      <w:rFonts w:hint="eastAsia"/>
                      <w:color w:val="auto"/>
                      <w:kern w:val="2"/>
                      <w:sz w:val="21"/>
                      <w:szCs w:val="22"/>
                    </w:rPr>
                    <w:t>1</w:t>
                  </w:r>
                  <w:r>
                    <w:rPr>
                      <w:color w:val="auto"/>
                      <w:kern w:val="2"/>
                      <w:sz w:val="21"/>
                      <w:szCs w:val="22"/>
                    </w:rPr>
                    <w:t>00</w:t>
                  </w:r>
                </w:p>
              </w:tc>
              <w:tc>
                <w:tcPr>
                  <w:tcW w:w="696" w:type="dxa"/>
                  <w:vMerge w:val="continue"/>
                  <w:tcBorders>
                    <w:top w:val="single" w:color="auto" w:sz="4" w:space="0"/>
                    <w:left w:val="single" w:color="auto" w:sz="4" w:space="0"/>
                    <w:bottom w:val="single" w:color="auto" w:sz="4" w:space="0"/>
                    <w:right w:val="nil"/>
                  </w:tcBorders>
                  <w:vAlign w:val="center"/>
                </w:tcPr>
                <w:p w14:paraId="307C8255">
                  <w:pPr>
                    <w:widowControl/>
                    <w:jc w:val="left"/>
                    <w:rPr>
                      <w:color w:val="auto"/>
                      <w:kern w:val="2"/>
                      <w:sz w:val="21"/>
                      <w:szCs w:val="22"/>
                    </w:rPr>
                  </w:pPr>
                </w:p>
              </w:tc>
            </w:tr>
            <w:tr w14:paraId="125EA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4" w:space="0"/>
                    <w:left w:val="nil"/>
                    <w:bottom w:val="single" w:color="auto" w:sz="4" w:space="0"/>
                    <w:right w:val="single" w:color="auto" w:sz="4" w:space="0"/>
                  </w:tcBorders>
                  <w:vAlign w:val="center"/>
                </w:tcPr>
                <w:p w14:paraId="77A143D6">
                  <w:pPr>
                    <w:widowControl/>
                    <w:adjustRightInd w:val="0"/>
                    <w:snapToGrid w:val="0"/>
                    <w:jc w:val="center"/>
                    <w:rPr>
                      <w:color w:val="auto"/>
                      <w:kern w:val="2"/>
                      <w:sz w:val="21"/>
                      <w:szCs w:val="22"/>
                    </w:rPr>
                  </w:pPr>
                  <w:r>
                    <w:rPr>
                      <w:rFonts w:hint="eastAsia"/>
                      <w:color w:val="auto"/>
                      <w:kern w:val="2"/>
                      <w:sz w:val="21"/>
                      <w:szCs w:val="22"/>
                    </w:rPr>
                    <w:t>“以新带老”措施</w:t>
                  </w:r>
                </w:p>
              </w:tc>
              <w:tc>
                <w:tcPr>
                  <w:tcW w:w="10113" w:type="dxa"/>
                  <w:gridSpan w:val="4"/>
                  <w:tcBorders>
                    <w:top w:val="single" w:color="auto" w:sz="4" w:space="0"/>
                    <w:left w:val="single" w:color="auto" w:sz="4" w:space="0"/>
                    <w:bottom w:val="single" w:color="auto" w:sz="4" w:space="0"/>
                    <w:right w:val="single" w:color="auto" w:sz="4" w:space="0"/>
                  </w:tcBorders>
                  <w:vAlign w:val="center"/>
                </w:tcPr>
                <w:p w14:paraId="766E3026">
                  <w:pPr>
                    <w:widowControl/>
                    <w:adjustRightInd w:val="0"/>
                    <w:snapToGrid w:val="0"/>
                    <w:jc w:val="center"/>
                    <w:rPr>
                      <w:color w:val="auto"/>
                      <w:kern w:val="2"/>
                      <w:sz w:val="21"/>
                      <w:szCs w:val="22"/>
                    </w:rPr>
                  </w:pPr>
                  <w:r>
                    <w:rPr>
                      <w:color w:val="auto"/>
                      <w:kern w:val="2"/>
                      <w:sz w:val="21"/>
                      <w:szCs w:val="22"/>
                    </w:rPr>
                    <w:t>——</w:t>
                  </w:r>
                </w:p>
              </w:tc>
              <w:tc>
                <w:tcPr>
                  <w:tcW w:w="1341" w:type="dxa"/>
                  <w:tcBorders>
                    <w:top w:val="single" w:color="auto" w:sz="4" w:space="0"/>
                    <w:left w:val="single" w:color="auto" w:sz="4" w:space="0"/>
                    <w:bottom w:val="single" w:color="auto" w:sz="4" w:space="0"/>
                    <w:right w:val="single" w:color="auto" w:sz="4" w:space="0"/>
                  </w:tcBorders>
                  <w:vAlign w:val="center"/>
                </w:tcPr>
                <w:p w14:paraId="0C9C9D24">
                  <w:pPr>
                    <w:widowControl/>
                    <w:adjustRightInd w:val="0"/>
                    <w:snapToGrid w:val="0"/>
                    <w:jc w:val="center"/>
                    <w:rPr>
                      <w:color w:val="auto"/>
                      <w:kern w:val="2"/>
                      <w:sz w:val="21"/>
                      <w:szCs w:val="22"/>
                    </w:rPr>
                  </w:pPr>
                  <w:r>
                    <w:rPr>
                      <w:color w:val="auto"/>
                      <w:kern w:val="2"/>
                      <w:sz w:val="21"/>
                      <w:szCs w:val="22"/>
                    </w:rPr>
                    <w:t>/</w:t>
                  </w:r>
                </w:p>
              </w:tc>
              <w:tc>
                <w:tcPr>
                  <w:tcW w:w="696" w:type="dxa"/>
                  <w:vMerge w:val="continue"/>
                  <w:tcBorders>
                    <w:top w:val="single" w:color="auto" w:sz="4" w:space="0"/>
                    <w:left w:val="single" w:color="auto" w:sz="4" w:space="0"/>
                    <w:bottom w:val="single" w:color="auto" w:sz="4" w:space="0"/>
                    <w:right w:val="nil"/>
                  </w:tcBorders>
                  <w:vAlign w:val="center"/>
                </w:tcPr>
                <w:p w14:paraId="31AD6575">
                  <w:pPr>
                    <w:widowControl/>
                    <w:jc w:val="left"/>
                    <w:rPr>
                      <w:color w:val="auto"/>
                      <w:kern w:val="2"/>
                      <w:sz w:val="21"/>
                      <w:szCs w:val="22"/>
                    </w:rPr>
                  </w:pPr>
                </w:p>
              </w:tc>
            </w:tr>
            <w:tr w14:paraId="22A84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4" w:space="0"/>
                    <w:left w:val="nil"/>
                    <w:bottom w:val="single" w:color="auto" w:sz="4" w:space="0"/>
                    <w:right w:val="single" w:color="auto" w:sz="4" w:space="0"/>
                  </w:tcBorders>
                  <w:vAlign w:val="center"/>
                </w:tcPr>
                <w:p w14:paraId="2E960C5C">
                  <w:pPr>
                    <w:widowControl/>
                    <w:adjustRightInd w:val="0"/>
                    <w:snapToGrid w:val="0"/>
                    <w:jc w:val="center"/>
                    <w:rPr>
                      <w:color w:val="auto"/>
                      <w:kern w:val="2"/>
                      <w:sz w:val="21"/>
                      <w:szCs w:val="22"/>
                    </w:rPr>
                  </w:pPr>
                  <w:r>
                    <w:rPr>
                      <w:rFonts w:hint="eastAsia"/>
                      <w:color w:val="auto"/>
                      <w:kern w:val="2"/>
                      <w:sz w:val="21"/>
                      <w:szCs w:val="22"/>
                    </w:rPr>
                    <w:t>总量控制</w:t>
                  </w:r>
                </w:p>
              </w:tc>
              <w:tc>
                <w:tcPr>
                  <w:tcW w:w="10113" w:type="dxa"/>
                  <w:gridSpan w:val="4"/>
                  <w:tcBorders>
                    <w:top w:val="single" w:color="auto" w:sz="4" w:space="0"/>
                    <w:left w:val="single" w:color="auto" w:sz="4" w:space="0"/>
                    <w:bottom w:val="single" w:color="auto" w:sz="4" w:space="0"/>
                    <w:right w:val="single" w:color="auto" w:sz="4" w:space="0"/>
                  </w:tcBorders>
                  <w:vAlign w:val="center"/>
                </w:tcPr>
                <w:p w14:paraId="142F4C6B">
                  <w:pPr>
                    <w:widowControl/>
                    <w:adjustRightInd w:val="0"/>
                    <w:snapToGrid w:val="0"/>
                    <w:jc w:val="center"/>
                    <w:rPr>
                      <w:color w:val="auto"/>
                      <w:kern w:val="2"/>
                      <w:sz w:val="21"/>
                      <w:szCs w:val="22"/>
                    </w:rPr>
                  </w:pPr>
                  <w:r>
                    <w:rPr>
                      <w:rFonts w:hint="eastAsia"/>
                      <w:color w:val="auto"/>
                      <w:kern w:val="0"/>
                      <w:sz w:val="21"/>
                      <w:szCs w:val="21"/>
                    </w:rPr>
                    <w:t>拟建项目建成后，废水污染物外排量</w:t>
                  </w:r>
                  <w:r>
                    <w:rPr>
                      <w:color w:val="auto"/>
                      <w:kern w:val="0"/>
                      <w:sz w:val="21"/>
                      <w:szCs w:val="21"/>
                    </w:rPr>
                    <w:t>COD0.58t/a</w:t>
                  </w:r>
                  <w:r>
                    <w:rPr>
                      <w:rFonts w:hint="eastAsia"/>
                      <w:color w:val="auto"/>
                      <w:kern w:val="0"/>
                      <w:sz w:val="21"/>
                      <w:szCs w:val="21"/>
                    </w:rPr>
                    <w:t>，</w:t>
                  </w:r>
                  <w:r>
                    <w:rPr>
                      <w:color w:val="auto"/>
                      <w:kern w:val="0"/>
                      <w:sz w:val="21"/>
                      <w:szCs w:val="21"/>
                    </w:rPr>
                    <w:t>SS0.15t/a</w:t>
                  </w:r>
                  <w:r>
                    <w:rPr>
                      <w:rFonts w:hint="eastAsia"/>
                      <w:color w:val="auto"/>
                      <w:kern w:val="0"/>
                      <w:sz w:val="21"/>
                      <w:szCs w:val="21"/>
                    </w:rPr>
                    <w:t>，氨氮</w:t>
                  </w:r>
                  <w:r>
                    <w:rPr>
                      <w:color w:val="auto"/>
                      <w:kern w:val="0"/>
                      <w:sz w:val="21"/>
                      <w:szCs w:val="21"/>
                    </w:rPr>
                    <w:t>0.04t/a</w:t>
                  </w:r>
                  <w:r>
                    <w:rPr>
                      <w:rFonts w:hint="eastAsia"/>
                      <w:color w:val="auto"/>
                      <w:kern w:val="0"/>
                      <w:sz w:val="21"/>
                      <w:szCs w:val="21"/>
                    </w:rPr>
                    <w:t>，总氮</w:t>
                  </w:r>
                  <w:r>
                    <w:rPr>
                      <w:color w:val="auto"/>
                      <w:kern w:val="0"/>
                      <w:sz w:val="21"/>
                      <w:szCs w:val="21"/>
                    </w:rPr>
                    <w:t>0.15t/a</w:t>
                  </w:r>
                  <w:r>
                    <w:rPr>
                      <w:rFonts w:hint="eastAsia"/>
                      <w:color w:val="auto"/>
                      <w:kern w:val="0"/>
                      <w:sz w:val="21"/>
                      <w:szCs w:val="21"/>
                    </w:rPr>
                    <w:t>，</w:t>
                  </w:r>
                  <w:r>
                    <w:rPr>
                      <w:color w:val="auto"/>
                      <w:kern w:val="0"/>
                      <w:sz w:val="21"/>
                      <w:szCs w:val="21"/>
                    </w:rPr>
                    <w:t>TP0.01t/a</w:t>
                  </w:r>
                  <w:r>
                    <w:rPr>
                      <w:rFonts w:hint="eastAsia"/>
                      <w:color w:val="auto"/>
                      <w:kern w:val="0"/>
                      <w:sz w:val="21"/>
                      <w:szCs w:val="21"/>
                    </w:rPr>
                    <w:t>；废气污染物排放量无组织颗粒物</w:t>
                  </w:r>
                  <w:r>
                    <w:rPr>
                      <w:color w:val="auto"/>
                      <w:kern w:val="0"/>
                      <w:sz w:val="21"/>
                      <w:szCs w:val="21"/>
                    </w:rPr>
                    <w:t>19.602t/a</w:t>
                  </w:r>
                  <w:r>
                    <w:rPr>
                      <w:rFonts w:hint="eastAsia"/>
                      <w:color w:val="auto"/>
                      <w:kern w:val="0"/>
                      <w:sz w:val="21"/>
                      <w:szCs w:val="21"/>
                    </w:rPr>
                    <w:t>，</w:t>
                  </w:r>
                  <w:r>
                    <w:rPr>
                      <w:color w:val="auto"/>
                      <w:kern w:val="0"/>
                      <w:sz w:val="21"/>
                      <w:szCs w:val="21"/>
                    </w:rPr>
                    <w:t>VOCs0.04t/a</w:t>
                  </w:r>
                  <w:r>
                    <w:rPr>
                      <w:rFonts w:hint="eastAsia"/>
                      <w:color w:val="auto"/>
                      <w:kern w:val="0"/>
                      <w:sz w:val="21"/>
                      <w:szCs w:val="21"/>
                    </w:rPr>
                    <w:t>（包含非甲烷总烃</w:t>
                  </w:r>
                  <w:r>
                    <w:rPr>
                      <w:color w:val="auto"/>
                      <w:kern w:val="0"/>
                      <w:sz w:val="21"/>
                      <w:szCs w:val="21"/>
                    </w:rPr>
                    <w:t>0.04t/a</w:t>
                  </w:r>
                  <w:r>
                    <w:rPr>
                      <w:rFonts w:hint="eastAsia"/>
                      <w:color w:val="auto"/>
                      <w:kern w:val="0"/>
                      <w:sz w:val="21"/>
                      <w:szCs w:val="21"/>
                    </w:rPr>
                    <w:t>），氮氧化物</w:t>
                  </w:r>
                  <w:r>
                    <w:rPr>
                      <w:color w:val="auto"/>
                      <w:kern w:val="0"/>
                      <w:sz w:val="21"/>
                      <w:szCs w:val="21"/>
                    </w:rPr>
                    <w:t>1.48t/a</w:t>
                  </w:r>
                  <w:r>
                    <w:rPr>
                      <w:rFonts w:hint="eastAsia"/>
                      <w:color w:val="auto"/>
                      <w:kern w:val="0"/>
                      <w:sz w:val="21"/>
                      <w:szCs w:val="21"/>
                    </w:rPr>
                    <w:t>。废水、废气总量指标在清江浦区内平衡。</w:t>
                  </w:r>
                </w:p>
              </w:tc>
              <w:tc>
                <w:tcPr>
                  <w:tcW w:w="1341" w:type="dxa"/>
                  <w:tcBorders>
                    <w:top w:val="single" w:color="auto" w:sz="4" w:space="0"/>
                    <w:left w:val="single" w:color="auto" w:sz="4" w:space="0"/>
                    <w:bottom w:val="single" w:color="auto" w:sz="4" w:space="0"/>
                    <w:right w:val="single" w:color="auto" w:sz="4" w:space="0"/>
                  </w:tcBorders>
                  <w:vAlign w:val="center"/>
                </w:tcPr>
                <w:p w14:paraId="2ACF500B">
                  <w:pPr>
                    <w:widowControl/>
                    <w:adjustRightInd w:val="0"/>
                    <w:snapToGrid w:val="0"/>
                    <w:jc w:val="center"/>
                    <w:rPr>
                      <w:color w:val="auto"/>
                      <w:kern w:val="2"/>
                      <w:sz w:val="21"/>
                      <w:szCs w:val="22"/>
                    </w:rPr>
                  </w:pPr>
                  <w:r>
                    <w:rPr>
                      <w:color w:val="auto"/>
                      <w:kern w:val="2"/>
                      <w:sz w:val="21"/>
                      <w:szCs w:val="22"/>
                    </w:rPr>
                    <w:t>/</w:t>
                  </w:r>
                </w:p>
              </w:tc>
              <w:tc>
                <w:tcPr>
                  <w:tcW w:w="696" w:type="dxa"/>
                  <w:vMerge w:val="continue"/>
                  <w:tcBorders>
                    <w:top w:val="single" w:color="auto" w:sz="4" w:space="0"/>
                    <w:left w:val="single" w:color="auto" w:sz="4" w:space="0"/>
                    <w:bottom w:val="single" w:color="auto" w:sz="4" w:space="0"/>
                    <w:right w:val="nil"/>
                  </w:tcBorders>
                  <w:vAlign w:val="center"/>
                </w:tcPr>
                <w:p w14:paraId="73162A7C">
                  <w:pPr>
                    <w:widowControl/>
                    <w:jc w:val="left"/>
                    <w:rPr>
                      <w:color w:val="auto"/>
                      <w:kern w:val="2"/>
                      <w:sz w:val="21"/>
                      <w:szCs w:val="22"/>
                    </w:rPr>
                  </w:pPr>
                </w:p>
              </w:tc>
            </w:tr>
            <w:tr w14:paraId="58CF9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4" w:space="0"/>
                    <w:left w:val="nil"/>
                    <w:bottom w:val="single" w:color="auto" w:sz="4" w:space="0"/>
                    <w:right w:val="single" w:color="auto" w:sz="4" w:space="0"/>
                  </w:tcBorders>
                  <w:vAlign w:val="center"/>
                </w:tcPr>
                <w:p w14:paraId="3AB64B80">
                  <w:pPr>
                    <w:widowControl/>
                    <w:adjustRightInd w:val="0"/>
                    <w:snapToGrid w:val="0"/>
                    <w:jc w:val="center"/>
                    <w:rPr>
                      <w:color w:val="auto"/>
                      <w:kern w:val="2"/>
                      <w:sz w:val="21"/>
                      <w:szCs w:val="22"/>
                    </w:rPr>
                  </w:pPr>
                  <w:r>
                    <w:rPr>
                      <w:rFonts w:hint="eastAsia"/>
                      <w:color w:val="auto"/>
                      <w:kern w:val="2"/>
                      <w:sz w:val="21"/>
                      <w:szCs w:val="22"/>
                    </w:rPr>
                    <w:t>区域解决问题</w:t>
                  </w:r>
                </w:p>
              </w:tc>
              <w:tc>
                <w:tcPr>
                  <w:tcW w:w="10113" w:type="dxa"/>
                  <w:gridSpan w:val="4"/>
                  <w:tcBorders>
                    <w:top w:val="single" w:color="auto" w:sz="4" w:space="0"/>
                    <w:left w:val="single" w:color="auto" w:sz="4" w:space="0"/>
                    <w:bottom w:val="single" w:color="auto" w:sz="4" w:space="0"/>
                    <w:right w:val="single" w:color="auto" w:sz="4" w:space="0"/>
                  </w:tcBorders>
                  <w:vAlign w:val="center"/>
                </w:tcPr>
                <w:p w14:paraId="56AE4020">
                  <w:pPr>
                    <w:widowControl/>
                    <w:adjustRightInd w:val="0"/>
                    <w:snapToGrid w:val="0"/>
                    <w:jc w:val="center"/>
                    <w:rPr>
                      <w:color w:val="auto"/>
                      <w:kern w:val="2"/>
                      <w:sz w:val="21"/>
                      <w:szCs w:val="22"/>
                    </w:rPr>
                  </w:pPr>
                  <w:r>
                    <w:rPr>
                      <w:color w:val="auto"/>
                      <w:kern w:val="2"/>
                      <w:sz w:val="21"/>
                      <w:szCs w:val="22"/>
                    </w:rPr>
                    <w:t>——</w:t>
                  </w:r>
                </w:p>
              </w:tc>
              <w:tc>
                <w:tcPr>
                  <w:tcW w:w="1341" w:type="dxa"/>
                  <w:tcBorders>
                    <w:top w:val="single" w:color="auto" w:sz="4" w:space="0"/>
                    <w:left w:val="single" w:color="auto" w:sz="4" w:space="0"/>
                    <w:bottom w:val="single" w:color="auto" w:sz="4" w:space="0"/>
                    <w:right w:val="single" w:color="auto" w:sz="4" w:space="0"/>
                  </w:tcBorders>
                  <w:vAlign w:val="center"/>
                </w:tcPr>
                <w:p w14:paraId="4D985ABD">
                  <w:pPr>
                    <w:widowControl/>
                    <w:adjustRightInd w:val="0"/>
                    <w:snapToGrid w:val="0"/>
                    <w:jc w:val="center"/>
                    <w:rPr>
                      <w:color w:val="auto"/>
                      <w:kern w:val="2"/>
                      <w:sz w:val="21"/>
                      <w:szCs w:val="22"/>
                    </w:rPr>
                  </w:pPr>
                  <w:r>
                    <w:rPr>
                      <w:color w:val="auto"/>
                      <w:kern w:val="2"/>
                      <w:sz w:val="21"/>
                      <w:szCs w:val="22"/>
                    </w:rPr>
                    <w:t>/</w:t>
                  </w:r>
                </w:p>
              </w:tc>
              <w:tc>
                <w:tcPr>
                  <w:tcW w:w="696" w:type="dxa"/>
                  <w:vMerge w:val="continue"/>
                  <w:tcBorders>
                    <w:top w:val="single" w:color="auto" w:sz="4" w:space="0"/>
                    <w:left w:val="single" w:color="auto" w:sz="4" w:space="0"/>
                    <w:bottom w:val="single" w:color="auto" w:sz="4" w:space="0"/>
                    <w:right w:val="nil"/>
                  </w:tcBorders>
                  <w:vAlign w:val="center"/>
                </w:tcPr>
                <w:p w14:paraId="7F01F599">
                  <w:pPr>
                    <w:widowControl/>
                    <w:jc w:val="left"/>
                    <w:rPr>
                      <w:color w:val="auto"/>
                      <w:kern w:val="2"/>
                      <w:sz w:val="21"/>
                      <w:szCs w:val="22"/>
                    </w:rPr>
                  </w:pPr>
                </w:p>
              </w:tc>
            </w:tr>
            <w:tr w14:paraId="31672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4" w:space="0"/>
                    <w:left w:val="nil"/>
                    <w:bottom w:val="single" w:color="auto" w:sz="4" w:space="0"/>
                    <w:right w:val="single" w:color="auto" w:sz="4" w:space="0"/>
                  </w:tcBorders>
                  <w:vAlign w:val="center"/>
                </w:tcPr>
                <w:p w14:paraId="5CE0B3E2">
                  <w:pPr>
                    <w:widowControl/>
                    <w:adjustRightInd w:val="0"/>
                    <w:snapToGrid w:val="0"/>
                    <w:jc w:val="center"/>
                    <w:rPr>
                      <w:b/>
                      <w:bCs/>
                      <w:color w:val="auto"/>
                      <w:kern w:val="2"/>
                      <w:sz w:val="21"/>
                      <w:szCs w:val="22"/>
                    </w:rPr>
                  </w:pPr>
                  <w:r>
                    <w:rPr>
                      <w:rFonts w:hint="eastAsia"/>
                      <w:color w:val="auto"/>
                      <w:kern w:val="2"/>
                      <w:sz w:val="21"/>
                      <w:szCs w:val="22"/>
                    </w:rPr>
                    <w:t>卫生防护距离设置</w:t>
                  </w:r>
                </w:p>
              </w:tc>
              <w:tc>
                <w:tcPr>
                  <w:tcW w:w="10113" w:type="dxa"/>
                  <w:gridSpan w:val="4"/>
                  <w:tcBorders>
                    <w:top w:val="single" w:color="auto" w:sz="4" w:space="0"/>
                    <w:left w:val="single" w:color="auto" w:sz="4" w:space="0"/>
                    <w:bottom w:val="single" w:color="auto" w:sz="4" w:space="0"/>
                    <w:right w:val="single" w:color="auto" w:sz="4" w:space="0"/>
                  </w:tcBorders>
                  <w:vAlign w:val="center"/>
                </w:tcPr>
                <w:p w14:paraId="2937F7A3">
                  <w:pPr>
                    <w:widowControl/>
                    <w:adjustRightInd w:val="0"/>
                    <w:snapToGrid w:val="0"/>
                    <w:jc w:val="center"/>
                    <w:rPr>
                      <w:color w:val="auto"/>
                      <w:kern w:val="2"/>
                      <w:sz w:val="21"/>
                      <w:szCs w:val="22"/>
                    </w:rPr>
                  </w:pPr>
                  <w:r>
                    <w:rPr>
                      <w:rFonts w:hint="eastAsia"/>
                      <w:color w:val="auto"/>
                      <w:kern w:val="2"/>
                      <w:sz w:val="21"/>
                      <w:szCs w:val="22"/>
                    </w:rPr>
                    <w:t>根据计算，拟建项目不设置大气环境防护距离，项目建成后全厂卫生防护距离是以厂界为起点</w:t>
                  </w:r>
                  <w:r>
                    <w:rPr>
                      <w:color w:val="auto"/>
                      <w:kern w:val="2"/>
                      <w:sz w:val="21"/>
                      <w:szCs w:val="22"/>
                    </w:rPr>
                    <w:t>100m</w:t>
                  </w:r>
                  <w:r>
                    <w:rPr>
                      <w:rFonts w:hint="eastAsia"/>
                      <w:color w:val="auto"/>
                      <w:kern w:val="2"/>
                      <w:sz w:val="21"/>
                      <w:szCs w:val="22"/>
                    </w:rPr>
                    <w:t>范围内。项目建成后该范围内无居住区等环境保护目标。</w:t>
                  </w:r>
                </w:p>
              </w:tc>
              <w:tc>
                <w:tcPr>
                  <w:tcW w:w="1341" w:type="dxa"/>
                  <w:tcBorders>
                    <w:top w:val="single" w:color="auto" w:sz="4" w:space="0"/>
                    <w:left w:val="single" w:color="auto" w:sz="4" w:space="0"/>
                    <w:bottom w:val="single" w:color="auto" w:sz="4" w:space="0"/>
                    <w:right w:val="single" w:color="auto" w:sz="4" w:space="0"/>
                  </w:tcBorders>
                  <w:vAlign w:val="center"/>
                </w:tcPr>
                <w:p w14:paraId="07D9CAA4">
                  <w:pPr>
                    <w:widowControl/>
                    <w:adjustRightInd w:val="0"/>
                    <w:snapToGrid w:val="0"/>
                    <w:jc w:val="center"/>
                    <w:rPr>
                      <w:color w:val="auto"/>
                      <w:kern w:val="2"/>
                      <w:sz w:val="21"/>
                      <w:szCs w:val="22"/>
                    </w:rPr>
                  </w:pPr>
                  <w:r>
                    <w:rPr>
                      <w:color w:val="auto"/>
                      <w:kern w:val="2"/>
                      <w:sz w:val="21"/>
                      <w:szCs w:val="22"/>
                    </w:rPr>
                    <w:t>/</w:t>
                  </w:r>
                </w:p>
              </w:tc>
              <w:tc>
                <w:tcPr>
                  <w:tcW w:w="696" w:type="dxa"/>
                  <w:vMerge w:val="continue"/>
                  <w:tcBorders>
                    <w:top w:val="single" w:color="auto" w:sz="4" w:space="0"/>
                    <w:left w:val="single" w:color="auto" w:sz="4" w:space="0"/>
                    <w:bottom w:val="single" w:color="auto" w:sz="4" w:space="0"/>
                    <w:right w:val="nil"/>
                  </w:tcBorders>
                  <w:vAlign w:val="center"/>
                </w:tcPr>
                <w:p w14:paraId="38351CFA">
                  <w:pPr>
                    <w:widowControl/>
                    <w:jc w:val="left"/>
                    <w:rPr>
                      <w:color w:val="auto"/>
                      <w:kern w:val="2"/>
                      <w:sz w:val="21"/>
                      <w:szCs w:val="22"/>
                    </w:rPr>
                  </w:pPr>
                </w:p>
              </w:tc>
            </w:tr>
            <w:tr w14:paraId="570DF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15" w:type="dxa"/>
                  <w:tcBorders>
                    <w:top w:val="single" w:color="auto" w:sz="4" w:space="0"/>
                    <w:left w:val="nil"/>
                    <w:bottom w:val="single" w:color="auto" w:sz="12" w:space="0"/>
                    <w:right w:val="single" w:color="auto" w:sz="4" w:space="0"/>
                  </w:tcBorders>
                  <w:vAlign w:val="center"/>
                </w:tcPr>
                <w:p w14:paraId="7DAB88FB">
                  <w:pPr>
                    <w:widowControl/>
                    <w:adjustRightInd w:val="0"/>
                    <w:snapToGrid w:val="0"/>
                    <w:jc w:val="center"/>
                    <w:rPr>
                      <w:color w:val="auto"/>
                      <w:kern w:val="2"/>
                      <w:sz w:val="21"/>
                      <w:szCs w:val="22"/>
                    </w:rPr>
                  </w:pPr>
                  <w:r>
                    <w:rPr>
                      <w:rFonts w:hint="eastAsia"/>
                      <w:color w:val="auto"/>
                      <w:kern w:val="2"/>
                      <w:sz w:val="21"/>
                      <w:szCs w:val="22"/>
                    </w:rPr>
                    <w:t>合计</w:t>
                  </w:r>
                </w:p>
              </w:tc>
              <w:tc>
                <w:tcPr>
                  <w:tcW w:w="10113" w:type="dxa"/>
                  <w:gridSpan w:val="4"/>
                  <w:tcBorders>
                    <w:top w:val="single" w:color="auto" w:sz="4" w:space="0"/>
                    <w:left w:val="single" w:color="auto" w:sz="4" w:space="0"/>
                    <w:bottom w:val="single" w:color="auto" w:sz="12" w:space="0"/>
                    <w:right w:val="single" w:color="auto" w:sz="4" w:space="0"/>
                  </w:tcBorders>
                  <w:vAlign w:val="center"/>
                </w:tcPr>
                <w:p w14:paraId="2BC5731C">
                  <w:pPr>
                    <w:widowControl/>
                    <w:adjustRightInd w:val="0"/>
                    <w:snapToGrid w:val="0"/>
                    <w:jc w:val="center"/>
                    <w:rPr>
                      <w:color w:val="auto"/>
                      <w:kern w:val="2"/>
                      <w:sz w:val="21"/>
                      <w:szCs w:val="22"/>
                    </w:rPr>
                  </w:pPr>
                  <w:r>
                    <w:rPr>
                      <w:color w:val="auto"/>
                      <w:kern w:val="2"/>
                      <w:sz w:val="21"/>
                      <w:szCs w:val="22"/>
                    </w:rPr>
                    <w:t>/</w:t>
                  </w:r>
                </w:p>
              </w:tc>
              <w:tc>
                <w:tcPr>
                  <w:tcW w:w="1341" w:type="dxa"/>
                  <w:tcBorders>
                    <w:top w:val="single" w:color="auto" w:sz="4" w:space="0"/>
                    <w:left w:val="single" w:color="auto" w:sz="4" w:space="0"/>
                    <w:bottom w:val="single" w:color="auto" w:sz="12" w:space="0"/>
                    <w:right w:val="single" w:color="auto" w:sz="4" w:space="0"/>
                  </w:tcBorders>
                  <w:vAlign w:val="center"/>
                </w:tcPr>
                <w:p w14:paraId="536209AB">
                  <w:pPr>
                    <w:widowControl/>
                    <w:adjustRightInd w:val="0"/>
                    <w:snapToGrid w:val="0"/>
                    <w:jc w:val="center"/>
                    <w:rPr>
                      <w:color w:val="auto"/>
                      <w:kern w:val="2"/>
                      <w:sz w:val="21"/>
                      <w:szCs w:val="22"/>
                    </w:rPr>
                  </w:pPr>
                  <w:r>
                    <w:rPr>
                      <w:rFonts w:hint="eastAsia"/>
                      <w:color w:val="auto"/>
                      <w:kern w:val="2"/>
                      <w:sz w:val="21"/>
                      <w:szCs w:val="22"/>
                    </w:rPr>
                    <w:t>9</w:t>
                  </w:r>
                  <w:r>
                    <w:rPr>
                      <w:color w:val="auto"/>
                      <w:kern w:val="2"/>
                      <w:sz w:val="21"/>
                      <w:szCs w:val="22"/>
                    </w:rPr>
                    <w:t>000</w:t>
                  </w:r>
                </w:p>
              </w:tc>
              <w:tc>
                <w:tcPr>
                  <w:tcW w:w="696" w:type="dxa"/>
                  <w:tcBorders>
                    <w:top w:val="single" w:color="auto" w:sz="4" w:space="0"/>
                    <w:left w:val="single" w:color="auto" w:sz="4" w:space="0"/>
                    <w:bottom w:val="single" w:color="auto" w:sz="12" w:space="0"/>
                    <w:right w:val="nil"/>
                  </w:tcBorders>
                  <w:vAlign w:val="center"/>
                </w:tcPr>
                <w:p w14:paraId="6DD79B36">
                  <w:pPr>
                    <w:widowControl/>
                    <w:adjustRightInd w:val="0"/>
                    <w:snapToGrid w:val="0"/>
                    <w:jc w:val="center"/>
                    <w:rPr>
                      <w:color w:val="auto"/>
                      <w:kern w:val="2"/>
                      <w:sz w:val="21"/>
                      <w:szCs w:val="22"/>
                    </w:rPr>
                  </w:pPr>
                  <w:r>
                    <w:rPr>
                      <w:color w:val="auto"/>
                      <w:kern w:val="2"/>
                      <w:sz w:val="21"/>
                      <w:szCs w:val="22"/>
                    </w:rPr>
                    <w:t>/</w:t>
                  </w:r>
                </w:p>
              </w:tc>
            </w:tr>
          </w:tbl>
          <w:p w14:paraId="01358238">
            <w:pPr>
              <w:widowControl/>
              <w:adjustRightInd w:val="0"/>
              <w:snapToGrid w:val="0"/>
              <w:spacing w:line="500" w:lineRule="exact"/>
              <w:ind w:firstLine="482"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4、在建项目环评结论</w:t>
            </w:r>
          </w:p>
          <w:p w14:paraId="1CE1F55A">
            <w:pPr>
              <w:widowControl/>
              <w:adjustRightInd w:val="0"/>
              <w:snapToGrid w:val="0"/>
              <w:spacing w:line="500" w:lineRule="exact"/>
              <w:ind w:firstLine="480" w:firstLineChars="200"/>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本项目</w:t>
            </w:r>
            <w:r>
              <w:rPr>
                <w:rFonts w:hint="eastAsia" w:ascii="Times New Roman" w:hAnsi="Times New Roman" w:eastAsia="宋体" w:cs="Times New Roman"/>
                <w:color w:val="auto"/>
                <w:kern w:val="0"/>
                <w:sz w:val="24"/>
                <w:szCs w:val="24"/>
                <w:lang w:val="en-US" w:eastAsia="zh-CN"/>
              </w:rPr>
              <w:t>不属于产业政策中的限制类、淘汰类项目，已获得了</w:t>
            </w:r>
            <w:r>
              <w:rPr>
                <w:rFonts w:hint="default" w:ascii="Times New Roman" w:hAnsi="Times New Roman" w:eastAsia="宋体" w:cs="Times New Roman"/>
                <w:color w:val="auto"/>
                <w:kern w:val="0"/>
                <w:sz w:val="24"/>
                <w:szCs w:val="24"/>
                <w:lang w:val="en-US" w:eastAsia="zh-CN"/>
              </w:rPr>
              <w:t>淮安市清江浦区行政审批局备案证</w:t>
            </w:r>
            <w:r>
              <w:rPr>
                <w:rFonts w:hint="eastAsia" w:ascii="Times New Roman" w:hAnsi="Times New Roman" w:eastAsia="宋体" w:cs="Times New Roman"/>
                <w:color w:val="auto"/>
                <w:kern w:val="0"/>
                <w:sz w:val="24"/>
                <w:szCs w:val="24"/>
                <w:lang w:val="en-US" w:eastAsia="zh-CN"/>
              </w:rPr>
              <w:t>，根据备案文件，该项目符合国家及地方产业政策要求；本项目符合《淮安港总体规划（2020-2035）》、相关环保政策及“三线一单”的要求；各项污染治理可行，各污染物经有效处理后可使污染物稳定达到相关排放标准要求，对外环境影响在可接受范围内，不会降低区域功能类别，并能满足总量控制要求；项目存在一定的环境风险，但在制定环境风险应急预案，并采取有效的事故防范和减缓措施后，项目环境风险可防控；本项目具有一定的环境、社会和经济效益。因此，在严格按照“三同时”的要求，确保污染治理设施正常运转、充分重视风险防范的前提下，从环境保护的角度出发，本项目是可行的。</w:t>
            </w:r>
          </w:p>
          <w:p w14:paraId="07151F59">
            <w:pPr>
              <w:widowControl/>
              <w:numPr>
                <w:ilvl w:val="0"/>
                <w:numId w:val="0"/>
              </w:numPr>
              <w:adjustRightInd w:val="0"/>
              <w:snapToGrid w:val="0"/>
              <w:spacing w:line="500" w:lineRule="exact"/>
              <w:ind w:firstLine="482" w:firstLineChars="200"/>
              <w:rPr>
                <w:rFonts w:hint="eastAsia" w:cs="Times New Roman"/>
                <w:color w:val="auto"/>
                <w:kern w:val="0"/>
                <w:sz w:val="24"/>
                <w:szCs w:val="24"/>
                <w:lang w:val="en-US" w:eastAsia="zh-CN"/>
              </w:rPr>
            </w:pPr>
            <w:r>
              <w:rPr>
                <w:rFonts w:hint="eastAsia" w:cs="Times New Roman"/>
                <w:b/>
                <w:bCs/>
                <w:color w:val="auto"/>
                <w:kern w:val="0"/>
                <w:sz w:val="24"/>
                <w:szCs w:val="24"/>
                <w:lang w:val="en-US" w:eastAsia="zh-CN"/>
              </w:rPr>
              <w:t>5、现有锚地情况介绍</w:t>
            </w:r>
          </w:p>
          <w:p w14:paraId="37AC112A">
            <w:pPr>
              <w:widowControl/>
              <w:adjustRightInd w:val="0"/>
              <w:snapToGrid w:val="0"/>
              <w:spacing w:line="500" w:lineRule="exact"/>
              <w:ind w:firstLine="480" w:firstLineChars="200"/>
              <w:rPr>
                <w:rFonts w:hint="default" w:cs="Times New Roman"/>
                <w:color w:val="auto"/>
                <w:kern w:val="0"/>
                <w:sz w:val="24"/>
                <w:szCs w:val="24"/>
                <w:lang w:val="en-US" w:eastAsia="zh-CN"/>
              </w:rPr>
            </w:pPr>
            <w:r>
              <w:rPr>
                <w:rFonts w:hint="eastAsia" w:cs="Times New Roman"/>
                <w:color w:val="auto"/>
                <w:kern w:val="0"/>
                <w:sz w:val="24"/>
                <w:szCs w:val="24"/>
                <w:lang w:val="en-US" w:eastAsia="zh-CN"/>
              </w:rPr>
              <w:t>现有锚地情况：现有已建淮安锚</w:t>
            </w:r>
            <w:r>
              <w:rPr>
                <w:rFonts w:hint="default" w:cs="Times New Roman"/>
                <w:color w:val="auto"/>
                <w:kern w:val="0"/>
                <w:sz w:val="24"/>
                <w:szCs w:val="24"/>
                <w:lang w:val="en-US" w:eastAsia="zh-CN"/>
              </w:rPr>
              <w:t>地</w:t>
            </w:r>
            <w:r>
              <w:rPr>
                <w:rFonts w:hint="eastAsia" w:cs="Times New Roman"/>
                <w:color w:val="auto"/>
                <w:kern w:val="0"/>
                <w:sz w:val="24"/>
                <w:szCs w:val="24"/>
                <w:lang w:val="en-US" w:eastAsia="zh-CN"/>
              </w:rPr>
              <w:t>为苏北航务管理处所有，已建</w:t>
            </w:r>
            <w:r>
              <w:rPr>
                <w:rFonts w:hint="default" w:cs="Times New Roman"/>
                <w:color w:val="auto"/>
                <w:kern w:val="0"/>
                <w:sz w:val="24"/>
                <w:szCs w:val="24"/>
                <w:lang w:val="en-US" w:eastAsia="zh-CN"/>
              </w:rPr>
              <w:t>锚地长1.6公里</w:t>
            </w:r>
            <w:r>
              <w:rPr>
                <w:rFonts w:hint="eastAsia" w:cs="Times New Roman"/>
                <w:color w:val="auto"/>
                <w:kern w:val="0"/>
                <w:sz w:val="24"/>
                <w:szCs w:val="24"/>
                <w:lang w:val="en-US" w:eastAsia="zh-CN"/>
              </w:rPr>
              <w:t>，锚地性质：非危险品</w:t>
            </w:r>
            <w:r>
              <w:rPr>
                <w:rFonts w:hint="default" w:cs="Times New Roman"/>
                <w:color w:val="auto"/>
                <w:kern w:val="0"/>
                <w:sz w:val="24"/>
                <w:szCs w:val="24"/>
                <w:lang w:val="en-US" w:eastAsia="zh-CN"/>
              </w:rPr>
              <w:t>锚</w:t>
            </w:r>
            <w:r>
              <w:rPr>
                <w:rFonts w:hint="eastAsia" w:cs="Times New Roman"/>
                <w:color w:val="auto"/>
                <w:kern w:val="0"/>
                <w:sz w:val="24"/>
                <w:szCs w:val="24"/>
                <w:lang w:val="en-US" w:eastAsia="zh-CN"/>
              </w:rPr>
              <w:t>地；</w:t>
            </w:r>
            <w:r>
              <w:rPr>
                <w:rFonts w:hint="default" w:cs="Times New Roman"/>
                <w:color w:val="auto"/>
                <w:kern w:val="0"/>
                <w:sz w:val="24"/>
                <w:szCs w:val="24"/>
                <w:lang w:val="en-US" w:eastAsia="zh-CN"/>
              </w:rPr>
              <w:t>锚地功能</w:t>
            </w:r>
            <w:r>
              <w:rPr>
                <w:rFonts w:hint="eastAsia" w:cs="Times New Roman"/>
                <w:color w:val="auto"/>
                <w:kern w:val="0"/>
                <w:sz w:val="24"/>
                <w:szCs w:val="24"/>
                <w:lang w:val="en-US" w:eastAsia="zh-CN"/>
              </w:rPr>
              <w:t>：</w:t>
            </w:r>
            <w:r>
              <w:rPr>
                <w:rFonts w:hint="default" w:cs="Times New Roman"/>
                <w:color w:val="auto"/>
                <w:kern w:val="0"/>
                <w:sz w:val="24"/>
                <w:szCs w:val="24"/>
                <w:lang w:val="en-US" w:eastAsia="zh-CN"/>
              </w:rPr>
              <w:t>待泊、应急、检验检疫、避风、物资补给、垃圾送交等</w:t>
            </w:r>
            <w:r>
              <w:rPr>
                <w:rFonts w:hint="eastAsia" w:cs="Times New Roman"/>
                <w:color w:val="auto"/>
                <w:kern w:val="0"/>
                <w:sz w:val="24"/>
                <w:szCs w:val="24"/>
                <w:lang w:val="en-US" w:eastAsia="zh-CN"/>
              </w:rPr>
              <w:t>；</w:t>
            </w:r>
            <w:r>
              <w:rPr>
                <w:rFonts w:hint="default" w:cs="Times New Roman"/>
                <w:color w:val="auto"/>
                <w:kern w:val="0"/>
                <w:sz w:val="24"/>
                <w:szCs w:val="24"/>
                <w:lang w:val="en-US" w:eastAsia="zh-CN"/>
              </w:rPr>
              <w:t>锚地等级</w:t>
            </w:r>
            <w:r>
              <w:rPr>
                <w:rFonts w:hint="default" w:cs="Times New Roman"/>
                <w:color w:val="auto"/>
                <w:kern w:val="0"/>
                <w:sz w:val="24"/>
                <w:szCs w:val="24"/>
                <w:lang w:val="en-US" w:eastAsia="zh-CN"/>
              </w:rPr>
              <w:fldChar w:fldCharType="begin"/>
            </w:r>
            <w:r>
              <w:rPr>
                <w:rFonts w:hint="default" w:cs="Times New Roman"/>
                <w:color w:val="auto"/>
                <w:kern w:val="0"/>
                <w:sz w:val="24"/>
                <w:szCs w:val="24"/>
                <w:lang w:val="en-US" w:eastAsia="zh-CN"/>
              </w:rPr>
              <w:instrText xml:space="preserve"> = 2 \* ROMAN \* MERGEFORMAT </w:instrText>
            </w:r>
            <w:r>
              <w:rPr>
                <w:rFonts w:hint="default" w:cs="Times New Roman"/>
                <w:color w:val="auto"/>
                <w:kern w:val="0"/>
                <w:sz w:val="24"/>
                <w:szCs w:val="24"/>
                <w:lang w:val="en-US" w:eastAsia="zh-CN"/>
              </w:rPr>
              <w:fldChar w:fldCharType="separate"/>
            </w:r>
            <w:r>
              <w:rPr>
                <w:rFonts w:hint="eastAsia" w:cs="Times New Roman"/>
                <w:color w:val="auto"/>
                <w:kern w:val="0"/>
                <w:sz w:val="24"/>
                <w:szCs w:val="24"/>
                <w:lang w:val="en-US" w:eastAsia="zh-CN"/>
              </w:rPr>
              <w:t>II</w:t>
            </w:r>
            <w:r>
              <w:rPr>
                <w:rFonts w:hint="default" w:cs="Times New Roman"/>
                <w:color w:val="auto"/>
                <w:kern w:val="0"/>
                <w:sz w:val="24"/>
                <w:szCs w:val="24"/>
                <w:lang w:val="en-US" w:eastAsia="zh-CN"/>
              </w:rPr>
              <w:fldChar w:fldCharType="end"/>
            </w:r>
            <w:r>
              <w:rPr>
                <w:rFonts w:hint="eastAsia" w:cs="Times New Roman"/>
                <w:color w:val="auto"/>
                <w:kern w:val="0"/>
                <w:sz w:val="24"/>
                <w:szCs w:val="24"/>
                <w:lang w:val="en-US" w:eastAsia="zh-CN"/>
              </w:rPr>
              <w:t>级；锚位：</w:t>
            </w:r>
            <w:r>
              <w:rPr>
                <w:rFonts w:hint="default" w:cs="Times New Roman"/>
                <w:color w:val="auto"/>
                <w:kern w:val="0"/>
                <w:sz w:val="24"/>
                <w:szCs w:val="24"/>
                <w:lang w:val="en-US" w:eastAsia="zh-CN"/>
              </w:rPr>
              <w:t>1拖6×1000t拖带船队泊位</w:t>
            </w:r>
            <w:r>
              <w:rPr>
                <w:rFonts w:hint="eastAsia" w:cs="Times New Roman"/>
                <w:color w:val="auto"/>
                <w:kern w:val="0"/>
                <w:sz w:val="24"/>
                <w:szCs w:val="24"/>
                <w:lang w:val="en-US" w:eastAsia="zh-CN"/>
              </w:rPr>
              <w:t>8</w:t>
            </w:r>
            <w:r>
              <w:rPr>
                <w:rFonts w:hint="default" w:cs="Times New Roman"/>
                <w:color w:val="auto"/>
                <w:kern w:val="0"/>
                <w:sz w:val="24"/>
                <w:szCs w:val="24"/>
                <w:lang w:val="en-US" w:eastAsia="zh-CN"/>
              </w:rPr>
              <w:t>个</w:t>
            </w:r>
            <w:r>
              <w:rPr>
                <w:rFonts w:hint="eastAsia" w:cs="Times New Roman"/>
                <w:color w:val="auto"/>
                <w:kern w:val="0"/>
                <w:sz w:val="24"/>
                <w:szCs w:val="24"/>
                <w:lang w:val="en-US" w:eastAsia="zh-CN"/>
              </w:rPr>
              <w:t>+</w:t>
            </w:r>
            <w:r>
              <w:rPr>
                <w:rFonts w:hint="default" w:cs="Times New Roman"/>
                <w:color w:val="auto"/>
                <w:kern w:val="0"/>
                <w:sz w:val="24"/>
                <w:szCs w:val="24"/>
                <w:lang w:val="en-US" w:eastAsia="zh-CN"/>
              </w:rPr>
              <w:t>1拖3×1000t拖带船队泊位2个</w:t>
            </w:r>
            <w:r>
              <w:rPr>
                <w:rFonts w:hint="eastAsia" w:cs="Times New Roman"/>
                <w:color w:val="auto"/>
                <w:kern w:val="0"/>
                <w:sz w:val="24"/>
                <w:szCs w:val="24"/>
                <w:lang w:val="en-US" w:eastAsia="zh-CN"/>
              </w:rPr>
              <w:t>；锚地水深4m。现有锚地现场情况见下图所示：</w:t>
            </w:r>
          </w:p>
          <w:p w14:paraId="50FD0337">
            <w:pPr>
              <w:widowControl/>
              <w:adjustRightInd w:val="0"/>
              <w:snapToGrid w:val="0"/>
              <w:spacing w:line="500" w:lineRule="exact"/>
              <w:ind w:firstLine="480" w:firstLineChars="200"/>
              <w:rPr>
                <w:rFonts w:hint="eastAsia" w:cs="Times New Roman"/>
                <w:sz w:val="24"/>
                <w:szCs w:val="24"/>
                <w:lang w:val="en-US" w:eastAsia="zh-CN"/>
              </w:rPr>
            </w:pPr>
            <w:r>
              <w:rPr>
                <w:rFonts w:hint="eastAsia" w:cs="Times New Roman"/>
                <w:color w:val="auto"/>
                <w:kern w:val="0"/>
                <w:sz w:val="24"/>
                <w:szCs w:val="24"/>
                <w:lang w:val="en-US" w:eastAsia="zh-CN"/>
              </w:rPr>
              <w:t>与本项目的关系：本项目在</w:t>
            </w:r>
            <w:r>
              <w:rPr>
                <w:rFonts w:hint="default" w:ascii="Times New Roman" w:hAnsi="Times New Roman" w:eastAsia="宋体" w:cs="Times New Roman"/>
                <w:sz w:val="24"/>
                <w:szCs w:val="24"/>
                <w:lang w:val="en-US" w:eastAsia="zh-CN"/>
              </w:rPr>
              <w:t>已建成的</w:t>
            </w:r>
            <w:r>
              <w:rPr>
                <w:rFonts w:hint="eastAsia" w:cs="Times New Roman"/>
                <w:sz w:val="24"/>
                <w:szCs w:val="24"/>
                <w:lang w:val="en-US" w:eastAsia="zh-CN"/>
              </w:rPr>
              <w:t>现有</w:t>
            </w:r>
            <w:r>
              <w:rPr>
                <w:rFonts w:hint="default" w:ascii="Times New Roman" w:hAnsi="Times New Roman" w:eastAsia="宋体" w:cs="Times New Roman"/>
                <w:sz w:val="24"/>
                <w:szCs w:val="24"/>
                <w:lang w:val="en-US" w:eastAsia="zh-CN"/>
              </w:rPr>
              <w:t>锚地南北两侧端点起</w:t>
            </w:r>
            <w:r>
              <w:rPr>
                <w:rFonts w:hint="eastAsia" w:cs="Times New Roman"/>
                <w:sz w:val="24"/>
                <w:szCs w:val="24"/>
                <w:lang w:val="en-US" w:eastAsia="zh-CN"/>
              </w:rPr>
              <w:t>（端点处有沉降缝）</w:t>
            </w:r>
            <w:r>
              <w:rPr>
                <w:rFonts w:hint="default" w:ascii="Times New Roman" w:hAnsi="Times New Roman" w:eastAsia="宋体" w:cs="Times New Roman"/>
                <w:sz w:val="24"/>
                <w:szCs w:val="24"/>
                <w:lang w:val="en-US" w:eastAsia="zh-CN"/>
              </w:rPr>
              <w:t>，按照相关设计规范要求，参照已建成的锚地建设标准分别向两侧建设</w:t>
            </w:r>
            <w:r>
              <w:rPr>
                <w:rFonts w:hint="eastAsia" w:cs="Times New Roman"/>
                <w:sz w:val="24"/>
                <w:szCs w:val="24"/>
                <w:lang w:val="en-US" w:eastAsia="zh-CN"/>
              </w:rPr>
              <w:t>，本项目主体及相关公辅工程均为新建，与已建锚地无相关依托工程。</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9"/>
              <w:gridCol w:w="4620"/>
            </w:tblGrid>
            <w:tr w14:paraId="75EF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9" w:type="dxa"/>
                </w:tcPr>
                <w:p w14:paraId="7391AF4D">
                  <w:pPr>
                    <w:widowControl/>
                    <w:adjustRightInd w:val="0"/>
                    <w:snapToGrid w:val="0"/>
                    <w:spacing w:line="500" w:lineRule="exact"/>
                    <w:jc w:val="center"/>
                    <w:rPr>
                      <w:rFonts w:hint="default" w:cs="Times New Roman"/>
                      <w:sz w:val="24"/>
                      <w:szCs w:val="24"/>
                      <w:vertAlign w:val="baseline"/>
                      <w:lang w:val="en-US" w:eastAsia="zh-CN"/>
                    </w:rPr>
                  </w:pPr>
                  <w:r>
                    <w:rPr>
                      <w:rFonts w:hint="default" w:cs="Times New Roman"/>
                      <w:sz w:val="24"/>
                      <w:szCs w:val="24"/>
                      <w:vertAlign w:val="baseline"/>
                      <w:lang w:val="en-US" w:eastAsia="zh-CN"/>
                    </w:rPr>
                    <w:drawing>
                      <wp:anchor distT="0" distB="0" distL="114300" distR="114300" simplePos="0" relativeHeight="251678720" behindDoc="0" locked="0" layoutInCell="1" allowOverlap="1">
                        <wp:simplePos x="0" y="0"/>
                        <wp:positionH relativeFrom="column">
                          <wp:posOffset>-20955</wp:posOffset>
                        </wp:positionH>
                        <wp:positionV relativeFrom="paragraph">
                          <wp:posOffset>-1939290</wp:posOffset>
                        </wp:positionV>
                        <wp:extent cx="2782570" cy="1841500"/>
                        <wp:effectExtent l="0" t="0" r="17780" b="6350"/>
                        <wp:wrapSquare wrapText="bothSides"/>
                        <wp:docPr id="22" name="图片 22" descr="1e21ff68660f0ad28d989448bde3726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e21ff68660f0ad28d989448bde3726e_"/>
                                <pic:cNvPicPr>
                                  <a:picLocks noChangeAspect="1"/>
                                </pic:cNvPicPr>
                              </pic:nvPicPr>
                              <pic:blipFill>
                                <a:blip r:embed="rId19"/>
                                <a:stretch>
                                  <a:fillRect/>
                                </a:stretch>
                              </pic:blipFill>
                              <pic:spPr>
                                <a:xfrm>
                                  <a:off x="0" y="0"/>
                                  <a:ext cx="2782570" cy="1841500"/>
                                </a:xfrm>
                                <a:prstGeom prst="rect">
                                  <a:avLst/>
                                </a:prstGeom>
                              </pic:spPr>
                            </pic:pic>
                          </a:graphicData>
                        </a:graphic>
                      </wp:anchor>
                    </w:drawing>
                  </w:r>
                  <w:r>
                    <w:rPr>
                      <w:rFonts w:hint="eastAsia" w:cs="Times New Roman"/>
                      <w:sz w:val="24"/>
                      <w:szCs w:val="24"/>
                      <w:vertAlign w:val="baseline"/>
                      <w:lang w:val="en-US" w:eastAsia="zh-CN"/>
                    </w:rPr>
                    <w:t>现有锚地正面照片（航拍）</w:t>
                  </w:r>
                </w:p>
              </w:tc>
              <w:tc>
                <w:tcPr>
                  <w:tcW w:w="4620" w:type="dxa"/>
                </w:tcPr>
                <w:p w14:paraId="53227728">
                  <w:pPr>
                    <w:widowControl/>
                    <w:adjustRightInd w:val="0"/>
                    <w:snapToGrid w:val="0"/>
                    <w:spacing w:line="500" w:lineRule="exact"/>
                    <w:jc w:val="center"/>
                    <w:rPr>
                      <w:rFonts w:hint="default" w:cs="Times New Roman"/>
                      <w:sz w:val="24"/>
                      <w:szCs w:val="24"/>
                      <w:vertAlign w:val="baseline"/>
                      <w:lang w:val="en-US" w:eastAsia="zh-CN"/>
                    </w:rPr>
                  </w:pPr>
                  <w:r>
                    <w:rPr>
                      <w:rFonts w:hint="default" w:cs="Times New Roman"/>
                      <w:sz w:val="24"/>
                      <w:szCs w:val="24"/>
                      <w:vertAlign w:val="baseline"/>
                      <w:lang w:val="en-US" w:eastAsia="zh-CN"/>
                    </w:rPr>
                    <w:drawing>
                      <wp:anchor distT="0" distB="0" distL="114300" distR="114300" simplePos="0" relativeHeight="251679744" behindDoc="0" locked="0" layoutInCell="1" allowOverlap="1">
                        <wp:simplePos x="0" y="0"/>
                        <wp:positionH relativeFrom="column">
                          <wp:posOffset>-3175</wp:posOffset>
                        </wp:positionH>
                        <wp:positionV relativeFrom="paragraph">
                          <wp:posOffset>-1593850</wp:posOffset>
                        </wp:positionV>
                        <wp:extent cx="2777490" cy="1837690"/>
                        <wp:effectExtent l="0" t="0" r="3810" b="10160"/>
                        <wp:wrapSquare wrapText="bothSides"/>
                        <wp:docPr id="23" name="图片 23" descr="24a0b76e0b3867cc4351399b82dfe1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a0b76e0b3867cc4351399b82dfe192_"/>
                                <pic:cNvPicPr>
                                  <a:picLocks noChangeAspect="1"/>
                                </pic:cNvPicPr>
                              </pic:nvPicPr>
                              <pic:blipFill>
                                <a:blip r:embed="rId20"/>
                                <a:stretch>
                                  <a:fillRect/>
                                </a:stretch>
                              </pic:blipFill>
                              <pic:spPr>
                                <a:xfrm>
                                  <a:off x="0" y="0"/>
                                  <a:ext cx="2777490" cy="1837690"/>
                                </a:xfrm>
                                <a:prstGeom prst="rect">
                                  <a:avLst/>
                                </a:prstGeom>
                              </pic:spPr>
                            </pic:pic>
                          </a:graphicData>
                        </a:graphic>
                      </wp:anchor>
                    </w:drawing>
                  </w:r>
                  <w:r>
                    <w:rPr>
                      <w:rFonts w:hint="eastAsia" w:cs="Times New Roman"/>
                      <w:sz w:val="24"/>
                      <w:szCs w:val="24"/>
                      <w:vertAlign w:val="baseline"/>
                      <w:lang w:val="en-US" w:eastAsia="zh-CN"/>
                    </w:rPr>
                    <w:t>现有锚地停泊船舶（航拍）</w:t>
                  </w:r>
                </w:p>
              </w:tc>
            </w:tr>
            <w:tr w14:paraId="5E9E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9" w:type="dxa"/>
                </w:tcPr>
                <w:p w14:paraId="715C887F">
                  <w:pPr>
                    <w:widowControl/>
                    <w:adjustRightInd w:val="0"/>
                    <w:snapToGrid w:val="0"/>
                    <w:spacing w:line="500" w:lineRule="exact"/>
                    <w:jc w:val="center"/>
                    <w:rPr>
                      <w:rFonts w:hint="default" w:cs="Times New Roman"/>
                      <w:sz w:val="24"/>
                      <w:szCs w:val="24"/>
                      <w:vertAlign w:val="baseline"/>
                      <w:lang w:val="en-US" w:eastAsia="zh-CN"/>
                    </w:rPr>
                  </w:pPr>
                  <w:r>
                    <w:rPr>
                      <w:rFonts w:hint="eastAsia" w:cs="Times New Roman"/>
                      <w:sz w:val="24"/>
                      <w:szCs w:val="24"/>
                      <w:vertAlign w:val="baseline"/>
                      <w:lang w:val="en-US" w:eastAsia="zh-CN"/>
                    </w:rPr>
                    <w:t>现有锚地停泊船舶（航拍）</w:t>
                  </w:r>
                  <w:r>
                    <w:rPr>
                      <w:rFonts w:hint="default" w:cs="Times New Roman"/>
                      <w:sz w:val="24"/>
                      <w:szCs w:val="24"/>
                      <w:vertAlign w:val="baseline"/>
                      <w:lang w:val="en-US" w:eastAsia="zh-CN"/>
                    </w:rPr>
                    <w:drawing>
                      <wp:anchor distT="0" distB="0" distL="114300" distR="114300" simplePos="0" relativeHeight="251676672" behindDoc="0" locked="0" layoutInCell="1" allowOverlap="1">
                        <wp:simplePos x="0" y="0"/>
                        <wp:positionH relativeFrom="column">
                          <wp:posOffset>0</wp:posOffset>
                        </wp:positionH>
                        <wp:positionV relativeFrom="paragraph">
                          <wp:posOffset>-1612900</wp:posOffset>
                        </wp:positionV>
                        <wp:extent cx="2797810" cy="1851660"/>
                        <wp:effectExtent l="0" t="0" r="2540" b="15240"/>
                        <wp:wrapSquare wrapText="bothSides"/>
                        <wp:docPr id="24" name="图片 24" descr="813fcfd1b4d468a97b45dc74cb2a7c0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13fcfd1b4d468a97b45dc74cb2a7c0a_"/>
                                <pic:cNvPicPr>
                                  <a:picLocks noChangeAspect="1"/>
                                </pic:cNvPicPr>
                              </pic:nvPicPr>
                              <pic:blipFill>
                                <a:blip r:embed="rId21"/>
                                <a:stretch>
                                  <a:fillRect/>
                                </a:stretch>
                              </pic:blipFill>
                              <pic:spPr>
                                <a:xfrm>
                                  <a:off x="0" y="0"/>
                                  <a:ext cx="2797810" cy="1851660"/>
                                </a:xfrm>
                                <a:prstGeom prst="rect">
                                  <a:avLst/>
                                </a:prstGeom>
                              </pic:spPr>
                            </pic:pic>
                          </a:graphicData>
                        </a:graphic>
                      </wp:anchor>
                    </w:drawing>
                  </w:r>
                </w:p>
              </w:tc>
              <w:tc>
                <w:tcPr>
                  <w:tcW w:w="4620" w:type="dxa"/>
                </w:tcPr>
                <w:p w14:paraId="740A3E32">
                  <w:pPr>
                    <w:widowControl/>
                    <w:adjustRightInd w:val="0"/>
                    <w:snapToGrid w:val="0"/>
                    <w:spacing w:line="500" w:lineRule="exact"/>
                    <w:jc w:val="center"/>
                    <w:rPr>
                      <w:rFonts w:hint="default" w:cs="Times New Roman"/>
                      <w:sz w:val="24"/>
                      <w:szCs w:val="24"/>
                      <w:vertAlign w:val="baseline"/>
                      <w:lang w:val="en-US" w:eastAsia="zh-CN"/>
                    </w:rPr>
                  </w:pPr>
                  <w:r>
                    <w:rPr>
                      <w:rFonts w:hint="eastAsia" w:cs="Times New Roman"/>
                      <w:sz w:val="24"/>
                      <w:szCs w:val="24"/>
                      <w:vertAlign w:val="baseline"/>
                      <w:lang w:val="en-US" w:eastAsia="zh-CN"/>
                    </w:rPr>
                    <w:t>现有锚地停泊船舶（航拍）</w:t>
                  </w:r>
                  <w:r>
                    <w:rPr>
                      <w:rFonts w:hint="default" w:cs="Times New Roman"/>
                      <w:sz w:val="24"/>
                      <w:szCs w:val="24"/>
                      <w:vertAlign w:val="baseline"/>
                      <w:lang w:val="en-US" w:eastAsia="zh-CN"/>
                    </w:rPr>
                    <w:drawing>
                      <wp:anchor distT="0" distB="0" distL="114300" distR="114300" simplePos="0" relativeHeight="251677696" behindDoc="0" locked="0" layoutInCell="1" allowOverlap="1">
                        <wp:simplePos x="0" y="0"/>
                        <wp:positionH relativeFrom="column">
                          <wp:posOffset>-635</wp:posOffset>
                        </wp:positionH>
                        <wp:positionV relativeFrom="paragraph">
                          <wp:posOffset>-1612900</wp:posOffset>
                        </wp:positionV>
                        <wp:extent cx="2797810" cy="1851660"/>
                        <wp:effectExtent l="0" t="0" r="2540" b="15240"/>
                        <wp:wrapSquare wrapText="bothSides"/>
                        <wp:docPr id="25" name="图片 25" descr="d8fd74d230af2ba7eda99fe21b5310e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8fd74d230af2ba7eda99fe21b5310e4_"/>
                                <pic:cNvPicPr>
                                  <a:picLocks noChangeAspect="1"/>
                                </pic:cNvPicPr>
                              </pic:nvPicPr>
                              <pic:blipFill>
                                <a:blip r:embed="rId22"/>
                                <a:stretch>
                                  <a:fillRect/>
                                </a:stretch>
                              </pic:blipFill>
                              <pic:spPr>
                                <a:xfrm>
                                  <a:off x="0" y="0"/>
                                  <a:ext cx="2797810" cy="1851660"/>
                                </a:xfrm>
                                <a:prstGeom prst="rect">
                                  <a:avLst/>
                                </a:prstGeom>
                              </pic:spPr>
                            </pic:pic>
                          </a:graphicData>
                        </a:graphic>
                      </wp:anchor>
                    </w:drawing>
                  </w:r>
                </w:p>
              </w:tc>
            </w:tr>
            <w:tr w14:paraId="01EB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9" w:type="dxa"/>
                </w:tcPr>
                <w:p w14:paraId="6911F182">
                  <w:pPr>
                    <w:widowControl/>
                    <w:adjustRightInd w:val="0"/>
                    <w:snapToGrid w:val="0"/>
                    <w:spacing w:line="500" w:lineRule="exact"/>
                    <w:jc w:val="center"/>
                    <w:rPr>
                      <w:rFonts w:hint="eastAsia" w:cs="Times New Roman"/>
                      <w:sz w:val="24"/>
                      <w:szCs w:val="24"/>
                      <w:vertAlign w:val="baseline"/>
                      <w:lang w:val="en-US" w:eastAsia="zh-CN"/>
                    </w:rPr>
                  </w:pPr>
                  <w:r>
                    <w:rPr>
                      <w:rFonts w:hint="eastAsia" w:cs="Times New Roman"/>
                      <w:sz w:val="24"/>
                      <w:szCs w:val="24"/>
                      <w:vertAlign w:val="baseline"/>
                      <w:lang w:val="en-US" w:eastAsia="zh-CN"/>
                    </w:rPr>
                    <w:t>现有锚地停泊船舶（现场）</w:t>
                  </w:r>
                  <w:r>
                    <w:rPr>
                      <w:rFonts w:hint="eastAsia" w:cs="Times New Roman"/>
                      <w:sz w:val="24"/>
                      <w:szCs w:val="24"/>
                      <w:vertAlign w:val="baseline"/>
                      <w:lang w:val="en-US" w:eastAsia="zh-CN"/>
                    </w:rPr>
                    <w:drawing>
                      <wp:anchor distT="0" distB="0" distL="114300" distR="114300" simplePos="0" relativeHeight="251680768" behindDoc="0" locked="0" layoutInCell="1" allowOverlap="1">
                        <wp:simplePos x="0" y="0"/>
                        <wp:positionH relativeFrom="column">
                          <wp:posOffset>-12700</wp:posOffset>
                        </wp:positionH>
                        <wp:positionV relativeFrom="paragraph">
                          <wp:posOffset>-1041400</wp:posOffset>
                        </wp:positionV>
                        <wp:extent cx="2776220" cy="1278890"/>
                        <wp:effectExtent l="0" t="0" r="5080" b="16510"/>
                        <wp:wrapSquare wrapText="bothSides"/>
                        <wp:docPr id="26" name="图片 26" descr="5be6e427dc209abf0aae831d671b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be6e427dc209abf0aae831d671b05c"/>
                                <pic:cNvPicPr>
                                  <a:picLocks noChangeAspect="1"/>
                                </pic:cNvPicPr>
                              </pic:nvPicPr>
                              <pic:blipFill>
                                <a:blip r:embed="rId23"/>
                                <a:stretch>
                                  <a:fillRect/>
                                </a:stretch>
                              </pic:blipFill>
                              <pic:spPr>
                                <a:xfrm>
                                  <a:off x="0" y="0"/>
                                  <a:ext cx="2776220" cy="1278890"/>
                                </a:xfrm>
                                <a:prstGeom prst="rect">
                                  <a:avLst/>
                                </a:prstGeom>
                              </pic:spPr>
                            </pic:pic>
                          </a:graphicData>
                        </a:graphic>
                      </wp:anchor>
                    </w:drawing>
                  </w:r>
                </w:p>
              </w:tc>
              <w:tc>
                <w:tcPr>
                  <w:tcW w:w="4620" w:type="dxa"/>
                </w:tcPr>
                <w:p w14:paraId="1C4A11A2">
                  <w:pPr>
                    <w:widowControl/>
                    <w:adjustRightInd w:val="0"/>
                    <w:snapToGrid w:val="0"/>
                    <w:spacing w:line="500" w:lineRule="exact"/>
                    <w:jc w:val="center"/>
                    <w:rPr>
                      <w:rFonts w:hint="eastAsia" w:cs="Times New Roman"/>
                      <w:sz w:val="24"/>
                      <w:szCs w:val="24"/>
                      <w:vertAlign w:val="baseline"/>
                      <w:lang w:val="en-US" w:eastAsia="zh-CN"/>
                    </w:rPr>
                  </w:pPr>
                  <w:r>
                    <w:rPr>
                      <w:rFonts w:hint="eastAsia" w:cs="Times New Roman"/>
                      <w:sz w:val="24"/>
                      <w:szCs w:val="24"/>
                      <w:vertAlign w:val="baseline"/>
                      <w:lang w:val="en-US" w:eastAsia="zh-CN"/>
                    </w:rPr>
                    <w:t>现有锚地船舶供水+岸电（现场）</w:t>
                  </w:r>
                  <w:r>
                    <w:rPr>
                      <w:rFonts w:hint="eastAsia" w:cs="Times New Roman"/>
                      <w:sz w:val="24"/>
                      <w:szCs w:val="24"/>
                      <w:vertAlign w:val="baseline"/>
                      <w:lang w:val="en-US" w:eastAsia="zh-CN"/>
                    </w:rPr>
                    <w:drawing>
                      <wp:anchor distT="0" distB="0" distL="114300" distR="114300" simplePos="0" relativeHeight="251681792" behindDoc="0" locked="0" layoutInCell="1" allowOverlap="1">
                        <wp:simplePos x="0" y="0"/>
                        <wp:positionH relativeFrom="column">
                          <wp:posOffset>7620</wp:posOffset>
                        </wp:positionH>
                        <wp:positionV relativeFrom="paragraph">
                          <wp:posOffset>-1041400</wp:posOffset>
                        </wp:positionV>
                        <wp:extent cx="2776220" cy="1278890"/>
                        <wp:effectExtent l="0" t="0" r="5080" b="16510"/>
                        <wp:wrapSquare wrapText="bothSides"/>
                        <wp:docPr id="27" name="图片 27" descr="87d080bb1c3713a0340092c4923d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7d080bb1c3713a0340092c4923dc42"/>
                                <pic:cNvPicPr>
                                  <a:picLocks noChangeAspect="1"/>
                                </pic:cNvPicPr>
                              </pic:nvPicPr>
                              <pic:blipFill>
                                <a:blip r:embed="rId24"/>
                                <a:stretch>
                                  <a:fillRect/>
                                </a:stretch>
                              </pic:blipFill>
                              <pic:spPr>
                                <a:xfrm>
                                  <a:off x="0" y="0"/>
                                  <a:ext cx="2776220" cy="1278890"/>
                                </a:xfrm>
                                <a:prstGeom prst="rect">
                                  <a:avLst/>
                                </a:prstGeom>
                              </pic:spPr>
                            </pic:pic>
                          </a:graphicData>
                        </a:graphic>
                      </wp:anchor>
                    </w:drawing>
                  </w:r>
                </w:p>
              </w:tc>
            </w:tr>
            <w:tr w14:paraId="4948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9" w:type="dxa"/>
                  <w:gridSpan w:val="2"/>
                </w:tcPr>
                <w:p w14:paraId="5FA62105">
                  <w:pPr>
                    <w:widowControl/>
                    <w:adjustRightInd w:val="0"/>
                    <w:snapToGrid w:val="0"/>
                    <w:spacing w:line="500" w:lineRule="exact"/>
                    <w:jc w:val="center"/>
                    <w:rPr>
                      <w:rFonts w:hint="default" w:cs="Times New Roman"/>
                      <w:sz w:val="24"/>
                      <w:szCs w:val="24"/>
                      <w:vertAlign w:val="baseline"/>
                      <w:lang w:val="en-US" w:eastAsia="zh-CN"/>
                    </w:rPr>
                  </w:pPr>
                  <w:r>
                    <w:rPr>
                      <w:rFonts w:hint="eastAsia" w:cs="Times New Roman"/>
                      <w:b/>
                      <w:bCs/>
                      <w:color w:val="auto"/>
                      <w:kern w:val="0"/>
                      <w:sz w:val="24"/>
                      <w:szCs w:val="24"/>
                      <w:lang w:val="en-US" w:eastAsia="zh-CN"/>
                    </w:rPr>
                    <w:t>图3.3-1  现有锚地现场情况图</w:t>
                  </w:r>
                </w:p>
              </w:tc>
            </w:tr>
          </w:tbl>
          <w:p w14:paraId="15477BB0">
            <w:pPr>
              <w:widowControl/>
              <w:adjustRightInd w:val="0"/>
              <w:snapToGrid w:val="0"/>
              <w:spacing w:line="500" w:lineRule="exact"/>
              <w:ind w:firstLine="482" w:firstLineChars="200"/>
              <w:rPr>
                <w:rFonts w:hint="default" w:ascii="Times New Roman" w:hAnsi="Times New Roman" w:eastAsia="宋体" w:cs="Times New Roman"/>
                <w:color w:val="auto"/>
                <w:kern w:val="0"/>
                <w:sz w:val="24"/>
                <w:szCs w:val="24"/>
                <w:lang w:val="en-US" w:eastAsia="zh-CN"/>
              </w:rPr>
            </w:pPr>
            <w:r>
              <w:rPr>
                <w:rFonts w:hint="eastAsia" w:cs="Times New Roman"/>
                <w:b/>
                <w:bCs/>
                <w:kern w:val="0"/>
                <w:sz w:val="24"/>
                <w:szCs w:val="24"/>
                <w:lang w:val="en-US" w:eastAsia="zh-CN"/>
              </w:rPr>
              <w:t>6、</w:t>
            </w:r>
            <w:r>
              <w:rPr>
                <w:rFonts w:hint="default" w:ascii="Times New Roman" w:hAnsi="Times New Roman" w:eastAsia="宋体" w:cs="Times New Roman"/>
                <w:b/>
                <w:bCs/>
                <w:kern w:val="0"/>
                <w:sz w:val="24"/>
                <w:szCs w:val="24"/>
              </w:rPr>
              <w:t>与项目有关的原有环境污染和生态破坏问题</w:t>
            </w:r>
          </w:p>
          <w:p w14:paraId="4C1A72B4">
            <w:pPr>
              <w:widowControl/>
              <w:adjustRightInd w:val="0"/>
              <w:snapToGrid w:val="0"/>
              <w:spacing w:line="500" w:lineRule="exact"/>
              <w:ind w:firstLine="480" w:firstLineChars="200"/>
              <w:rPr>
                <w:rFonts w:hint="default" w:ascii="Times New Roman" w:hAnsi="Times New Roman" w:eastAsia="宋体" w:cs="Times New Roman"/>
                <w:b/>
                <w:sz w:val="24"/>
                <w:szCs w:val="24"/>
                <w:lang w:val="en-US" w:eastAsia="zh-CN"/>
              </w:rPr>
            </w:pPr>
            <w:r>
              <w:rPr>
                <w:rFonts w:hint="eastAsia" w:cs="Times New Roman"/>
                <w:color w:val="auto"/>
                <w:kern w:val="0"/>
                <w:sz w:val="24"/>
                <w:szCs w:val="24"/>
                <w:lang w:val="en-US" w:eastAsia="zh-CN"/>
              </w:rPr>
              <w:t>目前现有项目在建，现有项目与本项目无相关依托工程，因此，不存在</w:t>
            </w:r>
            <w:r>
              <w:rPr>
                <w:rFonts w:hint="default" w:ascii="Times New Roman" w:hAnsi="Times New Roman" w:eastAsia="宋体" w:cs="Times New Roman"/>
                <w:kern w:val="0"/>
                <w:sz w:val="24"/>
                <w:szCs w:val="24"/>
              </w:rPr>
              <w:t>与项目有关的原有环境污染和生态破坏问题</w:t>
            </w:r>
            <w:r>
              <w:rPr>
                <w:rFonts w:hint="eastAsia" w:cs="Times New Roman"/>
                <w:kern w:val="0"/>
                <w:sz w:val="24"/>
                <w:szCs w:val="24"/>
                <w:lang w:eastAsia="zh-CN"/>
              </w:rPr>
              <w:t>。</w:t>
            </w:r>
          </w:p>
        </w:tc>
      </w:tr>
      <w:tr w14:paraId="230B8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00" w:type="dxa"/>
            <w:vAlign w:val="center"/>
          </w:tcPr>
          <w:p w14:paraId="1DC21FBB">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生态环境</w:t>
            </w:r>
          </w:p>
          <w:p w14:paraId="40BB0E7C">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保护</w:t>
            </w:r>
          </w:p>
          <w:p w14:paraId="66FF1518">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目标</w:t>
            </w:r>
          </w:p>
        </w:tc>
        <w:tc>
          <w:tcPr>
            <w:tcW w:w="8122" w:type="dxa"/>
            <w:vAlign w:val="center"/>
          </w:tcPr>
          <w:p w14:paraId="5AA03EBB">
            <w:pPr>
              <w:adjustRightInd w:val="0"/>
              <w:snapToGrid w:val="0"/>
              <w:spacing w:line="480" w:lineRule="exact"/>
              <w:ind w:firstLine="482" w:firstLineChars="200"/>
              <w:rPr>
                <w:b/>
                <w:kern w:val="0"/>
                <w:sz w:val="24"/>
                <w:szCs w:val="21"/>
              </w:rPr>
            </w:pPr>
            <w:r>
              <w:rPr>
                <w:b/>
                <w:kern w:val="0"/>
                <w:sz w:val="24"/>
                <w:szCs w:val="21"/>
              </w:rPr>
              <w:t>3.</w:t>
            </w:r>
            <w:r>
              <w:rPr>
                <w:rFonts w:hint="eastAsia"/>
                <w:b/>
                <w:kern w:val="0"/>
                <w:sz w:val="24"/>
                <w:szCs w:val="21"/>
                <w:lang w:val="en-US" w:eastAsia="zh-CN"/>
              </w:rPr>
              <w:t>4</w:t>
            </w:r>
            <w:r>
              <w:rPr>
                <w:b/>
                <w:kern w:val="0"/>
                <w:sz w:val="24"/>
                <w:szCs w:val="21"/>
              </w:rPr>
              <w:t>生态环境保护目标</w:t>
            </w:r>
          </w:p>
          <w:p w14:paraId="23EBEA53">
            <w:pPr>
              <w:adjustRightInd w:val="0"/>
              <w:snapToGrid w:val="0"/>
              <w:spacing w:line="480" w:lineRule="exact"/>
              <w:ind w:firstLine="482" w:firstLineChars="0"/>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3.4.1大气</w:t>
            </w:r>
            <w:r>
              <w:rPr>
                <w:rFonts w:hint="default" w:ascii="Times New Roman" w:hAnsi="Times New Roman" w:eastAsia="宋体" w:cs="Times New Roman"/>
                <w:b/>
                <w:bCs/>
                <w:color w:val="auto"/>
                <w:sz w:val="24"/>
                <w:szCs w:val="24"/>
                <w:highlight w:val="none"/>
              </w:rPr>
              <w:t>环境保护目标</w:t>
            </w:r>
          </w:p>
          <w:p w14:paraId="35AB7626">
            <w:pPr>
              <w:adjustRightInd w:val="0"/>
              <w:snapToGrid w:val="0"/>
              <w:spacing w:line="480" w:lineRule="exact"/>
              <w:ind w:firstLine="480" w:firstLineChars="200"/>
              <w:rPr>
                <w:rFonts w:hint="eastAsia"/>
                <w:b w:val="0"/>
                <w:bCs/>
                <w:color w:val="auto"/>
                <w:kern w:val="0"/>
                <w:sz w:val="24"/>
                <w:szCs w:val="21"/>
                <w:highlight w:val="none"/>
                <w:lang w:val="en-US" w:eastAsia="zh-CN"/>
              </w:rPr>
            </w:pPr>
            <w:r>
              <w:rPr>
                <w:rFonts w:hint="eastAsia"/>
                <w:b w:val="0"/>
                <w:bCs/>
                <w:color w:val="auto"/>
                <w:kern w:val="0"/>
                <w:sz w:val="24"/>
                <w:szCs w:val="21"/>
                <w:highlight w:val="none"/>
                <w:lang w:val="en-US" w:eastAsia="zh-CN"/>
              </w:rPr>
              <w:t>本项目淤泥干化场500米范围内涉及的大气环境敏感目标见表3.4-1和附图10。</w:t>
            </w:r>
          </w:p>
          <w:p w14:paraId="3D37F077">
            <w:pPr>
              <w:adjustRightInd w:val="0"/>
              <w:snapToGrid w:val="0"/>
              <w:spacing w:line="460" w:lineRule="exact"/>
              <w:ind w:firstLine="482" w:firstLineChars="20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 xml:space="preserve">  </w:t>
            </w:r>
            <w:r>
              <w:rPr>
                <w:rFonts w:hint="eastAsia" w:cs="Times New Roman"/>
                <w:b/>
                <w:bCs/>
                <w:color w:val="auto"/>
                <w:sz w:val="24"/>
                <w:szCs w:val="24"/>
                <w:highlight w:val="none"/>
                <w:lang w:val="en-US" w:eastAsia="zh-CN"/>
              </w:rPr>
              <w:t>大气</w:t>
            </w:r>
            <w:r>
              <w:rPr>
                <w:rFonts w:hint="default" w:ascii="Times New Roman" w:hAnsi="Times New Roman" w:eastAsia="宋体" w:cs="Times New Roman"/>
                <w:b/>
                <w:bCs/>
                <w:color w:val="auto"/>
                <w:sz w:val="24"/>
                <w:szCs w:val="24"/>
                <w:highlight w:val="none"/>
                <w:lang w:val="en-US" w:eastAsia="zh-CN"/>
              </w:rPr>
              <w:t>环境保护目标一览表</w:t>
            </w:r>
          </w:p>
          <w:tbl>
            <w:tblPr>
              <w:tblStyle w:val="8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2164"/>
              <w:gridCol w:w="745"/>
              <w:gridCol w:w="712"/>
              <w:gridCol w:w="760"/>
              <w:gridCol w:w="1104"/>
              <w:gridCol w:w="710"/>
              <w:gridCol w:w="696"/>
              <w:gridCol w:w="1842"/>
            </w:tblGrid>
            <w:tr w14:paraId="58E46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75" w:type="pct"/>
                  <w:vMerge w:val="restart"/>
                  <w:tcBorders>
                    <w:tl2br w:val="nil"/>
                    <w:tr2bl w:val="nil"/>
                  </w:tcBorders>
                  <w:shd w:val="clear" w:color="auto" w:fill="auto"/>
                  <w:vAlign w:val="center"/>
                </w:tcPr>
                <w:p w14:paraId="6B4F0E65">
                  <w:pPr>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环境要素</w:t>
                  </w:r>
                </w:p>
              </w:tc>
              <w:tc>
                <w:tcPr>
                  <w:tcW w:w="1170" w:type="pct"/>
                  <w:vMerge w:val="restart"/>
                  <w:tcBorders>
                    <w:tl2br w:val="nil"/>
                    <w:tr2bl w:val="nil"/>
                  </w:tcBorders>
                  <w:shd w:val="clear" w:color="auto" w:fill="auto"/>
                  <w:vAlign w:val="center"/>
                </w:tcPr>
                <w:p w14:paraId="03E336B5">
                  <w:pPr>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敏感目标名称</w:t>
                  </w:r>
                </w:p>
              </w:tc>
              <w:tc>
                <w:tcPr>
                  <w:tcW w:w="788" w:type="pct"/>
                  <w:gridSpan w:val="2"/>
                  <w:tcBorders>
                    <w:tl2br w:val="nil"/>
                    <w:tr2bl w:val="nil"/>
                  </w:tcBorders>
                  <w:shd w:val="clear" w:color="auto" w:fill="auto"/>
                  <w:vAlign w:val="center"/>
                </w:tcPr>
                <w:p w14:paraId="3E585361">
                  <w:pPr>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坐标</w:t>
                  </w:r>
                </w:p>
              </w:tc>
              <w:tc>
                <w:tcPr>
                  <w:tcW w:w="411" w:type="pct"/>
                  <w:vMerge w:val="restart"/>
                  <w:tcBorders>
                    <w:tl2br w:val="nil"/>
                    <w:tr2bl w:val="nil"/>
                  </w:tcBorders>
                  <w:shd w:val="clear" w:color="auto" w:fill="auto"/>
                  <w:vAlign w:val="center"/>
                </w:tcPr>
                <w:p w14:paraId="440144A9">
                  <w:pPr>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相对厂址方位</w:t>
                  </w:r>
                </w:p>
              </w:tc>
              <w:tc>
                <w:tcPr>
                  <w:tcW w:w="597" w:type="pct"/>
                  <w:vMerge w:val="restart"/>
                  <w:tcBorders>
                    <w:tl2br w:val="nil"/>
                    <w:tr2bl w:val="nil"/>
                  </w:tcBorders>
                  <w:shd w:val="clear" w:color="auto" w:fill="auto"/>
                  <w:vAlign w:val="center"/>
                </w:tcPr>
                <w:p w14:paraId="760A238A">
                  <w:pPr>
                    <w:jc w:val="center"/>
                    <w:rPr>
                      <w:rFonts w:ascii="Times New Roman" w:hAnsi="Times New Roman" w:cs="Times New Roman"/>
                      <w:b/>
                      <w:bCs/>
                      <w:sz w:val="21"/>
                      <w:szCs w:val="21"/>
                      <w:highlight w:val="none"/>
                    </w:rPr>
                  </w:pPr>
                  <w:r>
                    <w:rPr>
                      <w:rFonts w:ascii="Times New Roman" w:hAnsi="Times New Roman" w:cs="Times New Roman"/>
                      <w:b/>
                      <w:kern w:val="2"/>
                      <w:sz w:val="21"/>
                      <w:szCs w:val="21"/>
                      <w:highlight w:val="none"/>
                    </w:rPr>
                    <w:t>相对厂界距离/m</w:t>
                  </w:r>
                </w:p>
              </w:tc>
              <w:tc>
                <w:tcPr>
                  <w:tcW w:w="384" w:type="pct"/>
                  <w:vMerge w:val="restart"/>
                  <w:tcBorders>
                    <w:tl2br w:val="nil"/>
                    <w:tr2bl w:val="nil"/>
                  </w:tcBorders>
                  <w:shd w:val="clear" w:color="auto" w:fill="auto"/>
                  <w:vAlign w:val="center"/>
                </w:tcPr>
                <w:p w14:paraId="5651E513">
                  <w:pPr>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保护对象</w:t>
                  </w:r>
                </w:p>
              </w:tc>
              <w:tc>
                <w:tcPr>
                  <w:tcW w:w="376" w:type="pct"/>
                  <w:vMerge w:val="restart"/>
                  <w:tcBorders>
                    <w:tl2br w:val="nil"/>
                    <w:tr2bl w:val="nil"/>
                  </w:tcBorders>
                  <w:shd w:val="clear" w:color="auto" w:fill="auto"/>
                  <w:vAlign w:val="center"/>
                </w:tcPr>
                <w:p w14:paraId="071EC184">
                  <w:pPr>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规模/人</w:t>
                  </w:r>
                </w:p>
              </w:tc>
              <w:tc>
                <w:tcPr>
                  <w:tcW w:w="995" w:type="pct"/>
                  <w:vMerge w:val="restart"/>
                  <w:tcBorders>
                    <w:tl2br w:val="nil"/>
                    <w:tr2bl w:val="nil"/>
                  </w:tcBorders>
                  <w:shd w:val="clear" w:color="auto" w:fill="auto"/>
                  <w:vAlign w:val="center"/>
                </w:tcPr>
                <w:p w14:paraId="74187207">
                  <w:pPr>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环境功能</w:t>
                  </w:r>
                </w:p>
              </w:tc>
            </w:tr>
            <w:tr w14:paraId="3117D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75" w:type="pct"/>
                  <w:vMerge w:val="continue"/>
                  <w:tcBorders>
                    <w:tl2br w:val="nil"/>
                    <w:tr2bl w:val="nil"/>
                  </w:tcBorders>
                  <w:vAlign w:val="center"/>
                </w:tcPr>
                <w:p w14:paraId="4ED009E3">
                  <w:pPr>
                    <w:jc w:val="center"/>
                    <w:rPr>
                      <w:rFonts w:ascii="Times New Roman" w:hAnsi="Times New Roman" w:cs="Times New Roman"/>
                      <w:b/>
                      <w:bCs/>
                      <w:sz w:val="21"/>
                      <w:szCs w:val="21"/>
                      <w:highlight w:val="none"/>
                    </w:rPr>
                  </w:pPr>
                </w:p>
              </w:tc>
              <w:tc>
                <w:tcPr>
                  <w:tcW w:w="1170" w:type="pct"/>
                  <w:vMerge w:val="continue"/>
                  <w:tcBorders>
                    <w:tl2br w:val="nil"/>
                    <w:tr2bl w:val="nil"/>
                  </w:tcBorders>
                  <w:vAlign w:val="center"/>
                </w:tcPr>
                <w:p w14:paraId="50E47F9C">
                  <w:pPr>
                    <w:jc w:val="center"/>
                    <w:rPr>
                      <w:rFonts w:ascii="Times New Roman" w:hAnsi="Times New Roman" w:cs="Times New Roman"/>
                      <w:b/>
                      <w:bCs/>
                      <w:sz w:val="21"/>
                      <w:szCs w:val="21"/>
                      <w:highlight w:val="none"/>
                    </w:rPr>
                  </w:pPr>
                </w:p>
              </w:tc>
              <w:tc>
                <w:tcPr>
                  <w:tcW w:w="403" w:type="pct"/>
                  <w:tcBorders>
                    <w:tl2br w:val="nil"/>
                    <w:tr2bl w:val="nil"/>
                  </w:tcBorders>
                  <w:shd w:val="clear" w:color="auto" w:fill="auto"/>
                  <w:vAlign w:val="center"/>
                </w:tcPr>
                <w:p w14:paraId="264EBB79">
                  <w:pPr>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X</w:t>
                  </w:r>
                </w:p>
              </w:tc>
              <w:tc>
                <w:tcPr>
                  <w:tcW w:w="385" w:type="pct"/>
                  <w:tcBorders>
                    <w:tl2br w:val="nil"/>
                    <w:tr2bl w:val="nil"/>
                  </w:tcBorders>
                  <w:shd w:val="clear" w:color="auto" w:fill="auto"/>
                  <w:vAlign w:val="center"/>
                </w:tcPr>
                <w:p w14:paraId="5B7D887E">
                  <w:pPr>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Y</w:t>
                  </w:r>
                </w:p>
              </w:tc>
              <w:tc>
                <w:tcPr>
                  <w:tcW w:w="411" w:type="pct"/>
                  <w:vMerge w:val="continue"/>
                  <w:tcBorders>
                    <w:tl2br w:val="nil"/>
                    <w:tr2bl w:val="nil"/>
                  </w:tcBorders>
                  <w:vAlign w:val="center"/>
                </w:tcPr>
                <w:p w14:paraId="7137A2BF">
                  <w:pPr>
                    <w:jc w:val="center"/>
                    <w:rPr>
                      <w:rFonts w:ascii="Times New Roman" w:hAnsi="Times New Roman" w:cs="Times New Roman"/>
                      <w:b/>
                      <w:bCs/>
                      <w:sz w:val="21"/>
                      <w:szCs w:val="21"/>
                      <w:highlight w:val="none"/>
                    </w:rPr>
                  </w:pPr>
                </w:p>
              </w:tc>
              <w:tc>
                <w:tcPr>
                  <w:tcW w:w="597" w:type="pct"/>
                  <w:vMerge w:val="continue"/>
                  <w:tcBorders>
                    <w:tl2br w:val="nil"/>
                    <w:tr2bl w:val="nil"/>
                  </w:tcBorders>
                  <w:vAlign w:val="center"/>
                </w:tcPr>
                <w:p w14:paraId="3400F80C">
                  <w:pPr>
                    <w:jc w:val="center"/>
                    <w:rPr>
                      <w:rFonts w:ascii="Times New Roman" w:hAnsi="Times New Roman" w:cs="Times New Roman"/>
                      <w:b/>
                      <w:bCs/>
                      <w:sz w:val="21"/>
                      <w:szCs w:val="21"/>
                      <w:highlight w:val="none"/>
                    </w:rPr>
                  </w:pPr>
                </w:p>
              </w:tc>
              <w:tc>
                <w:tcPr>
                  <w:tcW w:w="384" w:type="pct"/>
                  <w:vMerge w:val="continue"/>
                  <w:tcBorders>
                    <w:tl2br w:val="nil"/>
                    <w:tr2bl w:val="nil"/>
                  </w:tcBorders>
                  <w:vAlign w:val="center"/>
                </w:tcPr>
                <w:p w14:paraId="0A470F3B">
                  <w:pPr>
                    <w:jc w:val="center"/>
                    <w:rPr>
                      <w:rFonts w:ascii="Times New Roman" w:hAnsi="Times New Roman" w:cs="Times New Roman"/>
                      <w:b/>
                      <w:bCs/>
                      <w:sz w:val="21"/>
                      <w:szCs w:val="21"/>
                      <w:highlight w:val="none"/>
                    </w:rPr>
                  </w:pPr>
                </w:p>
              </w:tc>
              <w:tc>
                <w:tcPr>
                  <w:tcW w:w="376" w:type="pct"/>
                  <w:vMerge w:val="continue"/>
                  <w:tcBorders>
                    <w:tl2br w:val="nil"/>
                    <w:tr2bl w:val="nil"/>
                  </w:tcBorders>
                  <w:vAlign w:val="center"/>
                </w:tcPr>
                <w:p w14:paraId="163CE1F4">
                  <w:pPr>
                    <w:jc w:val="center"/>
                    <w:rPr>
                      <w:rFonts w:ascii="Times New Roman" w:hAnsi="Times New Roman" w:cs="Times New Roman"/>
                      <w:b/>
                      <w:bCs/>
                      <w:sz w:val="21"/>
                      <w:szCs w:val="21"/>
                      <w:highlight w:val="none"/>
                    </w:rPr>
                  </w:pPr>
                </w:p>
              </w:tc>
              <w:tc>
                <w:tcPr>
                  <w:tcW w:w="995" w:type="pct"/>
                  <w:vMerge w:val="continue"/>
                  <w:tcBorders>
                    <w:tl2br w:val="nil"/>
                    <w:tr2bl w:val="nil"/>
                  </w:tcBorders>
                  <w:shd w:val="clear" w:color="auto" w:fill="auto"/>
                  <w:vAlign w:val="center"/>
                </w:tcPr>
                <w:p w14:paraId="439B2E22">
                  <w:pPr>
                    <w:jc w:val="center"/>
                    <w:rPr>
                      <w:rFonts w:ascii="Times New Roman" w:hAnsi="Times New Roman" w:cs="Times New Roman"/>
                      <w:b/>
                      <w:bCs/>
                      <w:sz w:val="21"/>
                      <w:szCs w:val="21"/>
                      <w:highlight w:val="none"/>
                    </w:rPr>
                  </w:pPr>
                </w:p>
              </w:tc>
            </w:tr>
            <w:tr w14:paraId="23746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vMerge w:val="restart"/>
                  <w:tcBorders>
                    <w:tl2br w:val="nil"/>
                    <w:tr2bl w:val="nil"/>
                  </w:tcBorders>
                  <w:shd w:val="clear" w:color="auto" w:fill="auto"/>
                  <w:vAlign w:val="center"/>
                </w:tcPr>
                <w:p w14:paraId="1227F2F0">
                  <w:pPr>
                    <w:jc w:val="center"/>
                    <w:rPr>
                      <w:rFonts w:ascii="Times New Roman" w:hAnsi="Times New Roman" w:cs="Times New Roman"/>
                      <w:sz w:val="21"/>
                      <w:szCs w:val="21"/>
                      <w:highlight w:val="none"/>
                    </w:rPr>
                  </w:pPr>
                  <w:r>
                    <w:rPr>
                      <w:rFonts w:ascii="Times New Roman" w:hAnsi="Times New Roman" w:cs="Times New Roman"/>
                      <w:sz w:val="21"/>
                      <w:szCs w:val="21"/>
                      <w:highlight w:val="none"/>
                    </w:rPr>
                    <w:t>大气环境</w:t>
                  </w:r>
                </w:p>
              </w:tc>
              <w:tc>
                <w:tcPr>
                  <w:tcW w:w="1170" w:type="pct"/>
                  <w:tcBorders>
                    <w:tl2br w:val="nil"/>
                    <w:tr2bl w:val="nil"/>
                  </w:tcBorders>
                  <w:shd w:val="clear" w:color="auto" w:fill="auto"/>
                  <w:vAlign w:val="center"/>
                </w:tcPr>
                <w:p w14:paraId="144BD542">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黄码头</w:t>
                  </w:r>
                </w:p>
              </w:tc>
              <w:tc>
                <w:tcPr>
                  <w:tcW w:w="403" w:type="pct"/>
                  <w:tcBorders>
                    <w:tl2br w:val="nil"/>
                    <w:tr2bl w:val="nil"/>
                  </w:tcBorders>
                  <w:shd w:val="clear" w:color="auto" w:fill="auto"/>
                  <w:vAlign w:val="center"/>
                </w:tcPr>
                <w:p w14:paraId="5FAB0934">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19</w:t>
                  </w:r>
                </w:p>
              </w:tc>
              <w:tc>
                <w:tcPr>
                  <w:tcW w:w="385" w:type="pct"/>
                  <w:tcBorders>
                    <w:tl2br w:val="nil"/>
                    <w:tr2bl w:val="nil"/>
                  </w:tcBorders>
                  <w:shd w:val="clear" w:color="auto" w:fill="auto"/>
                  <w:vAlign w:val="center"/>
                </w:tcPr>
                <w:p w14:paraId="798F937A">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242</w:t>
                  </w:r>
                </w:p>
              </w:tc>
              <w:tc>
                <w:tcPr>
                  <w:tcW w:w="411" w:type="pct"/>
                  <w:tcBorders>
                    <w:tl2br w:val="nil"/>
                    <w:tr2bl w:val="nil"/>
                  </w:tcBorders>
                  <w:shd w:val="clear" w:color="auto" w:fill="auto"/>
                  <w:vAlign w:val="center"/>
                </w:tcPr>
                <w:p w14:paraId="7794C31A">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597" w:type="pct"/>
                  <w:tcBorders>
                    <w:tl2br w:val="nil"/>
                    <w:tr2bl w:val="nil"/>
                  </w:tcBorders>
                  <w:shd w:val="clear" w:color="auto" w:fill="auto"/>
                  <w:vAlign w:val="center"/>
                </w:tcPr>
                <w:p w14:paraId="1299011A">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242</w:t>
                  </w:r>
                </w:p>
              </w:tc>
              <w:tc>
                <w:tcPr>
                  <w:tcW w:w="384" w:type="pct"/>
                  <w:tcBorders>
                    <w:tl2br w:val="nil"/>
                    <w:tr2bl w:val="nil"/>
                  </w:tcBorders>
                  <w:shd w:val="clear" w:color="auto" w:fill="auto"/>
                  <w:vAlign w:val="center"/>
                </w:tcPr>
                <w:p w14:paraId="71E64EE9">
                  <w:pPr>
                    <w:jc w:val="center"/>
                    <w:rPr>
                      <w:rFonts w:ascii="Times New Roman" w:hAnsi="Times New Roman" w:cs="Times New Roman"/>
                      <w:sz w:val="21"/>
                      <w:szCs w:val="21"/>
                      <w:highlight w:val="none"/>
                    </w:rPr>
                  </w:pPr>
                  <w:r>
                    <w:rPr>
                      <w:rFonts w:ascii="Times New Roman" w:hAnsi="Times New Roman" w:cs="Times New Roman"/>
                      <w:sz w:val="21"/>
                      <w:szCs w:val="21"/>
                      <w:highlight w:val="none"/>
                    </w:rPr>
                    <w:t>居民</w:t>
                  </w:r>
                </w:p>
              </w:tc>
              <w:tc>
                <w:tcPr>
                  <w:tcW w:w="376" w:type="pct"/>
                  <w:tcBorders>
                    <w:tl2br w:val="nil"/>
                    <w:tr2bl w:val="nil"/>
                  </w:tcBorders>
                  <w:shd w:val="clear" w:color="auto" w:fill="auto"/>
                  <w:vAlign w:val="center"/>
                </w:tcPr>
                <w:p w14:paraId="1FC8D98F">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600</w:t>
                  </w:r>
                </w:p>
              </w:tc>
              <w:tc>
                <w:tcPr>
                  <w:tcW w:w="995" w:type="pct"/>
                  <w:vMerge w:val="restart"/>
                  <w:tcBorders>
                    <w:tl2br w:val="nil"/>
                    <w:tr2bl w:val="nil"/>
                  </w:tcBorders>
                  <w:shd w:val="clear" w:color="auto" w:fill="auto"/>
                  <w:vAlign w:val="center"/>
                </w:tcPr>
                <w:p w14:paraId="5F2E9D99">
                  <w:pPr>
                    <w:jc w:val="center"/>
                    <w:rPr>
                      <w:rFonts w:ascii="Times New Roman" w:hAnsi="Times New Roman" w:cs="Times New Roman"/>
                      <w:sz w:val="21"/>
                      <w:szCs w:val="21"/>
                      <w:highlight w:val="none"/>
                    </w:rPr>
                  </w:pPr>
                  <w:r>
                    <w:rPr>
                      <w:rFonts w:ascii="Times New Roman" w:hAnsi="Times New Roman" w:cs="Times New Roman"/>
                      <w:kern w:val="2"/>
                      <w:sz w:val="21"/>
                      <w:szCs w:val="21"/>
                      <w:highlight w:val="none"/>
                    </w:rPr>
                    <w:t>《环境空气质量标准》（GB3095-2012）二级标准</w:t>
                  </w:r>
                </w:p>
              </w:tc>
            </w:tr>
            <w:tr w14:paraId="5B755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vMerge w:val="continue"/>
                  <w:tcBorders>
                    <w:tl2br w:val="nil"/>
                    <w:tr2bl w:val="nil"/>
                  </w:tcBorders>
                  <w:vAlign w:val="center"/>
                </w:tcPr>
                <w:p w14:paraId="0A580C2A">
                  <w:pPr>
                    <w:jc w:val="center"/>
                    <w:rPr>
                      <w:rFonts w:ascii="Times New Roman" w:hAnsi="Times New Roman" w:cs="Times New Roman"/>
                      <w:sz w:val="21"/>
                      <w:szCs w:val="21"/>
                      <w:highlight w:val="none"/>
                    </w:rPr>
                  </w:pPr>
                </w:p>
              </w:tc>
              <w:tc>
                <w:tcPr>
                  <w:tcW w:w="1170" w:type="pct"/>
                  <w:tcBorders>
                    <w:tl2br w:val="nil"/>
                    <w:tr2bl w:val="nil"/>
                  </w:tcBorders>
                  <w:shd w:val="clear" w:color="auto" w:fill="auto"/>
                  <w:vAlign w:val="center"/>
                </w:tcPr>
                <w:p w14:paraId="4C6A0B7D">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张庄</w:t>
                  </w:r>
                </w:p>
              </w:tc>
              <w:tc>
                <w:tcPr>
                  <w:tcW w:w="403" w:type="pct"/>
                  <w:tcBorders>
                    <w:tl2br w:val="nil"/>
                    <w:tr2bl w:val="nil"/>
                  </w:tcBorders>
                  <w:shd w:val="clear" w:color="auto" w:fill="auto"/>
                  <w:vAlign w:val="center"/>
                </w:tcPr>
                <w:p w14:paraId="7838742E">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w:t>
                  </w:r>
                </w:p>
              </w:tc>
              <w:tc>
                <w:tcPr>
                  <w:tcW w:w="385" w:type="pct"/>
                  <w:tcBorders>
                    <w:tl2br w:val="nil"/>
                    <w:tr2bl w:val="nil"/>
                  </w:tcBorders>
                  <w:shd w:val="clear" w:color="auto" w:fill="auto"/>
                  <w:vAlign w:val="center"/>
                </w:tcPr>
                <w:p w14:paraId="03A3A6CB">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-130</w:t>
                  </w:r>
                </w:p>
              </w:tc>
              <w:tc>
                <w:tcPr>
                  <w:tcW w:w="411" w:type="pct"/>
                  <w:tcBorders>
                    <w:tl2br w:val="nil"/>
                    <w:tr2bl w:val="nil"/>
                  </w:tcBorders>
                  <w:shd w:val="clear" w:color="auto" w:fill="auto"/>
                  <w:vAlign w:val="center"/>
                </w:tcPr>
                <w:p w14:paraId="52D4D129">
                  <w:pPr>
                    <w:jc w:val="center"/>
                    <w:rPr>
                      <w:rFonts w:hint="eastAsia" w:ascii="Times New Roman" w:hAnsi="Times New Roman" w:eastAsia="宋体" w:cs="Times New Roman"/>
                      <w:sz w:val="21"/>
                      <w:szCs w:val="21"/>
                      <w:highlight w:val="none"/>
                      <w:lang w:val="en-US" w:eastAsia="zh-CN"/>
                    </w:rPr>
                  </w:pPr>
                  <w:r>
                    <w:rPr>
                      <w:rFonts w:ascii="Times New Roman" w:hAnsi="Times New Roman" w:cs="Times New Roman"/>
                      <w:sz w:val="21"/>
                      <w:szCs w:val="21"/>
                      <w:highlight w:val="none"/>
                    </w:rPr>
                    <w:t>S</w:t>
                  </w:r>
                  <w:r>
                    <w:rPr>
                      <w:rFonts w:hint="eastAsia" w:ascii="Times New Roman" w:hAnsi="Times New Roman" w:cs="Times New Roman"/>
                      <w:sz w:val="21"/>
                      <w:szCs w:val="21"/>
                      <w:highlight w:val="none"/>
                      <w:lang w:val="en-US" w:eastAsia="zh-CN"/>
                    </w:rPr>
                    <w:t>W</w:t>
                  </w:r>
                </w:p>
              </w:tc>
              <w:tc>
                <w:tcPr>
                  <w:tcW w:w="597" w:type="pct"/>
                  <w:tcBorders>
                    <w:tl2br w:val="nil"/>
                    <w:tr2bl w:val="nil"/>
                  </w:tcBorders>
                  <w:shd w:val="clear" w:color="auto" w:fill="auto"/>
                  <w:vAlign w:val="center"/>
                </w:tcPr>
                <w:p w14:paraId="782151FB">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131</w:t>
                  </w:r>
                </w:p>
              </w:tc>
              <w:tc>
                <w:tcPr>
                  <w:tcW w:w="384" w:type="pct"/>
                  <w:tcBorders>
                    <w:tl2br w:val="nil"/>
                    <w:tr2bl w:val="nil"/>
                  </w:tcBorders>
                  <w:shd w:val="clear" w:color="auto" w:fill="auto"/>
                  <w:vAlign w:val="center"/>
                </w:tcPr>
                <w:p w14:paraId="3F7128AA">
                  <w:pPr>
                    <w:jc w:val="center"/>
                    <w:rPr>
                      <w:rFonts w:ascii="Times New Roman" w:hAnsi="Times New Roman" w:cs="Times New Roman"/>
                      <w:sz w:val="21"/>
                      <w:szCs w:val="21"/>
                      <w:highlight w:val="none"/>
                    </w:rPr>
                  </w:pPr>
                  <w:r>
                    <w:rPr>
                      <w:rFonts w:ascii="Times New Roman" w:hAnsi="Times New Roman" w:cs="Times New Roman"/>
                      <w:sz w:val="21"/>
                      <w:szCs w:val="21"/>
                      <w:highlight w:val="none"/>
                    </w:rPr>
                    <w:t>居民</w:t>
                  </w:r>
                </w:p>
              </w:tc>
              <w:tc>
                <w:tcPr>
                  <w:tcW w:w="376" w:type="pct"/>
                  <w:tcBorders>
                    <w:tl2br w:val="nil"/>
                    <w:tr2bl w:val="nil"/>
                  </w:tcBorders>
                  <w:shd w:val="clear" w:color="auto" w:fill="auto"/>
                  <w:vAlign w:val="center"/>
                </w:tcPr>
                <w:p w14:paraId="6466B0F3">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64</w:t>
                  </w:r>
                </w:p>
              </w:tc>
              <w:tc>
                <w:tcPr>
                  <w:tcW w:w="995" w:type="pct"/>
                  <w:vMerge w:val="continue"/>
                  <w:tcBorders>
                    <w:tl2br w:val="nil"/>
                    <w:tr2bl w:val="nil"/>
                  </w:tcBorders>
                  <w:vAlign w:val="center"/>
                </w:tcPr>
                <w:p w14:paraId="64EB7177">
                  <w:pPr>
                    <w:jc w:val="center"/>
                    <w:rPr>
                      <w:rFonts w:ascii="Times New Roman" w:hAnsi="Times New Roman" w:cs="Times New Roman"/>
                      <w:sz w:val="21"/>
                      <w:szCs w:val="21"/>
                      <w:highlight w:val="none"/>
                    </w:rPr>
                  </w:pPr>
                </w:p>
              </w:tc>
            </w:tr>
            <w:tr w14:paraId="6FADA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vMerge w:val="continue"/>
                  <w:tcBorders>
                    <w:tl2br w:val="nil"/>
                    <w:tr2bl w:val="nil"/>
                  </w:tcBorders>
                  <w:vAlign w:val="center"/>
                </w:tcPr>
                <w:p w14:paraId="4EBD7784">
                  <w:pPr>
                    <w:jc w:val="center"/>
                    <w:rPr>
                      <w:rFonts w:ascii="Times New Roman" w:hAnsi="Times New Roman" w:cs="Times New Roman"/>
                      <w:sz w:val="21"/>
                      <w:szCs w:val="21"/>
                      <w:highlight w:val="none"/>
                    </w:rPr>
                  </w:pPr>
                </w:p>
              </w:tc>
              <w:tc>
                <w:tcPr>
                  <w:tcW w:w="1170" w:type="pct"/>
                  <w:tcBorders>
                    <w:tl2br w:val="nil"/>
                    <w:tr2bl w:val="nil"/>
                  </w:tcBorders>
                  <w:shd w:val="clear" w:color="auto" w:fill="auto"/>
                  <w:vAlign w:val="center"/>
                </w:tcPr>
                <w:p w14:paraId="4A053F15">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黄码村四组</w:t>
                  </w:r>
                </w:p>
              </w:tc>
              <w:tc>
                <w:tcPr>
                  <w:tcW w:w="403" w:type="pct"/>
                  <w:tcBorders>
                    <w:tl2br w:val="nil"/>
                    <w:tr2bl w:val="nil"/>
                  </w:tcBorders>
                  <w:shd w:val="clear" w:color="auto" w:fill="auto"/>
                  <w:vAlign w:val="center"/>
                </w:tcPr>
                <w:p w14:paraId="33B84D97">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w:t>
                  </w:r>
                </w:p>
              </w:tc>
              <w:tc>
                <w:tcPr>
                  <w:tcW w:w="385" w:type="pct"/>
                  <w:tcBorders>
                    <w:tl2br w:val="nil"/>
                    <w:tr2bl w:val="nil"/>
                  </w:tcBorders>
                  <w:shd w:val="clear" w:color="auto" w:fill="auto"/>
                  <w:vAlign w:val="center"/>
                </w:tcPr>
                <w:p w14:paraId="7B61FF76">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-130</w:t>
                  </w:r>
                </w:p>
              </w:tc>
              <w:tc>
                <w:tcPr>
                  <w:tcW w:w="411" w:type="pct"/>
                  <w:tcBorders>
                    <w:tl2br w:val="nil"/>
                    <w:tr2bl w:val="nil"/>
                  </w:tcBorders>
                  <w:shd w:val="clear" w:color="auto" w:fill="auto"/>
                  <w:vAlign w:val="center"/>
                </w:tcPr>
                <w:p w14:paraId="2648F5D5">
                  <w:pPr>
                    <w:jc w:val="center"/>
                    <w:rPr>
                      <w:rFonts w:hint="eastAsia" w:ascii="Times New Roman" w:hAnsi="Times New Roman" w:eastAsia="宋体" w:cs="Times New Roman"/>
                      <w:sz w:val="21"/>
                      <w:szCs w:val="21"/>
                      <w:highlight w:val="none"/>
                      <w:lang w:val="en-US" w:eastAsia="zh-CN"/>
                    </w:rPr>
                  </w:pPr>
                  <w:r>
                    <w:rPr>
                      <w:rFonts w:ascii="Times New Roman" w:hAnsi="Times New Roman" w:cs="Times New Roman"/>
                      <w:sz w:val="21"/>
                      <w:szCs w:val="21"/>
                      <w:highlight w:val="none"/>
                    </w:rPr>
                    <w:t>S</w:t>
                  </w:r>
                  <w:r>
                    <w:rPr>
                      <w:rFonts w:hint="eastAsia" w:ascii="Times New Roman" w:hAnsi="Times New Roman" w:cs="Times New Roman"/>
                      <w:sz w:val="21"/>
                      <w:szCs w:val="21"/>
                      <w:highlight w:val="none"/>
                      <w:lang w:val="en-US" w:eastAsia="zh-CN"/>
                    </w:rPr>
                    <w:t>E</w:t>
                  </w:r>
                </w:p>
              </w:tc>
              <w:tc>
                <w:tcPr>
                  <w:tcW w:w="597" w:type="pct"/>
                  <w:tcBorders>
                    <w:tl2br w:val="nil"/>
                    <w:tr2bl w:val="nil"/>
                  </w:tcBorders>
                  <w:shd w:val="clear" w:color="auto" w:fill="auto"/>
                  <w:vAlign w:val="center"/>
                </w:tcPr>
                <w:p w14:paraId="19A513FD">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130</w:t>
                  </w:r>
                </w:p>
              </w:tc>
              <w:tc>
                <w:tcPr>
                  <w:tcW w:w="384" w:type="pct"/>
                  <w:tcBorders>
                    <w:tl2br w:val="nil"/>
                    <w:tr2bl w:val="nil"/>
                  </w:tcBorders>
                  <w:shd w:val="clear" w:color="auto" w:fill="auto"/>
                  <w:vAlign w:val="center"/>
                </w:tcPr>
                <w:p w14:paraId="18E89D99">
                  <w:pPr>
                    <w:jc w:val="center"/>
                    <w:rPr>
                      <w:rFonts w:ascii="Times New Roman" w:hAnsi="Times New Roman" w:cs="Times New Roman"/>
                      <w:sz w:val="21"/>
                      <w:szCs w:val="21"/>
                      <w:highlight w:val="none"/>
                    </w:rPr>
                  </w:pPr>
                  <w:r>
                    <w:rPr>
                      <w:rFonts w:ascii="Times New Roman" w:hAnsi="Times New Roman" w:cs="Times New Roman"/>
                      <w:sz w:val="21"/>
                      <w:szCs w:val="21"/>
                      <w:highlight w:val="none"/>
                    </w:rPr>
                    <w:t>居民</w:t>
                  </w:r>
                </w:p>
              </w:tc>
              <w:tc>
                <w:tcPr>
                  <w:tcW w:w="376" w:type="pct"/>
                  <w:tcBorders>
                    <w:tl2br w:val="nil"/>
                    <w:tr2bl w:val="nil"/>
                  </w:tcBorders>
                  <w:shd w:val="clear" w:color="auto" w:fill="auto"/>
                  <w:vAlign w:val="center"/>
                </w:tcPr>
                <w:p w14:paraId="55DE1AA1">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240</w:t>
                  </w:r>
                </w:p>
              </w:tc>
              <w:tc>
                <w:tcPr>
                  <w:tcW w:w="995" w:type="pct"/>
                  <w:vMerge w:val="continue"/>
                  <w:tcBorders>
                    <w:tl2br w:val="nil"/>
                    <w:tr2bl w:val="nil"/>
                  </w:tcBorders>
                  <w:vAlign w:val="center"/>
                </w:tcPr>
                <w:p w14:paraId="0212C10C">
                  <w:pPr>
                    <w:jc w:val="center"/>
                    <w:rPr>
                      <w:rFonts w:ascii="Times New Roman" w:hAnsi="Times New Roman" w:cs="Times New Roman"/>
                      <w:sz w:val="21"/>
                      <w:szCs w:val="21"/>
                      <w:highlight w:val="none"/>
                    </w:rPr>
                  </w:pPr>
                </w:p>
              </w:tc>
            </w:tr>
            <w:tr w14:paraId="6503E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75" w:type="pct"/>
                  <w:vMerge w:val="continue"/>
                  <w:tcBorders>
                    <w:tl2br w:val="nil"/>
                    <w:tr2bl w:val="nil"/>
                  </w:tcBorders>
                  <w:vAlign w:val="center"/>
                </w:tcPr>
                <w:p w14:paraId="7A291FAD">
                  <w:pPr>
                    <w:jc w:val="center"/>
                    <w:rPr>
                      <w:rFonts w:ascii="Times New Roman" w:hAnsi="Times New Roman" w:cs="Times New Roman"/>
                      <w:sz w:val="21"/>
                      <w:szCs w:val="21"/>
                      <w:highlight w:val="none"/>
                    </w:rPr>
                  </w:pPr>
                </w:p>
              </w:tc>
              <w:tc>
                <w:tcPr>
                  <w:tcW w:w="1170" w:type="pct"/>
                  <w:tcBorders>
                    <w:tl2br w:val="nil"/>
                    <w:tr2bl w:val="nil"/>
                  </w:tcBorders>
                  <w:shd w:val="clear" w:color="auto" w:fill="auto"/>
                  <w:vAlign w:val="center"/>
                </w:tcPr>
                <w:p w14:paraId="5C9583FE">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黄码村六组</w:t>
                  </w:r>
                </w:p>
              </w:tc>
              <w:tc>
                <w:tcPr>
                  <w:tcW w:w="403" w:type="pct"/>
                  <w:tcBorders>
                    <w:tl2br w:val="nil"/>
                    <w:tr2bl w:val="nil"/>
                  </w:tcBorders>
                  <w:shd w:val="clear" w:color="auto" w:fill="auto"/>
                  <w:vAlign w:val="center"/>
                </w:tcPr>
                <w:p w14:paraId="61B98C64">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-70</w:t>
                  </w:r>
                </w:p>
              </w:tc>
              <w:tc>
                <w:tcPr>
                  <w:tcW w:w="385" w:type="pct"/>
                  <w:tcBorders>
                    <w:tl2br w:val="nil"/>
                    <w:tr2bl w:val="nil"/>
                  </w:tcBorders>
                  <w:shd w:val="clear" w:color="auto" w:fill="auto"/>
                  <w:vAlign w:val="center"/>
                </w:tcPr>
                <w:p w14:paraId="3D0F86AA">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-360</w:t>
                  </w:r>
                </w:p>
              </w:tc>
              <w:tc>
                <w:tcPr>
                  <w:tcW w:w="411" w:type="pct"/>
                  <w:tcBorders>
                    <w:tl2br w:val="nil"/>
                    <w:tr2bl w:val="nil"/>
                  </w:tcBorders>
                  <w:shd w:val="clear" w:color="auto" w:fill="auto"/>
                  <w:vAlign w:val="center"/>
                </w:tcPr>
                <w:p w14:paraId="5A6A6E4E">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SW</w:t>
                  </w:r>
                </w:p>
              </w:tc>
              <w:tc>
                <w:tcPr>
                  <w:tcW w:w="597" w:type="pct"/>
                  <w:tcBorders>
                    <w:tl2br w:val="nil"/>
                    <w:tr2bl w:val="nil"/>
                  </w:tcBorders>
                  <w:shd w:val="clear" w:color="auto" w:fill="auto"/>
                  <w:vAlign w:val="center"/>
                </w:tcPr>
                <w:p w14:paraId="5CCD5565">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366</w:t>
                  </w:r>
                </w:p>
              </w:tc>
              <w:tc>
                <w:tcPr>
                  <w:tcW w:w="384" w:type="pct"/>
                  <w:tcBorders>
                    <w:tl2br w:val="nil"/>
                    <w:tr2bl w:val="nil"/>
                  </w:tcBorders>
                  <w:shd w:val="clear" w:color="auto" w:fill="auto"/>
                  <w:vAlign w:val="center"/>
                </w:tcPr>
                <w:p w14:paraId="2CFD0629">
                  <w:pPr>
                    <w:jc w:val="center"/>
                    <w:rPr>
                      <w:rFonts w:hint="eastAsia" w:ascii="Times New Roman" w:hAnsi="Times New Roman" w:cs="Times New Roman"/>
                      <w:sz w:val="21"/>
                      <w:szCs w:val="21"/>
                      <w:highlight w:val="none"/>
                      <w:lang w:val="zh-CN" w:eastAsia="zh-CN"/>
                    </w:rPr>
                  </w:pPr>
                  <w:r>
                    <w:rPr>
                      <w:rFonts w:hint="eastAsia" w:ascii="Times New Roman" w:hAnsi="Times New Roman" w:cs="Times New Roman"/>
                      <w:sz w:val="21"/>
                      <w:szCs w:val="21"/>
                      <w:highlight w:val="none"/>
                      <w:lang w:val="zh-CN" w:eastAsia="zh-CN"/>
                    </w:rPr>
                    <w:t>居民</w:t>
                  </w:r>
                </w:p>
              </w:tc>
              <w:tc>
                <w:tcPr>
                  <w:tcW w:w="376" w:type="pct"/>
                  <w:tcBorders>
                    <w:tl2br w:val="nil"/>
                    <w:tr2bl w:val="nil"/>
                  </w:tcBorders>
                  <w:shd w:val="clear" w:color="auto" w:fill="auto"/>
                  <w:vAlign w:val="center"/>
                </w:tcPr>
                <w:p w14:paraId="603FE990">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40</w:t>
                  </w:r>
                </w:p>
              </w:tc>
              <w:tc>
                <w:tcPr>
                  <w:tcW w:w="995" w:type="pct"/>
                  <w:vMerge w:val="continue"/>
                  <w:tcBorders>
                    <w:tl2br w:val="nil"/>
                    <w:tr2bl w:val="nil"/>
                  </w:tcBorders>
                  <w:vAlign w:val="center"/>
                </w:tcPr>
                <w:p w14:paraId="291958E0">
                  <w:pPr>
                    <w:jc w:val="center"/>
                    <w:rPr>
                      <w:rFonts w:ascii="Times New Roman" w:hAnsi="Times New Roman" w:cs="Times New Roman"/>
                      <w:sz w:val="21"/>
                      <w:szCs w:val="21"/>
                      <w:highlight w:val="none"/>
                    </w:rPr>
                  </w:pPr>
                </w:p>
              </w:tc>
            </w:tr>
          </w:tbl>
          <w:p w14:paraId="5B290B39">
            <w:pPr>
              <w:adjustRightInd w:val="0"/>
              <w:snapToGrid w:val="0"/>
              <w:spacing w:line="480" w:lineRule="exact"/>
              <w:ind w:firstLine="482" w:firstLineChars="0"/>
              <w:rPr>
                <w:rFonts w:hint="default" w:ascii="Times New Roman" w:hAnsi="Times New Roman" w:eastAsia="宋体" w:cs="Times New Roman"/>
                <w:b/>
                <w:bCs/>
                <w:sz w:val="24"/>
                <w:szCs w:val="24"/>
              </w:rPr>
            </w:pPr>
            <w:r>
              <w:rPr>
                <w:rFonts w:hint="eastAsia" w:cs="Times New Roman"/>
                <w:b/>
                <w:bCs/>
                <w:sz w:val="24"/>
                <w:szCs w:val="24"/>
                <w:lang w:val="en-US" w:eastAsia="zh-CN"/>
              </w:rPr>
              <w:t>3.4.2</w:t>
            </w:r>
            <w:r>
              <w:rPr>
                <w:rFonts w:hint="default" w:ascii="Times New Roman" w:hAnsi="Times New Roman" w:eastAsia="宋体" w:cs="Times New Roman"/>
                <w:b/>
                <w:bCs/>
                <w:sz w:val="24"/>
                <w:szCs w:val="24"/>
              </w:rPr>
              <w:t>地表水环境保护目标</w:t>
            </w:r>
          </w:p>
          <w:p w14:paraId="333A9D4D">
            <w:pPr>
              <w:adjustRightInd w:val="0"/>
              <w:snapToGrid w:val="0"/>
              <w:spacing w:line="480" w:lineRule="exact"/>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根</w:t>
            </w:r>
            <w:r>
              <w:rPr>
                <w:rFonts w:hint="default" w:ascii="Times New Roman" w:hAnsi="Times New Roman" w:eastAsia="宋体" w:cs="Times New Roman"/>
                <w:color w:val="auto"/>
                <w:sz w:val="24"/>
                <w:szCs w:val="24"/>
              </w:rPr>
              <w:t>据调查</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评价范围内</w:t>
            </w:r>
            <w:r>
              <w:rPr>
                <w:rFonts w:hint="default" w:ascii="Times New Roman" w:hAnsi="Times New Roman" w:eastAsia="宋体" w:cs="Times New Roman"/>
                <w:color w:val="auto"/>
                <w:sz w:val="24"/>
                <w:szCs w:val="24"/>
              </w:rPr>
              <w:t>无饮用水水源保护区分布</w:t>
            </w:r>
            <w:r>
              <w:rPr>
                <w:rFonts w:hint="eastAsia" w:cs="Times New Roman"/>
                <w:color w:val="auto"/>
                <w:sz w:val="24"/>
                <w:szCs w:val="24"/>
                <w:lang w:eastAsia="zh-CN"/>
              </w:rPr>
              <w:t>，</w:t>
            </w:r>
            <w:r>
              <w:rPr>
                <w:rFonts w:hint="eastAsia" w:cs="Times New Roman"/>
                <w:color w:val="auto"/>
                <w:sz w:val="24"/>
                <w:szCs w:val="24"/>
                <w:lang w:val="en-US" w:eastAsia="zh-CN"/>
              </w:rPr>
              <w:t>故</w:t>
            </w:r>
            <w:r>
              <w:rPr>
                <w:rFonts w:hint="default" w:ascii="Times New Roman" w:hAnsi="Times New Roman" w:eastAsia="宋体" w:cs="Times New Roman"/>
                <w:color w:val="auto"/>
                <w:sz w:val="24"/>
                <w:szCs w:val="24"/>
              </w:rPr>
              <w:t>本次评价的地表水环境保护目标包括评价范围内的地表水体、地表水考核断面。</w:t>
            </w:r>
          </w:p>
          <w:p w14:paraId="70B14EF6">
            <w:pPr>
              <w:adjustRightInd w:val="0"/>
              <w:snapToGrid w:val="0"/>
              <w:spacing w:line="480" w:lineRule="exact"/>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（1）地表水水体</w:t>
            </w:r>
          </w:p>
          <w:p w14:paraId="3F7CDA91">
            <w:pPr>
              <w:adjustRightInd w:val="0"/>
              <w:snapToGrid w:val="0"/>
              <w:spacing w:line="480" w:lineRule="exact"/>
              <w:ind w:firstLine="48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本项目水环境保护目标为评价范围内的地表水体，主要为</w:t>
            </w:r>
            <w:r>
              <w:rPr>
                <w:rFonts w:hint="eastAsia" w:cs="Times New Roman"/>
                <w:color w:val="auto"/>
                <w:sz w:val="24"/>
                <w:szCs w:val="24"/>
                <w:highlight w:val="none"/>
                <w:lang w:val="en-US" w:eastAsia="zh-CN"/>
              </w:rPr>
              <w:t>京杭运河（里运河）和新柴米河</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其中京杭运河（里运河）被</w:t>
            </w:r>
            <w:r>
              <w:rPr>
                <w:rFonts w:hint="default" w:ascii="Times New Roman" w:hAnsi="Times New Roman" w:eastAsia="宋体" w:cs="Times New Roman"/>
                <w:color w:val="auto"/>
                <w:sz w:val="24"/>
                <w:szCs w:val="24"/>
                <w:highlight w:val="none"/>
              </w:rPr>
              <w:t>列入《江苏省地表水（环境）功能区划（2021-2030年）》，执行《地表水环境质量标准》（GB3838-2002）中的</w:t>
            </w:r>
            <w:r>
              <w:rPr>
                <w:rFonts w:hint="default" w:ascii="Times New Roman" w:hAnsi="Times New Roman" w:eastAsia="宋体" w:cs="Times New Roman"/>
                <w:color w:val="auto"/>
                <w:kern w:val="0"/>
                <w:sz w:val="24"/>
                <w:szCs w:val="24"/>
                <w:highlight w:val="none"/>
              </w:rPr>
              <w:t>Ⅲ</w:t>
            </w:r>
            <w:r>
              <w:rPr>
                <w:rFonts w:hint="default" w:ascii="Times New Roman" w:hAnsi="Times New Roman" w:eastAsia="宋体" w:cs="Times New Roman"/>
                <w:color w:val="auto"/>
                <w:sz w:val="24"/>
                <w:szCs w:val="24"/>
                <w:highlight w:val="none"/>
              </w:rPr>
              <w:t>类标准</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新柴米河</w:t>
            </w:r>
            <w:r>
              <w:rPr>
                <w:color w:val="auto"/>
                <w:sz w:val="24"/>
                <w:highlight w:val="none"/>
              </w:rPr>
              <w:t>无水环境功能</w:t>
            </w:r>
            <w:r>
              <w:rPr>
                <w:rFonts w:hint="eastAsia"/>
                <w:color w:val="auto"/>
                <w:sz w:val="24"/>
                <w:highlight w:val="none"/>
                <w:lang w:eastAsia="zh-CN"/>
              </w:rPr>
              <w:t>，</w:t>
            </w:r>
            <w:r>
              <w:rPr>
                <w:rFonts w:hint="eastAsia" w:cs="Times New Roman"/>
                <w:color w:val="auto"/>
                <w:sz w:val="24"/>
                <w:szCs w:val="24"/>
                <w:highlight w:val="none"/>
                <w:lang w:val="en-US" w:eastAsia="zh-CN"/>
              </w:rPr>
              <w:t>参照执行</w:t>
            </w:r>
            <w:r>
              <w:rPr>
                <w:rFonts w:hint="default" w:ascii="Times New Roman" w:hAnsi="Times New Roman" w:eastAsia="宋体" w:cs="Times New Roman"/>
                <w:color w:val="auto"/>
                <w:sz w:val="24"/>
                <w:szCs w:val="24"/>
                <w:highlight w:val="none"/>
              </w:rPr>
              <w:t>《地表水环境质量标准》（GB3838-2002）中的</w:t>
            </w:r>
            <w:r>
              <w:rPr>
                <w:rFonts w:hint="default" w:ascii="Times New Roman" w:hAnsi="Times New Roman" w:eastAsia="宋体" w:cs="Times New Roman"/>
                <w:color w:val="auto"/>
                <w:kern w:val="0"/>
                <w:sz w:val="24"/>
                <w:szCs w:val="24"/>
                <w:highlight w:val="none"/>
              </w:rPr>
              <w:t>Ⅲ</w:t>
            </w:r>
            <w:r>
              <w:rPr>
                <w:rFonts w:hint="default" w:ascii="Times New Roman" w:hAnsi="Times New Roman" w:eastAsia="宋体" w:cs="Times New Roman"/>
                <w:color w:val="auto"/>
                <w:sz w:val="24"/>
                <w:szCs w:val="24"/>
                <w:highlight w:val="none"/>
              </w:rPr>
              <w:t>类标准。具体见表3.</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14:paraId="646F4562">
            <w:pPr>
              <w:adjustRightInd w:val="0"/>
              <w:snapToGrid w:val="0"/>
              <w:spacing w:line="460" w:lineRule="exact"/>
              <w:ind w:firstLine="482" w:firstLineChars="20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  地表水环境保护目标一览表</w:t>
            </w:r>
          </w:p>
          <w:tbl>
            <w:tblPr>
              <w:tblStyle w:val="8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149"/>
              <w:gridCol w:w="1690"/>
              <w:gridCol w:w="1999"/>
              <w:gridCol w:w="2678"/>
            </w:tblGrid>
            <w:tr w14:paraId="06B20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tblHeader/>
                <w:jc w:val="center"/>
              </w:trPr>
              <w:tc>
                <w:tcPr>
                  <w:tcW w:w="393" w:type="pct"/>
                  <w:tcBorders>
                    <w:tl2br w:val="nil"/>
                    <w:tr2bl w:val="nil"/>
                  </w:tcBorders>
                  <w:noWrap w:val="0"/>
                  <w:vAlign w:val="center"/>
                </w:tcPr>
                <w:p w14:paraId="1F1BF356">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序号</w:t>
                  </w:r>
                </w:p>
              </w:tc>
              <w:tc>
                <w:tcPr>
                  <w:tcW w:w="1162" w:type="pct"/>
                  <w:tcBorders>
                    <w:tl2br w:val="nil"/>
                    <w:tr2bl w:val="nil"/>
                  </w:tcBorders>
                  <w:noWrap w:val="0"/>
                  <w:vAlign w:val="center"/>
                </w:tcPr>
                <w:p w14:paraId="4307350B">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河流名称</w:t>
                  </w:r>
                </w:p>
              </w:tc>
              <w:tc>
                <w:tcPr>
                  <w:tcW w:w="914" w:type="pct"/>
                  <w:tcBorders>
                    <w:tl2br w:val="nil"/>
                    <w:tr2bl w:val="nil"/>
                  </w:tcBorders>
                  <w:noWrap w:val="0"/>
                  <w:vAlign w:val="center"/>
                </w:tcPr>
                <w:p w14:paraId="05D64526">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水功能</w:t>
                  </w:r>
                </w:p>
              </w:tc>
              <w:tc>
                <w:tcPr>
                  <w:tcW w:w="1081" w:type="pct"/>
                  <w:tcBorders>
                    <w:tl2br w:val="nil"/>
                    <w:tr2bl w:val="nil"/>
                  </w:tcBorders>
                  <w:noWrap w:val="0"/>
                  <w:vAlign w:val="center"/>
                </w:tcPr>
                <w:p w14:paraId="3C787544">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2030年水质目标</w:t>
                  </w:r>
                </w:p>
              </w:tc>
              <w:tc>
                <w:tcPr>
                  <w:tcW w:w="1448" w:type="pct"/>
                  <w:tcBorders>
                    <w:tl2br w:val="nil"/>
                    <w:tr2bl w:val="nil"/>
                  </w:tcBorders>
                  <w:noWrap w:val="0"/>
                  <w:vAlign w:val="center"/>
                </w:tcPr>
                <w:p w14:paraId="5C86D40C">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与本项目位置关系</w:t>
                  </w:r>
                </w:p>
              </w:tc>
            </w:tr>
            <w:tr w14:paraId="7B70F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3" w:type="pct"/>
                  <w:tcBorders>
                    <w:tl2br w:val="nil"/>
                    <w:tr2bl w:val="nil"/>
                  </w:tcBorders>
                  <w:noWrap w:val="0"/>
                  <w:vAlign w:val="center"/>
                </w:tcPr>
                <w:p w14:paraId="2A90A3A6">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162" w:type="pct"/>
                  <w:tcBorders>
                    <w:tl2br w:val="nil"/>
                    <w:tr2bl w:val="nil"/>
                  </w:tcBorders>
                  <w:noWrap w:val="0"/>
                  <w:vAlign w:val="center"/>
                </w:tcPr>
                <w:p w14:paraId="4F4FE29F">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京杭运河（里运河）</w:t>
                  </w:r>
                </w:p>
              </w:tc>
              <w:tc>
                <w:tcPr>
                  <w:tcW w:w="914" w:type="pct"/>
                  <w:tcBorders>
                    <w:tl2br w:val="nil"/>
                    <w:tr2bl w:val="nil"/>
                  </w:tcBorders>
                  <w:noWrap w:val="0"/>
                  <w:vAlign w:val="center"/>
                </w:tcPr>
                <w:p w14:paraId="6FBB7010">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工业用水区</w:t>
                  </w:r>
                </w:p>
              </w:tc>
              <w:tc>
                <w:tcPr>
                  <w:tcW w:w="1081" w:type="pct"/>
                  <w:tcBorders>
                    <w:tl2br w:val="nil"/>
                    <w:tr2bl w:val="nil"/>
                  </w:tcBorders>
                  <w:noWrap w:val="0"/>
                  <w:vAlign w:val="center"/>
                </w:tcPr>
                <w:p w14:paraId="40416CF7">
                  <w:pPr>
                    <w:widowControl/>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Ⅲ</w:t>
                  </w:r>
                  <w:r>
                    <w:rPr>
                      <w:rFonts w:hint="eastAsia" w:ascii="Times New Roman" w:hAnsi="Times New Roman" w:eastAsia="宋体" w:cs="Times New Roman"/>
                      <w:color w:val="auto"/>
                      <w:kern w:val="0"/>
                      <w:sz w:val="21"/>
                      <w:szCs w:val="21"/>
                      <w:highlight w:val="none"/>
                      <w:lang w:val="en-US" w:eastAsia="zh-CN"/>
                    </w:rPr>
                    <w:t>类</w:t>
                  </w:r>
                </w:p>
              </w:tc>
              <w:tc>
                <w:tcPr>
                  <w:tcW w:w="1448" w:type="pct"/>
                  <w:tcBorders>
                    <w:tl2br w:val="nil"/>
                    <w:tr2bl w:val="nil"/>
                  </w:tcBorders>
                  <w:noWrap w:val="0"/>
                  <w:vAlign w:val="center"/>
                </w:tcPr>
                <w:p w14:paraId="2CDBE725">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本项目锚地建设和疏浚段均位于京杭运河上</w:t>
                  </w:r>
                </w:p>
              </w:tc>
            </w:tr>
            <w:tr w14:paraId="6FC9A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3" w:type="pct"/>
                  <w:tcBorders>
                    <w:tl2br w:val="nil"/>
                    <w:tr2bl w:val="nil"/>
                  </w:tcBorders>
                  <w:noWrap w:val="0"/>
                  <w:vAlign w:val="center"/>
                </w:tcPr>
                <w:p w14:paraId="5B10FF89">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1162" w:type="pct"/>
                  <w:tcBorders>
                    <w:tl2br w:val="nil"/>
                    <w:tr2bl w:val="nil"/>
                  </w:tcBorders>
                  <w:noWrap w:val="0"/>
                  <w:vAlign w:val="center"/>
                </w:tcPr>
                <w:p w14:paraId="236917F6">
                  <w:pPr>
                    <w:widowControl/>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新柴米河</w:t>
                  </w:r>
                </w:p>
              </w:tc>
              <w:tc>
                <w:tcPr>
                  <w:tcW w:w="914" w:type="pct"/>
                  <w:tcBorders>
                    <w:tl2br w:val="nil"/>
                    <w:tr2bl w:val="nil"/>
                  </w:tcBorders>
                  <w:noWrap w:val="0"/>
                  <w:vAlign w:val="center"/>
                </w:tcPr>
                <w:p w14:paraId="547C08C3">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081" w:type="pct"/>
                  <w:tcBorders>
                    <w:tl2br w:val="nil"/>
                    <w:tr2bl w:val="nil"/>
                  </w:tcBorders>
                  <w:noWrap w:val="0"/>
                  <w:vAlign w:val="center"/>
                </w:tcPr>
                <w:p w14:paraId="7FF99E12">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Ⅲ</w:t>
                  </w:r>
                  <w:r>
                    <w:rPr>
                      <w:rFonts w:hint="eastAsia" w:ascii="Times New Roman" w:hAnsi="Times New Roman" w:eastAsia="宋体" w:cs="Times New Roman"/>
                      <w:color w:val="auto"/>
                      <w:kern w:val="0"/>
                      <w:sz w:val="21"/>
                      <w:szCs w:val="21"/>
                      <w:highlight w:val="none"/>
                      <w:lang w:val="en-US" w:eastAsia="zh-CN"/>
                    </w:rPr>
                    <w:t>类</w:t>
                  </w:r>
                </w:p>
              </w:tc>
              <w:tc>
                <w:tcPr>
                  <w:tcW w:w="1448" w:type="pct"/>
                  <w:tcBorders>
                    <w:tl2br w:val="nil"/>
                    <w:tr2bl w:val="nil"/>
                  </w:tcBorders>
                  <w:noWrap w:val="0"/>
                  <w:vAlign w:val="center"/>
                </w:tcPr>
                <w:p w14:paraId="084F711B">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本项目</w:t>
                  </w:r>
                  <w:r>
                    <w:rPr>
                      <w:rFonts w:hint="eastAsia" w:cs="Times New Roman"/>
                      <w:color w:val="auto"/>
                      <w:kern w:val="0"/>
                      <w:sz w:val="21"/>
                      <w:szCs w:val="21"/>
                      <w:highlight w:val="none"/>
                      <w:lang w:val="en-US" w:eastAsia="zh-CN"/>
                    </w:rPr>
                    <w:t>淤泥干化场余水经沟渠流入新柴米河</w:t>
                  </w:r>
                </w:p>
              </w:tc>
            </w:tr>
          </w:tbl>
          <w:p w14:paraId="77952C97">
            <w:pPr>
              <w:widowControl/>
              <w:adjustRightInd w:val="0"/>
              <w:snapToGrid w:val="0"/>
              <w:ind w:firstLine="420" w:firstLineChars="20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注：里运河为京杭运河中段</w:t>
            </w:r>
          </w:p>
          <w:p w14:paraId="48274F7B">
            <w:pPr>
              <w:adjustRightInd w:val="0"/>
              <w:snapToGrid w:val="0"/>
              <w:spacing w:line="480" w:lineRule="exact"/>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（2）地表水国省控监测断面</w:t>
            </w:r>
          </w:p>
          <w:p w14:paraId="0C37B623">
            <w:pPr>
              <w:adjustRightInd w:val="0"/>
              <w:snapToGrid w:val="0"/>
              <w:spacing w:line="480" w:lineRule="exact"/>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根据调查，</w:t>
            </w:r>
            <w:r>
              <w:rPr>
                <w:rFonts w:hint="eastAsia" w:cs="Times New Roman"/>
                <w:sz w:val="24"/>
                <w:szCs w:val="24"/>
                <w:lang w:val="en-US" w:eastAsia="zh-CN"/>
              </w:rPr>
              <w:t>本项目</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rPr>
              <w:t>范围内分布</w:t>
            </w:r>
            <w:r>
              <w:rPr>
                <w:rFonts w:hint="eastAsia" w:cs="Times New Roman"/>
                <w:sz w:val="24"/>
                <w:szCs w:val="24"/>
                <w:lang w:val="en-US" w:eastAsia="zh-CN"/>
              </w:rPr>
              <w:t>3</w:t>
            </w:r>
            <w:r>
              <w:rPr>
                <w:rFonts w:hint="default" w:ascii="Times New Roman" w:hAnsi="Times New Roman" w:eastAsia="宋体" w:cs="Times New Roman"/>
                <w:sz w:val="24"/>
                <w:szCs w:val="24"/>
              </w:rPr>
              <w:t>处省考断面，分别为</w:t>
            </w:r>
            <w:r>
              <w:rPr>
                <w:rFonts w:hint="eastAsia" w:ascii="Times New Roman" w:hAnsi="Times New Roman" w:eastAsia="宋体" w:cs="Times New Roman"/>
                <w:sz w:val="24"/>
                <w:szCs w:val="24"/>
                <w:lang w:val="en-US" w:eastAsia="zh-CN"/>
              </w:rPr>
              <w:t>大运河桥、板闸、黄码大桥</w:t>
            </w:r>
            <w:r>
              <w:rPr>
                <w:rFonts w:hint="eastAsia" w:cs="Times New Roman"/>
                <w:sz w:val="24"/>
                <w:szCs w:val="24"/>
                <w:lang w:val="en-US" w:eastAsia="zh-CN"/>
              </w:rPr>
              <w:t>省考断面</w:t>
            </w:r>
            <w:r>
              <w:rPr>
                <w:rFonts w:hint="default" w:ascii="Times New Roman" w:hAnsi="Times New Roman" w:eastAsia="宋体" w:cs="Times New Roman"/>
                <w:sz w:val="24"/>
                <w:szCs w:val="24"/>
              </w:rPr>
              <w:t>，具体如下：</w:t>
            </w:r>
          </w:p>
          <w:p w14:paraId="3E83CBAB">
            <w:pPr>
              <w:adjustRightInd w:val="0"/>
              <w:snapToGrid w:val="0"/>
              <w:spacing w:line="460" w:lineRule="exact"/>
              <w:ind w:firstLine="482" w:firstLineChars="20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cs="Times New Roman"/>
                <w:b/>
                <w:bCs/>
                <w:sz w:val="24"/>
                <w:szCs w:val="24"/>
                <w:lang w:val="en-US" w:eastAsia="zh-CN"/>
              </w:rPr>
              <w:t>3</w:t>
            </w:r>
            <w:r>
              <w:rPr>
                <w:rFonts w:hint="default" w:ascii="Times New Roman" w:hAnsi="Times New Roman" w:eastAsia="宋体" w:cs="Times New Roman"/>
                <w:b/>
                <w:bCs/>
                <w:sz w:val="24"/>
                <w:szCs w:val="24"/>
                <w:lang w:val="en-US" w:eastAsia="zh-CN"/>
              </w:rPr>
              <w:t>.</w:t>
            </w: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w:t>
            </w:r>
            <w:r>
              <w:rPr>
                <w:rFonts w:hint="eastAsia" w:cs="Times New Roman"/>
                <w:b/>
                <w:bCs/>
                <w:sz w:val="24"/>
                <w:szCs w:val="24"/>
                <w:lang w:val="en-US" w:eastAsia="zh-CN"/>
              </w:rPr>
              <w:t>3</w:t>
            </w:r>
            <w:r>
              <w:rPr>
                <w:rFonts w:hint="default" w:ascii="Times New Roman" w:hAnsi="Times New Roman" w:eastAsia="宋体" w:cs="Times New Roman"/>
                <w:b/>
                <w:bCs/>
                <w:sz w:val="24"/>
                <w:szCs w:val="24"/>
                <w:lang w:val="en-US" w:eastAsia="zh-CN"/>
              </w:rPr>
              <w:t xml:space="preserve">  地表水环境保护目标一览表（</w:t>
            </w:r>
            <w:r>
              <w:rPr>
                <w:rFonts w:hint="eastAsia" w:cs="Times New Roman"/>
                <w:b/>
                <w:bCs/>
                <w:sz w:val="24"/>
                <w:szCs w:val="24"/>
                <w:lang w:val="en-US" w:eastAsia="zh-CN"/>
              </w:rPr>
              <w:t>省</w:t>
            </w:r>
            <w:r>
              <w:rPr>
                <w:rFonts w:hint="default" w:ascii="Times New Roman" w:hAnsi="Times New Roman" w:eastAsia="宋体" w:cs="Times New Roman"/>
                <w:b/>
                <w:bCs/>
                <w:sz w:val="24"/>
                <w:szCs w:val="24"/>
                <w:lang w:val="en-US" w:eastAsia="zh-CN"/>
              </w:rPr>
              <w:t>考断面）</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1634"/>
              <w:gridCol w:w="1752"/>
              <w:gridCol w:w="986"/>
              <w:gridCol w:w="3922"/>
            </w:tblGrid>
            <w:tr w14:paraId="41764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tcBorders>
                    <w:tl2br w:val="nil"/>
                    <w:tr2bl w:val="nil"/>
                  </w:tcBorders>
                  <w:noWrap w:val="0"/>
                  <w:vAlign w:val="center"/>
                </w:tcPr>
                <w:p w14:paraId="1CDA5B12">
                  <w:pPr>
                    <w:jc w:val="center"/>
                    <w:rPr>
                      <w:b/>
                      <w:bCs/>
                      <w:sz w:val="21"/>
                      <w:szCs w:val="21"/>
                    </w:rPr>
                  </w:pPr>
                  <w:r>
                    <w:rPr>
                      <w:b/>
                      <w:bCs/>
                      <w:sz w:val="21"/>
                      <w:szCs w:val="21"/>
                    </w:rPr>
                    <w:t>序号</w:t>
                  </w:r>
                </w:p>
              </w:tc>
              <w:tc>
                <w:tcPr>
                  <w:tcW w:w="883" w:type="pct"/>
                  <w:tcBorders>
                    <w:tl2br w:val="nil"/>
                    <w:tr2bl w:val="nil"/>
                  </w:tcBorders>
                  <w:noWrap w:val="0"/>
                  <w:vAlign w:val="center"/>
                </w:tcPr>
                <w:p w14:paraId="2276B113">
                  <w:pPr>
                    <w:jc w:val="center"/>
                    <w:rPr>
                      <w:b/>
                      <w:bCs/>
                      <w:sz w:val="21"/>
                      <w:szCs w:val="21"/>
                    </w:rPr>
                  </w:pPr>
                  <w:r>
                    <w:rPr>
                      <w:b/>
                      <w:bCs/>
                      <w:sz w:val="21"/>
                      <w:szCs w:val="21"/>
                    </w:rPr>
                    <w:t>考核断面名称</w:t>
                  </w:r>
                </w:p>
              </w:tc>
              <w:tc>
                <w:tcPr>
                  <w:tcW w:w="947" w:type="pct"/>
                  <w:tcBorders>
                    <w:tl2br w:val="nil"/>
                    <w:tr2bl w:val="nil"/>
                  </w:tcBorders>
                  <w:noWrap w:val="0"/>
                  <w:vAlign w:val="center"/>
                </w:tcPr>
                <w:p w14:paraId="37DFE0F7">
                  <w:pPr>
                    <w:jc w:val="center"/>
                    <w:rPr>
                      <w:b/>
                      <w:bCs/>
                      <w:sz w:val="21"/>
                      <w:szCs w:val="21"/>
                    </w:rPr>
                  </w:pPr>
                  <w:r>
                    <w:rPr>
                      <w:b/>
                      <w:bCs/>
                      <w:sz w:val="21"/>
                      <w:szCs w:val="21"/>
                    </w:rPr>
                    <w:t>所在河流</w:t>
                  </w:r>
                </w:p>
              </w:tc>
              <w:tc>
                <w:tcPr>
                  <w:tcW w:w="533" w:type="pct"/>
                  <w:tcBorders>
                    <w:tl2br w:val="nil"/>
                    <w:tr2bl w:val="nil"/>
                  </w:tcBorders>
                  <w:noWrap w:val="0"/>
                  <w:vAlign w:val="top"/>
                </w:tcPr>
                <w:p w14:paraId="4AEB10AF">
                  <w:pPr>
                    <w:jc w:val="center"/>
                    <w:rPr>
                      <w:b/>
                      <w:bCs/>
                      <w:sz w:val="21"/>
                      <w:szCs w:val="21"/>
                    </w:rPr>
                  </w:pPr>
                  <w:r>
                    <w:rPr>
                      <w:b/>
                      <w:bCs/>
                      <w:sz w:val="21"/>
                      <w:szCs w:val="21"/>
                    </w:rPr>
                    <w:t>级别</w:t>
                  </w:r>
                </w:p>
              </w:tc>
              <w:tc>
                <w:tcPr>
                  <w:tcW w:w="2120" w:type="pct"/>
                  <w:tcBorders>
                    <w:tl2br w:val="nil"/>
                    <w:tr2bl w:val="nil"/>
                  </w:tcBorders>
                  <w:noWrap w:val="0"/>
                  <w:vAlign w:val="top"/>
                </w:tcPr>
                <w:p w14:paraId="0B90BC90">
                  <w:pPr>
                    <w:jc w:val="center"/>
                    <w:rPr>
                      <w:b/>
                      <w:bCs/>
                      <w:sz w:val="21"/>
                      <w:szCs w:val="21"/>
                    </w:rPr>
                  </w:pPr>
                  <w:r>
                    <w:rPr>
                      <w:b/>
                      <w:bCs/>
                      <w:sz w:val="21"/>
                      <w:szCs w:val="21"/>
                    </w:rPr>
                    <w:t>与本项目位置关系</w:t>
                  </w:r>
                </w:p>
              </w:tc>
            </w:tr>
            <w:tr w14:paraId="3D9E1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6" w:type="pct"/>
                  <w:tcBorders>
                    <w:tl2br w:val="nil"/>
                    <w:tr2bl w:val="nil"/>
                  </w:tcBorders>
                  <w:noWrap w:val="0"/>
                  <w:vAlign w:val="center"/>
                </w:tcPr>
                <w:p w14:paraId="047141BF">
                  <w:pPr>
                    <w:jc w:val="center"/>
                    <w:rPr>
                      <w:rFonts w:hint="eastAsia" w:eastAsia="宋体"/>
                      <w:sz w:val="21"/>
                      <w:szCs w:val="21"/>
                      <w:lang w:eastAsia="zh-CN"/>
                    </w:rPr>
                  </w:pPr>
                  <w:r>
                    <w:rPr>
                      <w:rFonts w:hint="eastAsia"/>
                      <w:sz w:val="21"/>
                      <w:szCs w:val="21"/>
                      <w:lang w:val="en-US" w:eastAsia="zh-CN"/>
                    </w:rPr>
                    <w:t>1</w:t>
                  </w:r>
                </w:p>
              </w:tc>
              <w:tc>
                <w:tcPr>
                  <w:tcW w:w="883" w:type="pct"/>
                  <w:tcBorders>
                    <w:tl2br w:val="nil"/>
                    <w:tr2bl w:val="nil"/>
                  </w:tcBorders>
                  <w:noWrap w:val="0"/>
                  <w:vAlign w:val="center"/>
                </w:tcPr>
                <w:p w14:paraId="498F8205">
                  <w:pPr>
                    <w:jc w:val="center"/>
                    <w:rPr>
                      <w:sz w:val="21"/>
                      <w:szCs w:val="21"/>
                    </w:rPr>
                  </w:pPr>
                  <w:r>
                    <w:rPr>
                      <w:rFonts w:hint="eastAsia" w:ascii="Times New Roman" w:hAnsi="Times New Roman" w:eastAsia="宋体" w:cs="Times New Roman"/>
                      <w:sz w:val="21"/>
                      <w:szCs w:val="21"/>
                      <w:lang w:val="en-US" w:eastAsia="zh-CN"/>
                    </w:rPr>
                    <w:t>大运河桥</w:t>
                  </w:r>
                </w:p>
              </w:tc>
              <w:tc>
                <w:tcPr>
                  <w:tcW w:w="947" w:type="pct"/>
                  <w:tcBorders>
                    <w:tl2br w:val="nil"/>
                    <w:tr2bl w:val="nil"/>
                  </w:tcBorders>
                  <w:noWrap w:val="0"/>
                  <w:vAlign w:val="center"/>
                </w:tcPr>
                <w:p w14:paraId="243BF9B7">
                  <w:pPr>
                    <w:jc w:val="center"/>
                    <w:rPr>
                      <w:sz w:val="21"/>
                      <w:szCs w:val="21"/>
                    </w:rPr>
                  </w:pPr>
                  <w:r>
                    <w:rPr>
                      <w:rFonts w:hint="eastAsia" w:cs="Times New Roman"/>
                      <w:sz w:val="21"/>
                      <w:szCs w:val="21"/>
                      <w:lang w:val="en-US" w:eastAsia="zh-CN"/>
                    </w:rPr>
                    <w:t>京杭运河</w:t>
                  </w:r>
                </w:p>
              </w:tc>
              <w:tc>
                <w:tcPr>
                  <w:tcW w:w="533" w:type="pct"/>
                  <w:tcBorders>
                    <w:tl2br w:val="nil"/>
                    <w:tr2bl w:val="nil"/>
                  </w:tcBorders>
                  <w:noWrap w:val="0"/>
                  <w:vAlign w:val="center"/>
                </w:tcPr>
                <w:p w14:paraId="43CEE8A6">
                  <w:pPr>
                    <w:jc w:val="center"/>
                    <w:rPr>
                      <w:sz w:val="21"/>
                      <w:szCs w:val="21"/>
                    </w:rPr>
                  </w:pPr>
                  <w:r>
                    <w:rPr>
                      <w:sz w:val="21"/>
                      <w:szCs w:val="21"/>
                    </w:rPr>
                    <w:t>省考</w:t>
                  </w:r>
                </w:p>
              </w:tc>
              <w:tc>
                <w:tcPr>
                  <w:tcW w:w="2120" w:type="pct"/>
                  <w:tcBorders>
                    <w:tl2br w:val="nil"/>
                    <w:tr2bl w:val="nil"/>
                  </w:tcBorders>
                  <w:noWrap w:val="0"/>
                  <w:vAlign w:val="center"/>
                </w:tcPr>
                <w:p w14:paraId="57478C25">
                  <w:pPr>
                    <w:jc w:val="center"/>
                    <w:rPr>
                      <w:rFonts w:hint="eastAsia" w:cs="Times New Roman"/>
                      <w:sz w:val="21"/>
                      <w:szCs w:val="21"/>
                      <w:highlight w:val="none"/>
                      <w:lang w:val="en-US" w:eastAsia="zh-CN"/>
                    </w:rPr>
                  </w:pPr>
                  <w:r>
                    <w:rPr>
                      <w:rFonts w:hint="eastAsia" w:cs="Times New Roman"/>
                      <w:sz w:val="21"/>
                      <w:szCs w:val="21"/>
                      <w:highlight w:val="none"/>
                      <w:lang w:val="en-US" w:eastAsia="zh-CN"/>
                    </w:rPr>
                    <w:t>本项目南港岸线疏浚段距离下游大运河桥省考断面200m</w:t>
                  </w:r>
                </w:p>
              </w:tc>
            </w:tr>
            <w:tr w14:paraId="42CCB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5" w:type="dxa"/>
                  <w:tcBorders>
                    <w:tl2br w:val="nil"/>
                    <w:tr2bl w:val="nil"/>
                  </w:tcBorders>
                  <w:noWrap w:val="0"/>
                  <w:vAlign w:val="center"/>
                </w:tcPr>
                <w:p w14:paraId="64BDD9E2">
                  <w:pPr>
                    <w:jc w:val="center"/>
                    <w:rPr>
                      <w:rFonts w:hint="eastAsia" w:eastAsia="宋体"/>
                      <w:sz w:val="21"/>
                      <w:szCs w:val="21"/>
                      <w:highlight w:val="none"/>
                      <w:lang w:eastAsia="zh-CN"/>
                    </w:rPr>
                  </w:pPr>
                  <w:r>
                    <w:rPr>
                      <w:rFonts w:hint="eastAsia"/>
                      <w:sz w:val="21"/>
                      <w:szCs w:val="21"/>
                      <w:highlight w:val="none"/>
                      <w:lang w:val="en-US" w:eastAsia="zh-CN"/>
                    </w:rPr>
                    <w:t>2</w:t>
                  </w:r>
                </w:p>
              </w:tc>
              <w:tc>
                <w:tcPr>
                  <w:tcW w:w="1634" w:type="dxa"/>
                  <w:tcBorders>
                    <w:tl2br w:val="nil"/>
                    <w:tr2bl w:val="nil"/>
                  </w:tcBorders>
                  <w:noWrap w:val="0"/>
                  <w:vAlign w:val="center"/>
                </w:tcPr>
                <w:p w14:paraId="6287803E">
                  <w:pPr>
                    <w:jc w:val="center"/>
                    <w:rPr>
                      <w:sz w:val="21"/>
                      <w:szCs w:val="21"/>
                      <w:highlight w:val="none"/>
                    </w:rPr>
                  </w:pPr>
                  <w:r>
                    <w:rPr>
                      <w:rFonts w:hint="eastAsia" w:ascii="Times New Roman" w:hAnsi="Times New Roman" w:eastAsia="宋体" w:cs="Times New Roman"/>
                      <w:sz w:val="21"/>
                      <w:szCs w:val="21"/>
                      <w:highlight w:val="none"/>
                      <w:lang w:val="en-US" w:eastAsia="zh-CN"/>
                    </w:rPr>
                    <w:t>板闸</w:t>
                  </w:r>
                </w:p>
              </w:tc>
              <w:tc>
                <w:tcPr>
                  <w:tcW w:w="1752" w:type="dxa"/>
                  <w:tcBorders>
                    <w:tl2br w:val="nil"/>
                    <w:tr2bl w:val="nil"/>
                  </w:tcBorders>
                  <w:noWrap w:val="0"/>
                  <w:vAlign w:val="center"/>
                </w:tcPr>
                <w:p w14:paraId="6A5B7133">
                  <w:pPr>
                    <w:jc w:val="center"/>
                    <w:rPr>
                      <w:sz w:val="21"/>
                      <w:szCs w:val="21"/>
                      <w:highlight w:val="none"/>
                    </w:rPr>
                  </w:pPr>
                  <w:r>
                    <w:rPr>
                      <w:rFonts w:hint="eastAsia" w:ascii="Times New Roman" w:hAnsi="Times New Roman" w:eastAsia="宋体" w:cs="Times New Roman"/>
                      <w:sz w:val="21"/>
                      <w:szCs w:val="21"/>
                      <w:highlight w:val="none"/>
                      <w:lang w:val="en-US" w:eastAsia="zh-CN"/>
                    </w:rPr>
                    <w:t>京杭运河</w:t>
                  </w:r>
                </w:p>
              </w:tc>
              <w:tc>
                <w:tcPr>
                  <w:tcW w:w="986" w:type="dxa"/>
                  <w:tcBorders>
                    <w:tl2br w:val="nil"/>
                    <w:tr2bl w:val="nil"/>
                  </w:tcBorders>
                  <w:noWrap w:val="0"/>
                  <w:vAlign w:val="center"/>
                </w:tcPr>
                <w:p w14:paraId="45CB57E3">
                  <w:pPr>
                    <w:jc w:val="center"/>
                    <w:rPr>
                      <w:sz w:val="21"/>
                      <w:szCs w:val="21"/>
                      <w:highlight w:val="none"/>
                    </w:rPr>
                  </w:pPr>
                  <w:r>
                    <w:rPr>
                      <w:rFonts w:hint="eastAsia" w:ascii="Times New Roman" w:hAnsi="Times New Roman" w:eastAsia="宋体" w:cs="Times New Roman"/>
                      <w:sz w:val="21"/>
                      <w:szCs w:val="21"/>
                      <w:highlight w:val="none"/>
                      <w:lang w:val="en-US" w:eastAsia="zh-CN"/>
                    </w:rPr>
                    <w:t>省考</w:t>
                  </w:r>
                </w:p>
              </w:tc>
              <w:tc>
                <w:tcPr>
                  <w:tcW w:w="3922" w:type="dxa"/>
                  <w:tcBorders>
                    <w:tl2br w:val="nil"/>
                    <w:tr2bl w:val="nil"/>
                  </w:tcBorders>
                  <w:noWrap w:val="0"/>
                  <w:vAlign w:val="center"/>
                </w:tcPr>
                <w:p w14:paraId="28D5C5E9">
                  <w:pPr>
                    <w:jc w:val="center"/>
                    <w:rPr>
                      <w:rFonts w:hint="eastAsia"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本项目南港岸线疏浚段距离下游板闸省考断面6</w:t>
                  </w:r>
                  <w:r>
                    <w:rPr>
                      <w:rFonts w:hint="eastAsia" w:cs="Times New Roman"/>
                      <w:sz w:val="21"/>
                      <w:szCs w:val="21"/>
                      <w:highlight w:val="none"/>
                      <w:lang w:val="en-US" w:eastAsia="zh-CN"/>
                    </w:rPr>
                    <w:t>000</w:t>
                  </w:r>
                  <w:r>
                    <w:rPr>
                      <w:rFonts w:hint="eastAsia" w:ascii="Times New Roman" w:hAnsi="Times New Roman" w:eastAsia="宋体" w:cs="Times New Roman"/>
                      <w:sz w:val="21"/>
                      <w:szCs w:val="21"/>
                      <w:highlight w:val="none"/>
                      <w:lang w:val="en-US" w:eastAsia="zh-CN"/>
                    </w:rPr>
                    <w:t>m</w:t>
                  </w:r>
                </w:p>
              </w:tc>
            </w:tr>
            <w:tr w14:paraId="36BC5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5" w:type="dxa"/>
                  <w:tcBorders>
                    <w:tl2br w:val="nil"/>
                    <w:tr2bl w:val="nil"/>
                  </w:tcBorders>
                  <w:noWrap w:val="0"/>
                  <w:vAlign w:val="center"/>
                </w:tcPr>
                <w:p w14:paraId="6F6437DF">
                  <w:pPr>
                    <w:jc w:val="center"/>
                    <w:rPr>
                      <w:rFonts w:hint="eastAsia"/>
                      <w:sz w:val="21"/>
                      <w:szCs w:val="21"/>
                      <w:highlight w:val="none"/>
                      <w:lang w:val="en-US" w:eastAsia="zh-CN"/>
                    </w:rPr>
                  </w:pPr>
                  <w:r>
                    <w:rPr>
                      <w:rFonts w:hint="eastAsia"/>
                      <w:sz w:val="21"/>
                      <w:szCs w:val="21"/>
                      <w:highlight w:val="none"/>
                      <w:lang w:val="en-US" w:eastAsia="zh-CN"/>
                    </w:rPr>
                    <w:t>3</w:t>
                  </w:r>
                </w:p>
              </w:tc>
              <w:tc>
                <w:tcPr>
                  <w:tcW w:w="1634" w:type="dxa"/>
                  <w:tcBorders>
                    <w:tl2br w:val="nil"/>
                    <w:tr2bl w:val="nil"/>
                  </w:tcBorders>
                  <w:noWrap w:val="0"/>
                  <w:vAlign w:val="center"/>
                </w:tcPr>
                <w:p w14:paraId="44ED1B25">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黄码大桥</w:t>
                  </w:r>
                </w:p>
              </w:tc>
              <w:tc>
                <w:tcPr>
                  <w:tcW w:w="1752" w:type="dxa"/>
                  <w:tcBorders>
                    <w:tl2br w:val="nil"/>
                    <w:tr2bl w:val="nil"/>
                  </w:tcBorders>
                  <w:noWrap w:val="0"/>
                  <w:vAlign w:val="center"/>
                </w:tcPr>
                <w:p w14:paraId="017EC2A4">
                  <w:pPr>
                    <w:jc w:val="center"/>
                    <w:rPr>
                      <w:rFonts w:hint="eastAsia" w:cs="Times New Roman"/>
                      <w:sz w:val="21"/>
                      <w:szCs w:val="21"/>
                      <w:highlight w:val="none"/>
                      <w:lang w:val="en-US" w:eastAsia="zh-CN"/>
                    </w:rPr>
                  </w:pPr>
                  <w:r>
                    <w:rPr>
                      <w:rFonts w:hint="eastAsia" w:cs="Times New Roman"/>
                      <w:sz w:val="21"/>
                      <w:szCs w:val="21"/>
                      <w:highlight w:val="none"/>
                      <w:lang w:val="en-US" w:eastAsia="zh-CN"/>
                    </w:rPr>
                    <w:t>京杭运河</w:t>
                  </w:r>
                </w:p>
              </w:tc>
              <w:tc>
                <w:tcPr>
                  <w:tcW w:w="986" w:type="dxa"/>
                  <w:tcBorders>
                    <w:tl2br w:val="nil"/>
                    <w:tr2bl w:val="nil"/>
                  </w:tcBorders>
                  <w:noWrap w:val="0"/>
                  <w:vAlign w:val="center"/>
                </w:tcPr>
                <w:p w14:paraId="2324A22C">
                  <w:pPr>
                    <w:jc w:val="center"/>
                    <w:rPr>
                      <w:sz w:val="21"/>
                      <w:szCs w:val="21"/>
                      <w:highlight w:val="none"/>
                    </w:rPr>
                  </w:pPr>
                  <w:r>
                    <w:rPr>
                      <w:sz w:val="21"/>
                      <w:szCs w:val="21"/>
                      <w:highlight w:val="none"/>
                    </w:rPr>
                    <w:t>省考</w:t>
                  </w:r>
                </w:p>
              </w:tc>
              <w:tc>
                <w:tcPr>
                  <w:tcW w:w="3922" w:type="dxa"/>
                  <w:tcBorders>
                    <w:tl2br w:val="nil"/>
                    <w:tr2bl w:val="nil"/>
                  </w:tcBorders>
                  <w:noWrap w:val="0"/>
                  <w:vAlign w:val="center"/>
                </w:tcPr>
                <w:p w14:paraId="3D089B73">
                  <w:pPr>
                    <w:jc w:val="center"/>
                    <w:rPr>
                      <w:rFonts w:hint="eastAsia" w:cs="Times New Roman"/>
                      <w:sz w:val="21"/>
                      <w:szCs w:val="21"/>
                      <w:highlight w:val="none"/>
                      <w:lang w:val="en-US" w:eastAsia="zh-CN"/>
                    </w:rPr>
                  </w:pPr>
                  <w:r>
                    <w:rPr>
                      <w:rFonts w:hint="eastAsia" w:cs="Times New Roman"/>
                      <w:sz w:val="21"/>
                      <w:szCs w:val="21"/>
                      <w:highlight w:val="none"/>
                      <w:lang w:val="en-US" w:eastAsia="zh-CN"/>
                    </w:rPr>
                    <w:t>本项目新建锚地距离上游黄码大桥省考断面360m</w:t>
                  </w:r>
                </w:p>
              </w:tc>
            </w:tr>
          </w:tbl>
          <w:p w14:paraId="162B5374">
            <w:pPr>
              <w:adjustRightInd w:val="0"/>
              <w:snapToGrid w:val="0"/>
              <w:spacing w:line="480" w:lineRule="exact"/>
              <w:ind w:firstLine="482" w:firstLineChars="200"/>
              <w:rPr>
                <w:rFonts w:hint="default" w:ascii="Times New Roman" w:hAnsi="Times New Roman" w:eastAsia="宋体" w:cs="Times New Roman"/>
                <w:b/>
                <w:bCs/>
                <w:sz w:val="24"/>
                <w:szCs w:val="24"/>
              </w:rPr>
            </w:pPr>
            <w:r>
              <w:rPr>
                <w:rFonts w:hint="eastAsia" w:cs="Times New Roman"/>
                <w:b/>
                <w:bCs/>
                <w:sz w:val="24"/>
                <w:szCs w:val="24"/>
                <w:lang w:val="en-US" w:eastAsia="zh-CN"/>
              </w:rPr>
              <w:t>3.4.3</w:t>
            </w:r>
            <w:r>
              <w:rPr>
                <w:rFonts w:hint="default" w:ascii="Times New Roman" w:hAnsi="Times New Roman" w:eastAsia="宋体" w:cs="Times New Roman"/>
                <w:b/>
                <w:bCs/>
                <w:sz w:val="24"/>
                <w:szCs w:val="24"/>
              </w:rPr>
              <w:t>声环境保护目标</w:t>
            </w:r>
          </w:p>
          <w:p w14:paraId="43DF9D3D">
            <w:pPr>
              <w:adjustRightInd w:val="0"/>
              <w:snapToGrid w:val="0"/>
              <w:spacing w:line="480" w:lineRule="exact"/>
              <w:ind w:firstLine="482"/>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w:t>
            </w:r>
            <w:r>
              <w:rPr>
                <w:rFonts w:hint="eastAsia" w:cs="Times New Roman"/>
                <w:sz w:val="24"/>
                <w:szCs w:val="24"/>
                <w:highlight w:val="none"/>
                <w:lang w:val="en-US" w:eastAsia="zh-CN"/>
              </w:rPr>
              <w:t>周边和淤泥干化场5</w:t>
            </w:r>
            <w:r>
              <w:rPr>
                <w:rFonts w:hint="default" w:ascii="Times New Roman" w:hAnsi="Times New Roman" w:eastAsia="宋体" w:cs="Times New Roman"/>
                <w:sz w:val="24"/>
                <w:szCs w:val="24"/>
                <w:highlight w:val="none"/>
              </w:rPr>
              <w:t>0m范围内</w:t>
            </w:r>
            <w:r>
              <w:rPr>
                <w:rFonts w:hint="eastAsia" w:cs="Times New Roman"/>
                <w:sz w:val="24"/>
                <w:szCs w:val="24"/>
                <w:highlight w:val="none"/>
                <w:lang w:val="en-US" w:eastAsia="zh-CN"/>
              </w:rPr>
              <w:t>不存在</w:t>
            </w:r>
            <w:r>
              <w:rPr>
                <w:rFonts w:hint="default" w:ascii="Times New Roman" w:hAnsi="Times New Roman" w:eastAsia="宋体" w:cs="Times New Roman"/>
                <w:sz w:val="24"/>
                <w:szCs w:val="24"/>
                <w:highlight w:val="none"/>
              </w:rPr>
              <w:t>声环境敏感目标。</w:t>
            </w:r>
          </w:p>
          <w:p w14:paraId="64F60D3F">
            <w:pPr>
              <w:adjustRightInd w:val="0"/>
              <w:snapToGrid w:val="0"/>
              <w:spacing w:line="480" w:lineRule="exact"/>
              <w:ind w:firstLine="482" w:firstLineChars="200"/>
              <w:rPr>
                <w:rFonts w:hint="default" w:ascii="Times New Roman" w:hAnsi="Times New Roman" w:eastAsia="宋体" w:cs="Times New Roman"/>
                <w:b/>
                <w:bCs/>
                <w:sz w:val="24"/>
                <w:szCs w:val="24"/>
              </w:rPr>
            </w:pPr>
            <w:r>
              <w:rPr>
                <w:rFonts w:hint="eastAsia" w:cs="Times New Roman"/>
                <w:b/>
                <w:bCs/>
                <w:sz w:val="24"/>
                <w:szCs w:val="24"/>
                <w:lang w:val="en-US" w:eastAsia="zh-CN"/>
              </w:rPr>
              <w:t>3.4.4</w:t>
            </w:r>
            <w:r>
              <w:rPr>
                <w:rFonts w:hint="default" w:ascii="Times New Roman" w:hAnsi="Times New Roman" w:eastAsia="宋体" w:cs="Times New Roman"/>
                <w:b/>
                <w:bCs/>
                <w:sz w:val="24"/>
                <w:szCs w:val="24"/>
              </w:rPr>
              <w:t>生态环境保护目标</w:t>
            </w:r>
          </w:p>
          <w:p w14:paraId="2518B146">
            <w:pPr>
              <w:widowControl/>
              <w:spacing w:line="48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（1）生态保护红线</w:t>
            </w:r>
          </w:p>
          <w:p w14:paraId="259B3582">
            <w:pPr>
              <w:widowControl/>
              <w:spacing w:line="480" w:lineRule="exact"/>
              <w:ind w:firstLine="480" w:firstLineChars="200"/>
              <w:rPr>
                <w:rFonts w:hint="eastAsia"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rPr>
              <w:t>根据《江苏省国家级生态保护红线规划》（苏政发</w:t>
            </w:r>
            <w:r>
              <w:rPr>
                <w:rFonts w:hint="default" w:ascii="Times New Roman" w:hAnsi="Times New Roman" w:eastAsia="宋体" w:cs="Times New Roman"/>
                <w:bCs/>
                <w:kern w:val="0"/>
                <w:sz w:val="24"/>
                <w:szCs w:val="24"/>
              </w:rPr>
              <w:t>〔2018〕</w:t>
            </w:r>
            <w:r>
              <w:rPr>
                <w:rFonts w:hint="default" w:ascii="Times New Roman" w:hAnsi="Times New Roman" w:eastAsia="宋体" w:cs="Times New Roman"/>
                <w:kern w:val="0"/>
                <w:sz w:val="24"/>
                <w:szCs w:val="24"/>
              </w:rPr>
              <w:t>74号）及《自然资源部办公厅关于北京等省（区、市）启用“三区三线”划定成果作为报批建设项目用地用海依据的函》（自然资办</w:t>
            </w:r>
            <w:r>
              <w:rPr>
                <w:rFonts w:hint="default" w:ascii="Times New Roman" w:hAnsi="Times New Roman" w:eastAsia="宋体" w:cs="Times New Roman"/>
                <w:bCs/>
                <w:kern w:val="0"/>
                <w:sz w:val="24"/>
                <w:szCs w:val="24"/>
              </w:rPr>
              <w:t>〔2022〕</w:t>
            </w:r>
            <w:r>
              <w:rPr>
                <w:rFonts w:hint="default" w:ascii="Times New Roman" w:hAnsi="Times New Roman" w:eastAsia="宋体" w:cs="Times New Roman"/>
                <w:kern w:val="0"/>
                <w:sz w:val="24"/>
                <w:szCs w:val="24"/>
              </w:rPr>
              <w:t>2207号），本项目不占用</w:t>
            </w:r>
            <w:r>
              <w:rPr>
                <w:rFonts w:hint="eastAsia" w:ascii="Times New Roman" w:hAnsi="Times New Roman" w:eastAsia="宋体" w:cs="Times New Roman"/>
                <w:kern w:val="0"/>
                <w:sz w:val="24"/>
                <w:szCs w:val="24"/>
                <w:lang w:val="en-US" w:eastAsia="zh-CN"/>
              </w:rPr>
              <w:t>国家级</w:t>
            </w:r>
            <w:r>
              <w:rPr>
                <w:rFonts w:hint="default" w:ascii="Times New Roman" w:hAnsi="Times New Roman" w:eastAsia="宋体" w:cs="Times New Roman"/>
                <w:kern w:val="0"/>
                <w:sz w:val="24"/>
                <w:szCs w:val="24"/>
              </w:rPr>
              <w:t>生态保护红线</w:t>
            </w:r>
            <w:r>
              <w:rPr>
                <w:rFonts w:hint="eastAsia" w:ascii="Times New Roman" w:hAnsi="Times New Roman" w:eastAsia="宋体" w:cs="Times New Roman"/>
                <w:kern w:val="0"/>
                <w:sz w:val="24"/>
                <w:szCs w:val="24"/>
                <w:lang w:eastAsia="zh-CN"/>
              </w:rPr>
              <w:t>。</w:t>
            </w:r>
          </w:p>
          <w:p w14:paraId="7EBE0CAC">
            <w:pPr>
              <w:widowControl/>
              <w:spacing w:line="480" w:lineRule="exact"/>
              <w:ind w:firstLine="480" w:firstLineChars="200"/>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评价范围内分布</w:t>
            </w:r>
            <w:r>
              <w:rPr>
                <w:rFonts w:hint="eastAsia" w:cs="Times New Roman"/>
                <w:kern w:val="0"/>
                <w:sz w:val="24"/>
                <w:szCs w:val="24"/>
                <w:highlight w:val="none"/>
                <w:lang w:val="en-US" w:eastAsia="zh-CN"/>
              </w:rPr>
              <w:t>1</w:t>
            </w:r>
            <w:r>
              <w:rPr>
                <w:rFonts w:hint="eastAsia" w:ascii="Times New Roman" w:hAnsi="Times New Roman" w:eastAsia="宋体" w:cs="Times New Roman"/>
                <w:kern w:val="0"/>
                <w:sz w:val="24"/>
                <w:szCs w:val="24"/>
                <w:highlight w:val="none"/>
              </w:rPr>
              <w:t>处国家级生态保护红线，为</w:t>
            </w:r>
            <w:r>
              <w:rPr>
                <w:rFonts w:hint="eastAsia" w:cs="Times New Roman"/>
                <w:sz w:val="24"/>
                <w:szCs w:val="24"/>
                <w:highlight w:val="none"/>
                <w:lang w:val="en-US" w:eastAsia="zh-CN" w:bidi="ar"/>
              </w:rPr>
              <w:t>北京路水厂废黄河饮用水水源保护地</w:t>
            </w:r>
            <w:r>
              <w:rPr>
                <w:rFonts w:hint="default" w:ascii="Times New Roman" w:hAnsi="Times New Roman" w:eastAsia="宋体" w:cs="Times New Roman"/>
                <w:sz w:val="24"/>
                <w:szCs w:val="24"/>
                <w:highlight w:val="none"/>
                <w:lang w:bidi="ar"/>
              </w:rPr>
              <w:t>，距离</w:t>
            </w:r>
            <w:r>
              <w:rPr>
                <w:rFonts w:hint="eastAsia" w:cs="Times New Roman"/>
                <w:sz w:val="24"/>
                <w:szCs w:val="24"/>
                <w:highlight w:val="none"/>
                <w:lang w:val="en-US" w:eastAsia="zh-CN" w:bidi="ar"/>
              </w:rPr>
              <w:t>4.5</w:t>
            </w:r>
            <w:r>
              <w:rPr>
                <w:rFonts w:hint="default" w:ascii="Times New Roman" w:hAnsi="Times New Roman" w:eastAsia="宋体" w:cs="Times New Roman"/>
                <w:sz w:val="24"/>
                <w:szCs w:val="24"/>
                <w:highlight w:val="none"/>
                <w:lang w:bidi="ar"/>
              </w:rPr>
              <w:t>km</w:t>
            </w:r>
            <w:r>
              <w:rPr>
                <w:rFonts w:hint="eastAsia" w:cs="Times New Roman"/>
                <w:sz w:val="24"/>
                <w:szCs w:val="24"/>
                <w:highlight w:val="none"/>
                <w:lang w:eastAsia="zh-CN" w:bidi="ar"/>
              </w:rPr>
              <w:t>，</w:t>
            </w:r>
            <w:r>
              <w:rPr>
                <w:rFonts w:hint="default" w:ascii="Times New Roman" w:hAnsi="Times New Roman" w:eastAsia="宋体" w:cs="Times New Roman"/>
                <w:kern w:val="0"/>
                <w:sz w:val="24"/>
                <w:szCs w:val="24"/>
                <w:highlight w:val="none"/>
              </w:rPr>
              <w:t>具体见附图</w:t>
            </w:r>
            <w:r>
              <w:rPr>
                <w:rFonts w:hint="eastAsia" w:cs="Times New Roman"/>
                <w:kern w:val="0"/>
                <w:sz w:val="24"/>
                <w:szCs w:val="24"/>
                <w:highlight w:val="none"/>
                <w:lang w:val="en-US" w:eastAsia="zh-CN"/>
              </w:rPr>
              <w:t>3</w:t>
            </w:r>
            <w:r>
              <w:rPr>
                <w:rFonts w:hint="default" w:ascii="Times New Roman" w:hAnsi="Times New Roman" w:eastAsia="宋体" w:cs="Times New Roman"/>
                <w:kern w:val="0"/>
                <w:sz w:val="24"/>
                <w:szCs w:val="24"/>
                <w:highlight w:val="none"/>
              </w:rPr>
              <w:t>。</w:t>
            </w:r>
          </w:p>
          <w:p w14:paraId="4B2435FB">
            <w:pPr>
              <w:widowControl/>
              <w:spacing w:line="48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（2）生态空间管控区</w:t>
            </w:r>
          </w:p>
          <w:p w14:paraId="55E1490E">
            <w:pPr>
              <w:widowControl/>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lang w:bidi="ar"/>
              </w:rPr>
              <w:t>根据《省政府关于印发江苏省生态空间管控区域规划的通知》（苏政发〔2020〕1号）</w:t>
            </w: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rPr>
              <w:t>本项目共占用</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处生态空间管控区</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类型为清水通道维护区</w:t>
            </w:r>
            <w:r>
              <w:rPr>
                <w:rFonts w:hint="default" w:ascii="Times New Roman" w:hAnsi="Times New Roman" w:eastAsia="宋体" w:cs="Times New Roman"/>
                <w:kern w:val="0"/>
                <w:sz w:val="24"/>
                <w:szCs w:val="24"/>
              </w:rPr>
              <w:t>。具体见表3.</w:t>
            </w:r>
            <w:r>
              <w:rPr>
                <w:rFonts w:hint="eastAsia" w:cs="Times New Roman"/>
                <w:kern w:val="0"/>
                <w:sz w:val="24"/>
                <w:szCs w:val="24"/>
                <w:lang w:val="en-US" w:eastAsia="zh-CN"/>
              </w:rPr>
              <w:t>4</w:t>
            </w:r>
            <w:r>
              <w:rPr>
                <w:rFonts w:hint="default" w:ascii="Times New Roman" w:hAnsi="Times New Roman" w:eastAsia="宋体" w:cs="Times New Roman"/>
                <w:kern w:val="0"/>
                <w:sz w:val="24"/>
                <w:szCs w:val="24"/>
              </w:rPr>
              <w:t>-</w:t>
            </w:r>
            <w:r>
              <w:rPr>
                <w:rFonts w:hint="eastAsia" w:cs="Times New Roman"/>
                <w:kern w:val="0"/>
                <w:sz w:val="24"/>
                <w:szCs w:val="24"/>
                <w:lang w:val="en-US" w:eastAsia="zh-CN"/>
              </w:rPr>
              <w:t>4</w:t>
            </w:r>
            <w:r>
              <w:rPr>
                <w:rFonts w:hint="default" w:ascii="Times New Roman" w:hAnsi="Times New Roman" w:eastAsia="宋体" w:cs="Times New Roman"/>
                <w:kern w:val="0"/>
                <w:sz w:val="24"/>
                <w:szCs w:val="24"/>
              </w:rPr>
              <w:t>。</w:t>
            </w:r>
          </w:p>
          <w:p w14:paraId="798215E8">
            <w:pPr>
              <w:adjustRightInd w:val="0"/>
              <w:snapToGrid w:val="0"/>
              <w:spacing w:line="460" w:lineRule="exact"/>
              <w:ind w:firstLine="482" w:firstLineChars="20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表3.</w:t>
            </w: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w:t>
            </w: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 xml:space="preserve">  生态空间管控区域一览表</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340"/>
              <w:gridCol w:w="1469"/>
              <w:gridCol w:w="1267"/>
              <w:gridCol w:w="3744"/>
              <w:gridCol w:w="2425"/>
            </w:tblGrid>
            <w:tr w14:paraId="2EC10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184" w:type="pct"/>
                  <w:tcBorders>
                    <w:tl2br w:val="nil"/>
                    <w:tr2bl w:val="nil"/>
                  </w:tcBorders>
                  <w:noWrap w:val="0"/>
                  <w:vAlign w:val="center"/>
                </w:tcPr>
                <w:p w14:paraId="1DC444A0">
                  <w:pPr>
                    <w:widowControl/>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序号</w:t>
                  </w:r>
                </w:p>
              </w:tc>
              <w:tc>
                <w:tcPr>
                  <w:tcW w:w="794" w:type="pct"/>
                  <w:tcBorders>
                    <w:tl2br w:val="nil"/>
                    <w:tr2bl w:val="nil"/>
                  </w:tcBorders>
                  <w:noWrap w:val="0"/>
                  <w:vAlign w:val="center"/>
                </w:tcPr>
                <w:p w14:paraId="17977E86">
                  <w:pPr>
                    <w:widowControl/>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保护目标</w:t>
                  </w:r>
                </w:p>
              </w:tc>
              <w:tc>
                <w:tcPr>
                  <w:tcW w:w="685" w:type="pct"/>
                  <w:tcBorders>
                    <w:tl2br w:val="nil"/>
                    <w:tr2bl w:val="nil"/>
                  </w:tcBorders>
                  <w:noWrap w:val="0"/>
                  <w:vAlign w:val="center"/>
                </w:tcPr>
                <w:p w14:paraId="1BBCF3AC">
                  <w:pPr>
                    <w:widowControl/>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主导生态功能</w:t>
                  </w:r>
                </w:p>
              </w:tc>
              <w:tc>
                <w:tcPr>
                  <w:tcW w:w="2024" w:type="pct"/>
                  <w:tcBorders>
                    <w:tl2br w:val="nil"/>
                    <w:tr2bl w:val="nil"/>
                  </w:tcBorders>
                  <w:noWrap w:val="0"/>
                  <w:vAlign w:val="center"/>
                </w:tcPr>
                <w:p w14:paraId="12945E54">
                  <w:pPr>
                    <w:widowControl/>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保护目标概况</w:t>
                  </w:r>
                </w:p>
              </w:tc>
              <w:tc>
                <w:tcPr>
                  <w:tcW w:w="1311" w:type="pct"/>
                  <w:tcBorders>
                    <w:tl2br w:val="nil"/>
                    <w:tr2bl w:val="nil"/>
                  </w:tcBorders>
                  <w:noWrap w:val="0"/>
                  <w:vAlign w:val="center"/>
                </w:tcPr>
                <w:p w14:paraId="7793C86E">
                  <w:pPr>
                    <w:widowControl/>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位置关系</w:t>
                  </w:r>
                </w:p>
              </w:tc>
            </w:tr>
            <w:tr w14:paraId="334F5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5" w:hRule="atLeast"/>
                <w:jc w:val="center"/>
              </w:trPr>
              <w:tc>
                <w:tcPr>
                  <w:tcW w:w="184" w:type="pct"/>
                  <w:tcBorders>
                    <w:tl2br w:val="nil"/>
                    <w:tr2bl w:val="nil"/>
                  </w:tcBorders>
                  <w:noWrap w:val="0"/>
                  <w:vAlign w:val="center"/>
                </w:tcPr>
                <w:p w14:paraId="5E4C6C77">
                  <w:pPr>
                    <w:widowControl/>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794" w:type="pct"/>
                  <w:tcBorders>
                    <w:tl2br w:val="nil"/>
                    <w:tr2bl w:val="nil"/>
                  </w:tcBorders>
                  <w:noWrap w:val="0"/>
                  <w:vAlign w:val="center"/>
                </w:tcPr>
                <w:p w14:paraId="44F8DBB7">
                  <w:pPr>
                    <w:widowControl/>
                    <w:spacing w:line="260" w:lineRule="exact"/>
                    <w:ind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lang w:bidi="ar"/>
                    </w:rPr>
                    <w:t>京杭大运河（淮安区）清水通道维护区</w:t>
                  </w:r>
                </w:p>
              </w:tc>
              <w:tc>
                <w:tcPr>
                  <w:tcW w:w="685" w:type="pct"/>
                  <w:tcBorders>
                    <w:tl2br w:val="nil"/>
                    <w:tr2bl w:val="nil"/>
                  </w:tcBorders>
                  <w:noWrap w:val="0"/>
                  <w:vAlign w:val="center"/>
                </w:tcPr>
                <w:p w14:paraId="2457146B">
                  <w:pPr>
                    <w:widowControl/>
                    <w:spacing w:line="260" w:lineRule="exact"/>
                    <w:ind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lang w:bidi="ar"/>
                    </w:rPr>
                    <w:t>水源水质保护</w:t>
                  </w:r>
                </w:p>
              </w:tc>
              <w:tc>
                <w:tcPr>
                  <w:tcW w:w="2024" w:type="pct"/>
                  <w:tcBorders>
                    <w:tl2br w:val="nil"/>
                    <w:tr2bl w:val="nil"/>
                  </w:tcBorders>
                  <w:noWrap w:val="0"/>
                  <w:vAlign w:val="center"/>
                </w:tcPr>
                <w:p w14:paraId="6BE81050">
                  <w:pPr>
                    <w:widowControl/>
                    <w:spacing w:line="260" w:lineRule="exact"/>
                    <w:ind w:firstLine="0" w:firstLineChars="0"/>
                    <w:jc w:val="both"/>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lang w:bidi="ar"/>
                    </w:rPr>
                    <w:t>流经三树、吴城、凌桥、码头4个乡镇，沿河有三坝、三岔、新堡、三园、豆办集、头庄、仲弓、双闸、许渡9个村。为大运河及两岸外侧100米范围</w:t>
                  </w:r>
                </w:p>
              </w:tc>
              <w:tc>
                <w:tcPr>
                  <w:tcW w:w="1311" w:type="pct"/>
                  <w:tcBorders>
                    <w:tl2br w:val="nil"/>
                    <w:tr2bl w:val="nil"/>
                  </w:tcBorders>
                  <w:noWrap w:val="0"/>
                  <w:vAlign w:val="center"/>
                </w:tcPr>
                <w:p w14:paraId="6FF801F2">
                  <w:pPr>
                    <w:widowControl/>
                    <w:snapToGrid w:val="0"/>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本项目锚地工程位于</w:t>
                  </w:r>
                  <w:r>
                    <w:rPr>
                      <w:rFonts w:hint="default" w:ascii="Times New Roman" w:hAnsi="Times New Roman" w:eastAsia="宋体" w:cs="Times New Roman"/>
                      <w:color w:val="000000"/>
                      <w:sz w:val="21"/>
                      <w:szCs w:val="21"/>
                      <w:lang w:bidi="ar"/>
                    </w:rPr>
                    <w:t>京杭大运河（淮安区）清水通道维护区</w:t>
                  </w:r>
                  <w:r>
                    <w:rPr>
                      <w:rFonts w:hint="eastAsia" w:cs="Times New Roman"/>
                      <w:color w:val="000000"/>
                      <w:sz w:val="21"/>
                      <w:szCs w:val="21"/>
                      <w:lang w:val="en-US" w:eastAsia="zh-CN" w:bidi="ar"/>
                    </w:rPr>
                    <w:t>内</w:t>
                  </w:r>
                </w:p>
              </w:tc>
            </w:tr>
            <w:tr w14:paraId="65CB5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74" w:hRule="atLeast"/>
                <w:jc w:val="center"/>
              </w:trPr>
              <w:tc>
                <w:tcPr>
                  <w:tcW w:w="184" w:type="pct"/>
                  <w:tcBorders>
                    <w:tl2br w:val="nil"/>
                    <w:tr2bl w:val="nil"/>
                  </w:tcBorders>
                  <w:noWrap w:val="0"/>
                  <w:vAlign w:val="center"/>
                </w:tcPr>
                <w:p w14:paraId="4B9677D6">
                  <w:pPr>
                    <w:widowControl/>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794" w:type="pct"/>
                  <w:tcBorders>
                    <w:tl2br w:val="nil"/>
                    <w:tr2bl w:val="nil"/>
                  </w:tcBorders>
                  <w:noWrap w:val="0"/>
                  <w:vAlign w:val="center"/>
                </w:tcPr>
                <w:p w14:paraId="3C63895A">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京杭大运河（淮安市区）清水通道维护区</w:t>
                  </w:r>
                </w:p>
              </w:tc>
              <w:tc>
                <w:tcPr>
                  <w:tcW w:w="685" w:type="pct"/>
                  <w:tcBorders>
                    <w:tl2br w:val="nil"/>
                    <w:tr2bl w:val="nil"/>
                  </w:tcBorders>
                  <w:noWrap w:val="0"/>
                  <w:vAlign w:val="center"/>
                </w:tcPr>
                <w:p w14:paraId="56303665">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水源水质保护</w:t>
                  </w:r>
                </w:p>
              </w:tc>
              <w:tc>
                <w:tcPr>
                  <w:tcW w:w="2024" w:type="pct"/>
                  <w:tcBorders>
                    <w:tl2br w:val="nil"/>
                    <w:tr2bl w:val="nil"/>
                  </w:tcBorders>
                  <w:noWrap w:val="0"/>
                  <w:vAlign w:val="center"/>
                </w:tcPr>
                <w:p w14:paraId="4EDD5825">
                  <w:pPr>
                    <w:widowControl/>
                    <w:spacing w:line="260" w:lineRule="exact"/>
                    <w:ind w:firstLine="0" w:firstLineChars="0"/>
                    <w:jc w:val="center"/>
                    <w:textAlignment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京杭大运河淮安市区段，两侧至河堤外100米范围（城区部分两侧仅到河堤）</w:t>
                  </w:r>
                </w:p>
              </w:tc>
              <w:tc>
                <w:tcPr>
                  <w:tcW w:w="1311" w:type="pct"/>
                  <w:tcBorders>
                    <w:tl2br w:val="nil"/>
                    <w:tr2bl w:val="nil"/>
                  </w:tcBorders>
                  <w:noWrap w:val="0"/>
                  <w:vAlign w:val="center"/>
                </w:tcPr>
                <w:p w14:paraId="3563F39C">
                  <w:pPr>
                    <w:widowControl/>
                    <w:snapToGrid w:val="0"/>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本项目</w:t>
                  </w:r>
                  <w:r>
                    <w:rPr>
                      <w:rFonts w:hint="eastAsia" w:cs="Times New Roman"/>
                      <w:sz w:val="21"/>
                      <w:szCs w:val="21"/>
                      <w:lang w:val="en-US" w:eastAsia="zh-CN"/>
                    </w:rPr>
                    <w:t>南港岸线疏浚段</w:t>
                  </w:r>
                  <w:r>
                    <w:rPr>
                      <w:rFonts w:hint="eastAsia" w:cs="Times New Roman"/>
                      <w:kern w:val="0"/>
                      <w:sz w:val="21"/>
                      <w:szCs w:val="21"/>
                      <w:lang w:val="en-US" w:eastAsia="zh-CN"/>
                    </w:rPr>
                    <w:t>位于</w:t>
                  </w:r>
                  <w:r>
                    <w:rPr>
                      <w:rFonts w:hint="default" w:ascii="Times New Roman" w:hAnsi="Times New Roman" w:eastAsia="宋体" w:cs="Times New Roman"/>
                      <w:color w:val="000000"/>
                      <w:sz w:val="21"/>
                      <w:szCs w:val="21"/>
                      <w:lang w:bidi="ar"/>
                    </w:rPr>
                    <w:t>京杭大运河（淮安市区）清水通道维护区</w:t>
                  </w:r>
                  <w:r>
                    <w:rPr>
                      <w:rFonts w:hint="eastAsia" w:cs="Times New Roman"/>
                      <w:color w:val="000000"/>
                      <w:sz w:val="21"/>
                      <w:szCs w:val="21"/>
                      <w:lang w:val="en-US" w:eastAsia="zh-CN" w:bidi="ar"/>
                    </w:rPr>
                    <w:t>内</w:t>
                  </w:r>
                </w:p>
              </w:tc>
            </w:tr>
          </w:tbl>
          <w:p w14:paraId="425AEC8F">
            <w:pPr>
              <w:snapToGrid w:val="0"/>
              <w:spacing w:line="440" w:lineRule="exact"/>
              <w:ind w:firstLine="482" w:firstLineChars="200"/>
              <w:rPr>
                <w:rFonts w:hint="default" w:ascii="Times New Roman" w:hAnsi="Times New Roman" w:eastAsia="宋体" w:cs="Times New Roman"/>
                <w:b/>
                <w:bCs/>
                <w:sz w:val="24"/>
                <w:szCs w:val="24"/>
              </w:rPr>
            </w:pPr>
            <w:r>
              <w:rPr>
                <w:rFonts w:hint="eastAsia" w:cs="Times New Roman"/>
                <w:b/>
                <w:bCs/>
                <w:sz w:val="24"/>
                <w:szCs w:val="24"/>
                <w:lang w:val="en-US" w:eastAsia="zh-CN"/>
              </w:rPr>
              <w:t>3.4.5</w:t>
            </w:r>
            <w:r>
              <w:rPr>
                <w:rFonts w:hint="default" w:ascii="Times New Roman" w:hAnsi="Times New Roman" w:eastAsia="宋体" w:cs="Times New Roman"/>
                <w:b/>
                <w:bCs/>
                <w:sz w:val="24"/>
                <w:szCs w:val="24"/>
              </w:rPr>
              <w:t>环境风险保护目标</w:t>
            </w:r>
          </w:p>
          <w:p w14:paraId="57A682B4">
            <w:pPr>
              <w:adjustRightInd w:val="0"/>
              <w:snapToGrid w:val="0"/>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根据</w:t>
            </w:r>
            <w:r>
              <w:rPr>
                <w:rFonts w:hint="eastAsia" w:cs="Times New Roman"/>
                <w:sz w:val="24"/>
                <w:szCs w:val="24"/>
                <w:lang w:val="en-US" w:eastAsia="zh-CN"/>
              </w:rPr>
              <w:t>京杭运河</w:t>
            </w:r>
            <w:r>
              <w:rPr>
                <w:rFonts w:hint="default" w:ascii="Times New Roman" w:hAnsi="Times New Roman" w:eastAsia="宋体" w:cs="Times New Roman"/>
                <w:sz w:val="24"/>
                <w:szCs w:val="24"/>
              </w:rPr>
              <w:t>的运行调度和水流流向，结合地表水环境风险影响范围，将影响范围内的</w:t>
            </w:r>
            <w:r>
              <w:rPr>
                <w:rFonts w:hint="eastAsia" w:cs="Times New Roman"/>
                <w:sz w:val="24"/>
                <w:szCs w:val="24"/>
                <w:lang w:val="en-US" w:eastAsia="zh-CN"/>
              </w:rPr>
              <w:t>京杭运河</w:t>
            </w:r>
            <w:r>
              <w:rPr>
                <w:rFonts w:hint="default" w:ascii="Times New Roman" w:hAnsi="Times New Roman" w:eastAsia="宋体" w:cs="Times New Roman"/>
                <w:sz w:val="24"/>
                <w:szCs w:val="24"/>
              </w:rPr>
              <w:t>水域、生态空间管控区域、地表水国省控断面等列入项目主要地表水环境风险敏感目标，具体见表3.</w:t>
            </w:r>
            <w:r>
              <w:rPr>
                <w:rFonts w:hint="eastAsia" w:cs="Times New Roman"/>
                <w:sz w:val="24"/>
                <w:szCs w:val="24"/>
                <w:lang w:val="en-US" w:eastAsia="zh-CN"/>
              </w:rPr>
              <w:t>4</w:t>
            </w:r>
            <w:r>
              <w:rPr>
                <w:rFonts w:hint="default" w:ascii="Times New Roman" w:hAnsi="Times New Roman" w:eastAsia="宋体" w:cs="Times New Roman"/>
                <w:sz w:val="24"/>
                <w:szCs w:val="24"/>
              </w:rPr>
              <w:t>-</w:t>
            </w:r>
            <w:r>
              <w:rPr>
                <w:rFonts w:hint="eastAsia" w:cs="Times New Roman"/>
                <w:sz w:val="24"/>
                <w:szCs w:val="24"/>
                <w:lang w:val="en-US" w:eastAsia="zh-CN"/>
              </w:rPr>
              <w:t>2～</w:t>
            </w:r>
            <w:r>
              <w:rPr>
                <w:rFonts w:hint="default" w:ascii="Times New Roman" w:hAnsi="Times New Roman" w:eastAsia="宋体" w:cs="Times New Roman"/>
                <w:sz w:val="24"/>
                <w:szCs w:val="24"/>
              </w:rPr>
              <w:t>表3.</w:t>
            </w:r>
            <w:r>
              <w:rPr>
                <w:rFonts w:hint="eastAsia" w:cs="Times New Roman"/>
                <w:sz w:val="24"/>
                <w:szCs w:val="24"/>
                <w:lang w:val="en-US" w:eastAsia="zh-CN"/>
              </w:rPr>
              <w:t>4</w:t>
            </w:r>
            <w:r>
              <w:rPr>
                <w:rFonts w:hint="default" w:ascii="Times New Roman" w:hAnsi="Times New Roman" w:eastAsia="宋体" w:cs="Times New Roman"/>
                <w:sz w:val="24"/>
                <w:szCs w:val="24"/>
              </w:rPr>
              <w:t>-</w:t>
            </w:r>
            <w:r>
              <w:rPr>
                <w:rFonts w:hint="eastAsia" w:cs="Times New Roman"/>
                <w:sz w:val="24"/>
                <w:szCs w:val="24"/>
                <w:lang w:val="en-US" w:eastAsia="zh-CN"/>
              </w:rPr>
              <w:t>4</w:t>
            </w:r>
            <w:r>
              <w:rPr>
                <w:rFonts w:hint="default" w:ascii="Times New Roman" w:hAnsi="Times New Roman" w:eastAsia="宋体" w:cs="Times New Roman"/>
                <w:sz w:val="24"/>
                <w:szCs w:val="24"/>
              </w:rPr>
              <w:t>。</w:t>
            </w:r>
          </w:p>
        </w:tc>
      </w:tr>
      <w:tr w14:paraId="245C2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400" w:type="dxa"/>
            <w:tcMar>
              <w:left w:w="28" w:type="dxa"/>
              <w:right w:w="28" w:type="dxa"/>
            </w:tcMar>
            <w:vAlign w:val="center"/>
          </w:tcPr>
          <w:p w14:paraId="4E812363">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评价标</w:t>
            </w:r>
          </w:p>
          <w:p w14:paraId="725B76AE">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准</w:t>
            </w:r>
          </w:p>
        </w:tc>
        <w:tc>
          <w:tcPr>
            <w:tcW w:w="8122" w:type="dxa"/>
          </w:tcPr>
          <w:p w14:paraId="5AC9C8C2">
            <w:pPr>
              <w:adjustRightInd w:val="0"/>
              <w:snapToGrid w:val="0"/>
              <w:spacing w:line="480" w:lineRule="exact"/>
              <w:ind w:firstLine="482" w:firstLineChars="200"/>
              <w:rPr>
                <w:rFonts w:hint="default" w:ascii="Times New Roman" w:hAnsi="Times New Roman" w:eastAsia="宋体" w:cs="Times New Roman"/>
                <w:b/>
                <w:kern w:val="0"/>
                <w:sz w:val="24"/>
                <w:szCs w:val="24"/>
              </w:rPr>
            </w:pPr>
            <w:r>
              <w:rPr>
                <w:rFonts w:hint="eastAsia" w:cs="Times New Roman"/>
                <w:b/>
                <w:kern w:val="0"/>
                <w:sz w:val="24"/>
                <w:szCs w:val="24"/>
                <w:lang w:val="en-US" w:eastAsia="zh-CN"/>
              </w:rPr>
              <w:t>3.5</w:t>
            </w:r>
            <w:r>
              <w:rPr>
                <w:rFonts w:hint="default" w:ascii="Times New Roman" w:hAnsi="Times New Roman" w:eastAsia="宋体" w:cs="Times New Roman"/>
                <w:b/>
                <w:kern w:val="0"/>
                <w:sz w:val="24"/>
                <w:szCs w:val="24"/>
              </w:rPr>
              <w:t>环境质量标准</w:t>
            </w:r>
          </w:p>
          <w:p w14:paraId="012EE308">
            <w:pPr>
              <w:spacing w:line="480" w:lineRule="exact"/>
              <w:ind w:firstLine="482" w:firstLineChars="200"/>
              <w:rPr>
                <w:rFonts w:hint="default" w:ascii="Times New Roman" w:hAnsi="Times New Roman" w:eastAsia="宋体" w:cs="Times New Roman"/>
                <w:b/>
                <w:sz w:val="24"/>
                <w:szCs w:val="24"/>
              </w:rPr>
            </w:pPr>
            <w:r>
              <w:rPr>
                <w:rFonts w:hint="eastAsia" w:cs="Times New Roman"/>
                <w:b/>
                <w:sz w:val="24"/>
                <w:szCs w:val="24"/>
                <w:lang w:val="en-US" w:eastAsia="zh-CN"/>
              </w:rPr>
              <w:t>3.5.1</w:t>
            </w:r>
            <w:r>
              <w:rPr>
                <w:rFonts w:hint="default" w:ascii="Times New Roman" w:hAnsi="Times New Roman" w:eastAsia="宋体" w:cs="Times New Roman"/>
                <w:b/>
                <w:sz w:val="24"/>
                <w:szCs w:val="24"/>
              </w:rPr>
              <w:t>大气环境</w:t>
            </w:r>
          </w:p>
          <w:p w14:paraId="3CCAE5F0">
            <w:pPr>
              <w:adjustRightInd w:val="0"/>
              <w:snapToGrid w:val="0"/>
              <w:spacing w:line="48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根据评价范围内的大气功能区划，评价区为二类区，执行《环境空气质量标准》（GB3095-2012）二级标准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NH</w:t>
            </w:r>
            <w:r>
              <w:rPr>
                <w:rFonts w:hint="default"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和</w:t>
            </w:r>
            <w:r>
              <w:rPr>
                <w:rFonts w:hint="default" w:ascii="Times New Roman" w:hAnsi="Times New Roman" w:eastAsia="宋体" w:cs="Times New Roman"/>
                <w:sz w:val="24"/>
                <w:szCs w:val="24"/>
                <w:lang w:val="en-US" w:eastAsia="zh-CN"/>
              </w:rPr>
              <w:t>H</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 xml:space="preserve">S </w:t>
            </w:r>
            <w:r>
              <w:rPr>
                <w:rFonts w:hint="eastAsia" w:ascii="Times New Roman" w:hAnsi="Times New Roman" w:eastAsia="宋体" w:cs="Times New Roman"/>
                <w:sz w:val="24"/>
                <w:szCs w:val="24"/>
                <w:lang w:val="en-US" w:eastAsia="zh-CN"/>
              </w:rPr>
              <w:t>执行《环境影响评价技术导则大气环境》（</w:t>
            </w:r>
            <w:r>
              <w:rPr>
                <w:rFonts w:hint="default" w:ascii="Times New Roman" w:hAnsi="Times New Roman" w:eastAsia="宋体" w:cs="Times New Roman"/>
                <w:sz w:val="24"/>
                <w:szCs w:val="24"/>
                <w:lang w:val="en-US" w:eastAsia="zh-CN"/>
              </w:rPr>
              <w:t>HJ2.2-2018</w:t>
            </w:r>
            <w:r>
              <w:rPr>
                <w:rFonts w:hint="eastAsia" w:ascii="Times New Roman" w:hAnsi="Times New Roman" w:eastAsia="宋体" w:cs="Times New Roman"/>
                <w:sz w:val="24"/>
                <w:szCs w:val="24"/>
                <w:lang w:val="en-US" w:eastAsia="zh-CN"/>
              </w:rPr>
              <w:t>）附录</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标准。</w:t>
            </w:r>
            <w:r>
              <w:rPr>
                <w:rFonts w:hint="default" w:ascii="Times New Roman" w:hAnsi="Times New Roman" w:eastAsia="宋体" w:cs="Times New Roman"/>
                <w:sz w:val="24"/>
                <w:szCs w:val="24"/>
                <w:lang w:val="en-US" w:eastAsia="zh-CN"/>
              </w:rPr>
              <w:t>具体标准值见表3.</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14:paraId="044B2921">
            <w:pPr>
              <w:adjustRightInd w:val="0"/>
              <w:snapToGrid w:val="0"/>
              <w:spacing w:line="48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表3.</w:t>
            </w:r>
            <w:r>
              <w:rPr>
                <w:rFonts w:hint="eastAsia" w:cs="Times New Roman"/>
                <w:b/>
                <w:bCs/>
                <w:sz w:val="24"/>
                <w:szCs w:val="24"/>
                <w:lang w:val="en-US" w:eastAsia="zh-CN"/>
              </w:rPr>
              <w:t>5</w:t>
            </w:r>
            <w:r>
              <w:rPr>
                <w:rFonts w:hint="default" w:ascii="Times New Roman" w:hAnsi="Times New Roman" w:eastAsia="宋体" w:cs="Times New Roman"/>
                <w:b/>
                <w:bCs/>
                <w:sz w:val="24"/>
                <w:szCs w:val="24"/>
              </w:rPr>
              <w:t>-1  环境空气环境质量评价执行标准  单位：mg/m</w:t>
            </w:r>
            <w:r>
              <w:rPr>
                <w:rFonts w:hint="default" w:ascii="Times New Roman" w:hAnsi="Times New Roman" w:eastAsia="宋体" w:cs="Times New Roman"/>
                <w:b/>
                <w:bCs/>
                <w:sz w:val="24"/>
                <w:szCs w:val="24"/>
                <w:vertAlign w:val="superscript"/>
              </w:rPr>
              <w:t>3</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301"/>
              <w:gridCol w:w="2371"/>
              <w:gridCol w:w="3217"/>
            </w:tblGrid>
            <w:tr w14:paraId="2D50B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735" w:type="pct"/>
                  <w:tcBorders>
                    <w:tl2br w:val="nil"/>
                    <w:tr2bl w:val="nil"/>
                  </w:tcBorders>
                  <w:noWrap w:val="0"/>
                  <w:vAlign w:val="center"/>
                </w:tcPr>
                <w:p w14:paraId="311F4DA9">
                  <w:pPr>
                    <w:pStyle w:val="1610"/>
                    <w:widowControl w:val="0"/>
                    <w:spacing w:before="24" w:after="24"/>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污染物</w:t>
                  </w:r>
                </w:p>
              </w:tc>
              <w:tc>
                <w:tcPr>
                  <w:tcW w:w="1243" w:type="pct"/>
                  <w:tcBorders>
                    <w:tl2br w:val="nil"/>
                    <w:tr2bl w:val="nil"/>
                  </w:tcBorders>
                  <w:noWrap w:val="0"/>
                  <w:vAlign w:val="center"/>
                </w:tcPr>
                <w:p w14:paraId="3C046F26">
                  <w:pPr>
                    <w:pStyle w:val="1610"/>
                    <w:widowControl w:val="0"/>
                    <w:spacing w:before="24" w:after="24"/>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取值时间</w:t>
                  </w:r>
                </w:p>
              </w:tc>
              <w:tc>
                <w:tcPr>
                  <w:tcW w:w="1281" w:type="pct"/>
                  <w:tcBorders>
                    <w:tl2br w:val="nil"/>
                    <w:tr2bl w:val="nil"/>
                  </w:tcBorders>
                  <w:noWrap w:val="0"/>
                  <w:vAlign w:val="center"/>
                </w:tcPr>
                <w:p w14:paraId="13CD16EF">
                  <w:pPr>
                    <w:pStyle w:val="1610"/>
                    <w:widowControl w:val="0"/>
                    <w:spacing w:before="24" w:after="24"/>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标准限值</w:t>
                  </w:r>
                </w:p>
              </w:tc>
              <w:tc>
                <w:tcPr>
                  <w:tcW w:w="1738" w:type="pct"/>
                  <w:tcBorders>
                    <w:tl2br w:val="nil"/>
                    <w:tr2bl w:val="nil"/>
                  </w:tcBorders>
                  <w:noWrap w:val="0"/>
                  <w:vAlign w:val="center"/>
                </w:tcPr>
                <w:p w14:paraId="5B5EDF9D">
                  <w:pPr>
                    <w:pStyle w:val="1610"/>
                    <w:widowControl w:val="0"/>
                    <w:spacing w:before="24" w:after="24"/>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标准来源</w:t>
                  </w:r>
                </w:p>
              </w:tc>
            </w:tr>
            <w:tr w14:paraId="05023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tcBorders>
                    <w:tl2br w:val="nil"/>
                    <w:tr2bl w:val="nil"/>
                  </w:tcBorders>
                  <w:noWrap w:val="0"/>
                  <w:vAlign w:val="center"/>
                </w:tcPr>
                <w:p w14:paraId="364B79FB">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SO</w:t>
                  </w:r>
                  <w:r>
                    <w:rPr>
                      <w:rFonts w:hint="default" w:ascii="Times New Roman" w:hAnsi="Times New Roman" w:eastAsia="宋体" w:cs="Times New Roman"/>
                      <w:kern w:val="2"/>
                      <w:sz w:val="21"/>
                      <w:szCs w:val="21"/>
                      <w:vertAlign w:val="subscript"/>
                    </w:rPr>
                    <w:t>2</w:t>
                  </w:r>
                </w:p>
              </w:tc>
              <w:tc>
                <w:tcPr>
                  <w:tcW w:w="1243" w:type="pct"/>
                  <w:tcBorders>
                    <w:tl2br w:val="nil"/>
                    <w:tr2bl w:val="nil"/>
                  </w:tcBorders>
                  <w:noWrap w:val="0"/>
                  <w:vAlign w:val="center"/>
                </w:tcPr>
                <w:p w14:paraId="3A317EFB">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年平均</w:t>
                  </w:r>
                </w:p>
              </w:tc>
              <w:tc>
                <w:tcPr>
                  <w:tcW w:w="1281" w:type="pct"/>
                  <w:tcBorders>
                    <w:tl2br w:val="nil"/>
                    <w:tr2bl w:val="nil"/>
                  </w:tcBorders>
                  <w:noWrap w:val="0"/>
                  <w:vAlign w:val="center"/>
                </w:tcPr>
                <w:p w14:paraId="56C2D8FA">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0.06</w:t>
                  </w:r>
                </w:p>
              </w:tc>
              <w:tc>
                <w:tcPr>
                  <w:tcW w:w="1738" w:type="pct"/>
                  <w:vMerge w:val="restart"/>
                  <w:tcBorders>
                    <w:tl2br w:val="nil"/>
                    <w:tr2bl w:val="nil"/>
                  </w:tcBorders>
                  <w:noWrap w:val="0"/>
                  <w:vAlign w:val="center"/>
                </w:tcPr>
                <w:p w14:paraId="1F88FA9F">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《环境空气质量标准》</w:t>
                  </w:r>
                  <w:r>
                    <w:rPr>
                      <w:rFonts w:hint="eastAsia" w:ascii="Times New Roman" w:hAnsi="Times New Roman" w:eastAsia="宋体" w:cs="Times New Roman"/>
                      <w:kern w:val="2"/>
                      <w:sz w:val="21"/>
                      <w:szCs w:val="21"/>
                      <w:lang w:eastAsia="zh-CN"/>
                    </w:rPr>
                    <w:t>（</w:t>
                  </w:r>
                  <w:r>
                    <w:rPr>
                      <w:rFonts w:hint="default" w:ascii="Times New Roman" w:hAnsi="Times New Roman" w:eastAsia="宋体" w:cs="Times New Roman"/>
                      <w:kern w:val="2"/>
                      <w:sz w:val="21"/>
                      <w:szCs w:val="21"/>
                    </w:rPr>
                    <w:t>GB3095-2012</w:t>
                  </w:r>
                  <w:r>
                    <w:rPr>
                      <w:rFonts w:hint="eastAsia" w:ascii="Times New Roman" w:hAnsi="Times New Roman" w:eastAsia="宋体" w:cs="Times New Roman"/>
                      <w:kern w:val="2"/>
                      <w:sz w:val="21"/>
                      <w:szCs w:val="21"/>
                      <w:lang w:eastAsia="zh-CN"/>
                    </w:rPr>
                    <w:t>）</w:t>
                  </w:r>
                  <w:r>
                    <w:rPr>
                      <w:rFonts w:hint="default" w:ascii="Times New Roman" w:hAnsi="Times New Roman" w:eastAsia="宋体" w:cs="Times New Roman"/>
                      <w:kern w:val="2"/>
                      <w:sz w:val="21"/>
                      <w:szCs w:val="21"/>
                    </w:rPr>
                    <w:t>表1中二级标准</w:t>
                  </w:r>
                </w:p>
              </w:tc>
            </w:tr>
            <w:tr w14:paraId="048D9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0"/>
                  <w:vAlign w:val="center"/>
                </w:tcPr>
                <w:p w14:paraId="1BC1BE28">
                  <w:pPr>
                    <w:pStyle w:val="163"/>
                    <w:rPr>
                      <w:rFonts w:hint="default" w:ascii="Times New Roman" w:hAnsi="Times New Roman" w:eastAsia="宋体" w:cs="Times New Roman"/>
                      <w:kern w:val="2"/>
                      <w:sz w:val="21"/>
                      <w:szCs w:val="21"/>
                    </w:rPr>
                  </w:pPr>
                </w:p>
              </w:tc>
              <w:tc>
                <w:tcPr>
                  <w:tcW w:w="1243" w:type="pct"/>
                  <w:tcBorders>
                    <w:tl2br w:val="nil"/>
                    <w:tr2bl w:val="nil"/>
                  </w:tcBorders>
                  <w:noWrap w:val="0"/>
                  <w:vAlign w:val="center"/>
                </w:tcPr>
                <w:p w14:paraId="2754C117">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24小时平均</w:t>
                  </w:r>
                </w:p>
              </w:tc>
              <w:tc>
                <w:tcPr>
                  <w:tcW w:w="1281" w:type="pct"/>
                  <w:tcBorders>
                    <w:tl2br w:val="nil"/>
                    <w:tr2bl w:val="nil"/>
                  </w:tcBorders>
                  <w:noWrap w:val="0"/>
                  <w:vAlign w:val="center"/>
                </w:tcPr>
                <w:p w14:paraId="2E783E34">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0.15</w:t>
                  </w:r>
                </w:p>
              </w:tc>
              <w:tc>
                <w:tcPr>
                  <w:tcW w:w="1738" w:type="pct"/>
                  <w:vMerge w:val="continue"/>
                  <w:tcBorders>
                    <w:tl2br w:val="nil"/>
                    <w:tr2bl w:val="nil"/>
                  </w:tcBorders>
                  <w:noWrap w:val="0"/>
                  <w:vAlign w:val="center"/>
                </w:tcPr>
                <w:p w14:paraId="6B912E08">
                  <w:pPr>
                    <w:pStyle w:val="163"/>
                    <w:rPr>
                      <w:rFonts w:hint="default" w:ascii="Times New Roman" w:hAnsi="Times New Roman" w:eastAsia="宋体" w:cs="Times New Roman"/>
                      <w:kern w:val="2"/>
                      <w:sz w:val="21"/>
                      <w:szCs w:val="21"/>
                    </w:rPr>
                  </w:pPr>
                </w:p>
              </w:tc>
            </w:tr>
            <w:tr w14:paraId="28A79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0"/>
                  <w:vAlign w:val="center"/>
                </w:tcPr>
                <w:p w14:paraId="10D31338">
                  <w:pPr>
                    <w:pStyle w:val="163"/>
                    <w:rPr>
                      <w:rFonts w:hint="default" w:ascii="Times New Roman" w:hAnsi="Times New Roman" w:eastAsia="宋体" w:cs="Times New Roman"/>
                      <w:kern w:val="2"/>
                      <w:sz w:val="21"/>
                      <w:szCs w:val="21"/>
                    </w:rPr>
                  </w:pPr>
                </w:p>
              </w:tc>
              <w:tc>
                <w:tcPr>
                  <w:tcW w:w="1243" w:type="pct"/>
                  <w:tcBorders>
                    <w:tl2br w:val="nil"/>
                    <w:tr2bl w:val="nil"/>
                  </w:tcBorders>
                  <w:noWrap w:val="0"/>
                  <w:vAlign w:val="center"/>
                </w:tcPr>
                <w:p w14:paraId="4099CED7">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1小时平均</w:t>
                  </w:r>
                </w:p>
              </w:tc>
              <w:tc>
                <w:tcPr>
                  <w:tcW w:w="1281" w:type="pct"/>
                  <w:tcBorders>
                    <w:tl2br w:val="nil"/>
                    <w:tr2bl w:val="nil"/>
                  </w:tcBorders>
                  <w:noWrap w:val="0"/>
                  <w:vAlign w:val="center"/>
                </w:tcPr>
                <w:p w14:paraId="5E06B043">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0.50</w:t>
                  </w:r>
                </w:p>
              </w:tc>
              <w:tc>
                <w:tcPr>
                  <w:tcW w:w="1738" w:type="pct"/>
                  <w:vMerge w:val="continue"/>
                  <w:tcBorders>
                    <w:tl2br w:val="nil"/>
                    <w:tr2bl w:val="nil"/>
                  </w:tcBorders>
                  <w:noWrap w:val="0"/>
                  <w:vAlign w:val="center"/>
                </w:tcPr>
                <w:p w14:paraId="4BE2E8A5">
                  <w:pPr>
                    <w:pStyle w:val="163"/>
                    <w:rPr>
                      <w:rFonts w:hint="default" w:ascii="Times New Roman" w:hAnsi="Times New Roman" w:eastAsia="宋体" w:cs="Times New Roman"/>
                      <w:kern w:val="2"/>
                      <w:sz w:val="21"/>
                      <w:szCs w:val="21"/>
                    </w:rPr>
                  </w:pPr>
                </w:p>
              </w:tc>
            </w:tr>
            <w:tr w14:paraId="32CBD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tcBorders>
                    <w:tl2br w:val="nil"/>
                    <w:tr2bl w:val="nil"/>
                  </w:tcBorders>
                  <w:noWrap w:val="0"/>
                  <w:vAlign w:val="center"/>
                </w:tcPr>
                <w:p w14:paraId="6D1F2E9D">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NO</w:t>
                  </w:r>
                  <w:r>
                    <w:rPr>
                      <w:rFonts w:hint="default" w:ascii="Times New Roman" w:hAnsi="Times New Roman" w:eastAsia="宋体" w:cs="Times New Roman"/>
                      <w:kern w:val="2"/>
                      <w:sz w:val="21"/>
                      <w:szCs w:val="21"/>
                      <w:vertAlign w:val="subscript"/>
                    </w:rPr>
                    <w:t>2</w:t>
                  </w:r>
                </w:p>
              </w:tc>
              <w:tc>
                <w:tcPr>
                  <w:tcW w:w="1243" w:type="pct"/>
                  <w:tcBorders>
                    <w:tl2br w:val="nil"/>
                    <w:tr2bl w:val="nil"/>
                  </w:tcBorders>
                  <w:noWrap w:val="0"/>
                  <w:vAlign w:val="center"/>
                </w:tcPr>
                <w:p w14:paraId="3C8FABB6">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年平均</w:t>
                  </w:r>
                </w:p>
              </w:tc>
              <w:tc>
                <w:tcPr>
                  <w:tcW w:w="1281" w:type="pct"/>
                  <w:tcBorders>
                    <w:tl2br w:val="nil"/>
                    <w:tr2bl w:val="nil"/>
                  </w:tcBorders>
                  <w:noWrap w:val="0"/>
                  <w:vAlign w:val="center"/>
                </w:tcPr>
                <w:p w14:paraId="72FCBE5A">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0.08</w:t>
                  </w:r>
                </w:p>
              </w:tc>
              <w:tc>
                <w:tcPr>
                  <w:tcW w:w="1738" w:type="pct"/>
                  <w:vMerge w:val="continue"/>
                  <w:tcBorders>
                    <w:tl2br w:val="nil"/>
                    <w:tr2bl w:val="nil"/>
                  </w:tcBorders>
                  <w:noWrap w:val="0"/>
                  <w:vAlign w:val="center"/>
                </w:tcPr>
                <w:p w14:paraId="36CB7768">
                  <w:pPr>
                    <w:pStyle w:val="163"/>
                    <w:rPr>
                      <w:rFonts w:hint="default" w:ascii="Times New Roman" w:hAnsi="Times New Roman" w:eastAsia="宋体" w:cs="Times New Roman"/>
                      <w:kern w:val="2"/>
                      <w:sz w:val="21"/>
                      <w:szCs w:val="21"/>
                    </w:rPr>
                  </w:pPr>
                </w:p>
              </w:tc>
            </w:tr>
            <w:tr w14:paraId="383E1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0"/>
                  <w:vAlign w:val="center"/>
                </w:tcPr>
                <w:p w14:paraId="55799C41">
                  <w:pPr>
                    <w:pStyle w:val="163"/>
                    <w:rPr>
                      <w:rFonts w:hint="default" w:ascii="Times New Roman" w:hAnsi="Times New Roman" w:eastAsia="宋体" w:cs="Times New Roman"/>
                      <w:kern w:val="2"/>
                      <w:sz w:val="21"/>
                      <w:szCs w:val="21"/>
                    </w:rPr>
                  </w:pPr>
                </w:p>
              </w:tc>
              <w:tc>
                <w:tcPr>
                  <w:tcW w:w="1243" w:type="pct"/>
                  <w:tcBorders>
                    <w:tl2br w:val="nil"/>
                    <w:tr2bl w:val="nil"/>
                  </w:tcBorders>
                  <w:noWrap w:val="0"/>
                  <w:vAlign w:val="center"/>
                </w:tcPr>
                <w:p w14:paraId="067ACD7F">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24小时平均</w:t>
                  </w:r>
                </w:p>
              </w:tc>
              <w:tc>
                <w:tcPr>
                  <w:tcW w:w="1281" w:type="pct"/>
                  <w:tcBorders>
                    <w:tl2br w:val="nil"/>
                    <w:tr2bl w:val="nil"/>
                  </w:tcBorders>
                  <w:noWrap w:val="0"/>
                  <w:vAlign w:val="center"/>
                </w:tcPr>
                <w:p w14:paraId="7A80110A">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0.12</w:t>
                  </w:r>
                </w:p>
              </w:tc>
              <w:tc>
                <w:tcPr>
                  <w:tcW w:w="1738" w:type="pct"/>
                  <w:vMerge w:val="continue"/>
                  <w:tcBorders>
                    <w:tl2br w:val="nil"/>
                    <w:tr2bl w:val="nil"/>
                  </w:tcBorders>
                  <w:noWrap w:val="0"/>
                  <w:vAlign w:val="center"/>
                </w:tcPr>
                <w:p w14:paraId="08403DC7">
                  <w:pPr>
                    <w:pStyle w:val="163"/>
                    <w:rPr>
                      <w:rFonts w:hint="default" w:ascii="Times New Roman" w:hAnsi="Times New Roman" w:eastAsia="宋体" w:cs="Times New Roman"/>
                      <w:kern w:val="2"/>
                      <w:sz w:val="21"/>
                      <w:szCs w:val="21"/>
                    </w:rPr>
                  </w:pPr>
                </w:p>
              </w:tc>
            </w:tr>
            <w:tr w14:paraId="38B42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0"/>
                  <w:vAlign w:val="center"/>
                </w:tcPr>
                <w:p w14:paraId="4B96BD9B">
                  <w:pPr>
                    <w:pStyle w:val="163"/>
                    <w:rPr>
                      <w:rFonts w:hint="default" w:ascii="Times New Roman" w:hAnsi="Times New Roman" w:eastAsia="宋体" w:cs="Times New Roman"/>
                      <w:kern w:val="2"/>
                      <w:sz w:val="21"/>
                      <w:szCs w:val="21"/>
                    </w:rPr>
                  </w:pPr>
                </w:p>
              </w:tc>
              <w:tc>
                <w:tcPr>
                  <w:tcW w:w="1243" w:type="pct"/>
                  <w:tcBorders>
                    <w:tl2br w:val="nil"/>
                    <w:tr2bl w:val="nil"/>
                  </w:tcBorders>
                  <w:noWrap w:val="0"/>
                  <w:vAlign w:val="center"/>
                </w:tcPr>
                <w:p w14:paraId="148F5A66">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1小时平均</w:t>
                  </w:r>
                </w:p>
              </w:tc>
              <w:tc>
                <w:tcPr>
                  <w:tcW w:w="1281" w:type="pct"/>
                  <w:tcBorders>
                    <w:tl2br w:val="nil"/>
                    <w:tr2bl w:val="nil"/>
                  </w:tcBorders>
                  <w:noWrap w:val="0"/>
                  <w:vAlign w:val="center"/>
                </w:tcPr>
                <w:p w14:paraId="7B032789">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0.24</w:t>
                  </w:r>
                </w:p>
              </w:tc>
              <w:tc>
                <w:tcPr>
                  <w:tcW w:w="1738" w:type="pct"/>
                  <w:vMerge w:val="continue"/>
                  <w:tcBorders>
                    <w:tl2br w:val="nil"/>
                    <w:tr2bl w:val="nil"/>
                  </w:tcBorders>
                  <w:noWrap w:val="0"/>
                  <w:vAlign w:val="center"/>
                </w:tcPr>
                <w:p w14:paraId="6A9508F3">
                  <w:pPr>
                    <w:pStyle w:val="163"/>
                    <w:rPr>
                      <w:rFonts w:hint="default" w:ascii="Times New Roman" w:hAnsi="Times New Roman" w:eastAsia="宋体" w:cs="Times New Roman"/>
                      <w:kern w:val="2"/>
                      <w:sz w:val="21"/>
                      <w:szCs w:val="21"/>
                    </w:rPr>
                  </w:pPr>
                </w:p>
              </w:tc>
            </w:tr>
            <w:tr w14:paraId="5A4B4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tcBorders>
                    <w:tl2br w:val="nil"/>
                    <w:tr2bl w:val="nil"/>
                  </w:tcBorders>
                  <w:noWrap w:val="0"/>
                  <w:vAlign w:val="center"/>
                </w:tcPr>
                <w:p w14:paraId="1691896E">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CO</w:t>
                  </w:r>
                </w:p>
              </w:tc>
              <w:tc>
                <w:tcPr>
                  <w:tcW w:w="1243" w:type="pct"/>
                  <w:tcBorders>
                    <w:tl2br w:val="nil"/>
                    <w:tr2bl w:val="nil"/>
                  </w:tcBorders>
                  <w:noWrap w:val="0"/>
                  <w:vAlign w:val="center"/>
                </w:tcPr>
                <w:p w14:paraId="0E30FABE">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24小时平均</w:t>
                  </w:r>
                </w:p>
              </w:tc>
              <w:tc>
                <w:tcPr>
                  <w:tcW w:w="1281" w:type="pct"/>
                  <w:tcBorders>
                    <w:tl2br w:val="nil"/>
                    <w:tr2bl w:val="nil"/>
                  </w:tcBorders>
                  <w:noWrap w:val="0"/>
                  <w:vAlign w:val="center"/>
                </w:tcPr>
                <w:p w14:paraId="6E024988">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1738" w:type="pct"/>
                  <w:vMerge w:val="continue"/>
                  <w:tcBorders>
                    <w:tl2br w:val="nil"/>
                    <w:tr2bl w:val="nil"/>
                  </w:tcBorders>
                  <w:noWrap w:val="0"/>
                  <w:vAlign w:val="center"/>
                </w:tcPr>
                <w:p w14:paraId="4E279C86">
                  <w:pPr>
                    <w:pStyle w:val="163"/>
                    <w:rPr>
                      <w:rFonts w:hint="default" w:ascii="Times New Roman" w:hAnsi="Times New Roman" w:eastAsia="宋体" w:cs="Times New Roman"/>
                      <w:kern w:val="2"/>
                      <w:sz w:val="21"/>
                      <w:szCs w:val="21"/>
                    </w:rPr>
                  </w:pPr>
                </w:p>
              </w:tc>
            </w:tr>
            <w:tr w14:paraId="7DA00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0"/>
                  <w:vAlign w:val="center"/>
                </w:tcPr>
                <w:p w14:paraId="188AF2E7">
                  <w:pPr>
                    <w:pStyle w:val="163"/>
                    <w:rPr>
                      <w:rFonts w:hint="default" w:ascii="Times New Roman" w:hAnsi="Times New Roman" w:eastAsia="宋体" w:cs="Times New Roman"/>
                      <w:kern w:val="2"/>
                      <w:sz w:val="21"/>
                      <w:szCs w:val="21"/>
                    </w:rPr>
                  </w:pPr>
                </w:p>
              </w:tc>
              <w:tc>
                <w:tcPr>
                  <w:tcW w:w="1243" w:type="pct"/>
                  <w:tcBorders>
                    <w:tl2br w:val="nil"/>
                    <w:tr2bl w:val="nil"/>
                  </w:tcBorders>
                  <w:noWrap w:val="0"/>
                  <w:vAlign w:val="center"/>
                </w:tcPr>
                <w:p w14:paraId="1F42ACE5">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1小时平均</w:t>
                  </w:r>
                </w:p>
              </w:tc>
              <w:tc>
                <w:tcPr>
                  <w:tcW w:w="1281" w:type="pct"/>
                  <w:tcBorders>
                    <w:tl2br w:val="nil"/>
                    <w:tr2bl w:val="nil"/>
                  </w:tcBorders>
                  <w:noWrap w:val="0"/>
                  <w:vAlign w:val="center"/>
                </w:tcPr>
                <w:p w14:paraId="02FCA13D">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w:t>
                  </w:r>
                </w:p>
              </w:tc>
              <w:tc>
                <w:tcPr>
                  <w:tcW w:w="1738" w:type="pct"/>
                  <w:vMerge w:val="continue"/>
                  <w:tcBorders>
                    <w:tl2br w:val="nil"/>
                    <w:tr2bl w:val="nil"/>
                  </w:tcBorders>
                  <w:noWrap w:val="0"/>
                  <w:vAlign w:val="center"/>
                </w:tcPr>
                <w:p w14:paraId="597C0325">
                  <w:pPr>
                    <w:pStyle w:val="163"/>
                    <w:rPr>
                      <w:rFonts w:hint="default" w:ascii="Times New Roman" w:hAnsi="Times New Roman" w:eastAsia="宋体" w:cs="Times New Roman"/>
                      <w:kern w:val="2"/>
                      <w:sz w:val="21"/>
                      <w:szCs w:val="21"/>
                    </w:rPr>
                  </w:pPr>
                </w:p>
              </w:tc>
            </w:tr>
            <w:tr w14:paraId="39F3C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tcBorders>
                    <w:tl2br w:val="nil"/>
                    <w:tr2bl w:val="nil"/>
                  </w:tcBorders>
                  <w:noWrap w:val="0"/>
                  <w:vAlign w:val="center"/>
                </w:tcPr>
                <w:p w14:paraId="17A1371F">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O</w:t>
                  </w:r>
                  <w:r>
                    <w:rPr>
                      <w:rFonts w:hint="default" w:ascii="Times New Roman" w:hAnsi="Times New Roman" w:eastAsia="宋体" w:cs="Times New Roman"/>
                      <w:kern w:val="2"/>
                      <w:sz w:val="21"/>
                      <w:szCs w:val="21"/>
                      <w:vertAlign w:val="subscript"/>
                    </w:rPr>
                    <w:t>3</w:t>
                  </w:r>
                </w:p>
              </w:tc>
              <w:tc>
                <w:tcPr>
                  <w:tcW w:w="1243" w:type="pct"/>
                  <w:tcBorders>
                    <w:tl2br w:val="nil"/>
                    <w:tr2bl w:val="nil"/>
                  </w:tcBorders>
                  <w:noWrap w:val="0"/>
                  <w:vAlign w:val="center"/>
                </w:tcPr>
                <w:p w14:paraId="55521189">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日最大8小时平均</w:t>
                  </w:r>
                </w:p>
              </w:tc>
              <w:tc>
                <w:tcPr>
                  <w:tcW w:w="1281" w:type="pct"/>
                  <w:tcBorders>
                    <w:tl2br w:val="nil"/>
                    <w:tr2bl w:val="nil"/>
                  </w:tcBorders>
                  <w:noWrap w:val="0"/>
                  <w:vAlign w:val="center"/>
                </w:tcPr>
                <w:p w14:paraId="74A1111D">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0.16</w:t>
                  </w:r>
                </w:p>
              </w:tc>
              <w:tc>
                <w:tcPr>
                  <w:tcW w:w="1738" w:type="pct"/>
                  <w:vMerge w:val="continue"/>
                  <w:tcBorders>
                    <w:tl2br w:val="nil"/>
                    <w:tr2bl w:val="nil"/>
                  </w:tcBorders>
                  <w:noWrap w:val="0"/>
                  <w:vAlign w:val="center"/>
                </w:tcPr>
                <w:p w14:paraId="48170F9B">
                  <w:pPr>
                    <w:pStyle w:val="163"/>
                    <w:rPr>
                      <w:rFonts w:hint="default" w:ascii="Times New Roman" w:hAnsi="Times New Roman" w:eastAsia="宋体" w:cs="Times New Roman"/>
                      <w:kern w:val="2"/>
                      <w:sz w:val="21"/>
                      <w:szCs w:val="21"/>
                    </w:rPr>
                  </w:pPr>
                </w:p>
              </w:tc>
            </w:tr>
            <w:tr w14:paraId="32402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0"/>
                  <w:vAlign w:val="center"/>
                </w:tcPr>
                <w:p w14:paraId="6CFA07C0">
                  <w:pPr>
                    <w:pStyle w:val="163"/>
                    <w:rPr>
                      <w:rFonts w:hint="default" w:ascii="Times New Roman" w:hAnsi="Times New Roman" w:eastAsia="宋体" w:cs="Times New Roman"/>
                      <w:kern w:val="2"/>
                      <w:sz w:val="21"/>
                      <w:szCs w:val="21"/>
                    </w:rPr>
                  </w:pPr>
                </w:p>
              </w:tc>
              <w:tc>
                <w:tcPr>
                  <w:tcW w:w="1243" w:type="pct"/>
                  <w:tcBorders>
                    <w:tl2br w:val="nil"/>
                    <w:tr2bl w:val="nil"/>
                  </w:tcBorders>
                  <w:noWrap w:val="0"/>
                  <w:vAlign w:val="center"/>
                </w:tcPr>
                <w:p w14:paraId="74E56FA5">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1小时平均</w:t>
                  </w:r>
                </w:p>
              </w:tc>
              <w:tc>
                <w:tcPr>
                  <w:tcW w:w="1281" w:type="pct"/>
                  <w:tcBorders>
                    <w:tl2br w:val="nil"/>
                    <w:tr2bl w:val="nil"/>
                  </w:tcBorders>
                  <w:noWrap w:val="0"/>
                  <w:vAlign w:val="center"/>
                </w:tcPr>
                <w:p w14:paraId="1804198B">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0.2</w:t>
                  </w:r>
                </w:p>
              </w:tc>
              <w:tc>
                <w:tcPr>
                  <w:tcW w:w="1738" w:type="pct"/>
                  <w:vMerge w:val="continue"/>
                  <w:tcBorders>
                    <w:tl2br w:val="nil"/>
                    <w:tr2bl w:val="nil"/>
                  </w:tcBorders>
                  <w:noWrap w:val="0"/>
                  <w:vAlign w:val="center"/>
                </w:tcPr>
                <w:p w14:paraId="01EC844F">
                  <w:pPr>
                    <w:pStyle w:val="163"/>
                    <w:rPr>
                      <w:rFonts w:hint="default" w:ascii="Times New Roman" w:hAnsi="Times New Roman" w:eastAsia="宋体" w:cs="Times New Roman"/>
                      <w:kern w:val="2"/>
                      <w:sz w:val="21"/>
                      <w:szCs w:val="21"/>
                    </w:rPr>
                  </w:pPr>
                </w:p>
              </w:tc>
            </w:tr>
            <w:tr w14:paraId="0E959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tcBorders>
                    <w:tl2br w:val="nil"/>
                    <w:tr2bl w:val="nil"/>
                  </w:tcBorders>
                  <w:noWrap w:val="0"/>
                  <w:vAlign w:val="center"/>
                </w:tcPr>
                <w:p w14:paraId="7D41A73B">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PM</w:t>
                  </w:r>
                  <w:r>
                    <w:rPr>
                      <w:rFonts w:hint="default" w:ascii="Times New Roman" w:hAnsi="Times New Roman" w:eastAsia="宋体" w:cs="Times New Roman"/>
                      <w:kern w:val="2"/>
                      <w:sz w:val="21"/>
                      <w:szCs w:val="21"/>
                      <w:vertAlign w:val="subscript"/>
                    </w:rPr>
                    <w:t>10</w:t>
                  </w:r>
                </w:p>
              </w:tc>
              <w:tc>
                <w:tcPr>
                  <w:tcW w:w="1243" w:type="pct"/>
                  <w:tcBorders>
                    <w:tl2br w:val="nil"/>
                    <w:tr2bl w:val="nil"/>
                  </w:tcBorders>
                  <w:noWrap w:val="0"/>
                  <w:vAlign w:val="center"/>
                </w:tcPr>
                <w:p w14:paraId="3C44E569">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年平均</w:t>
                  </w:r>
                </w:p>
              </w:tc>
              <w:tc>
                <w:tcPr>
                  <w:tcW w:w="1281" w:type="pct"/>
                  <w:tcBorders>
                    <w:tl2br w:val="nil"/>
                    <w:tr2bl w:val="nil"/>
                  </w:tcBorders>
                  <w:noWrap w:val="0"/>
                  <w:vAlign w:val="center"/>
                </w:tcPr>
                <w:p w14:paraId="3A727226">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0.07</w:t>
                  </w:r>
                </w:p>
              </w:tc>
              <w:tc>
                <w:tcPr>
                  <w:tcW w:w="1738" w:type="pct"/>
                  <w:vMerge w:val="continue"/>
                  <w:tcBorders>
                    <w:tl2br w:val="nil"/>
                    <w:tr2bl w:val="nil"/>
                  </w:tcBorders>
                  <w:noWrap w:val="0"/>
                  <w:vAlign w:val="center"/>
                </w:tcPr>
                <w:p w14:paraId="54FA3252">
                  <w:pPr>
                    <w:pStyle w:val="163"/>
                    <w:rPr>
                      <w:rFonts w:hint="default" w:ascii="Times New Roman" w:hAnsi="Times New Roman" w:eastAsia="宋体" w:cs="Times New Roman"/>
                      <w:kern w:val="2"/>
                      <w:sz w:val="21"/>
                      <w:szCs w:val="21"/>
                    </w:rPr>
                  </w:pPr>
                </w:p>
              </w:tc>
            </w:tr>
            <w:tr w14:paraId="7CF0D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0"/>
                  <w:vAlign w:val="center"/>
                </w:tcPr>
                <w:p w14:paraId="73228390">
                  <w:pPr>
                    <w:pStyle w:val="163"/>
                    <w:rPr>
                      <w:rFonts w:hint="default" w:ascii="Times New Roman" w:hAnsi="Times New Roman" w:eastAsia="宋体" w:cs="Times New Roman"/>
                      <w:kern w:val="2"/>
                      <w:sz w:val="21"/>
                      <w:szCs w:val="21"/>
                    </w:rPr>
                  </w:pPr>
                </w:p>
              </w:tc>
              <w:tc>
                <w:tcPr>
                  <w:tcW w:w="1243" w:type="pct"/>
                  <w:tcBorders>
                    <w:tl2br w:val="nil"/>
                    <w:tr2bl w:val="nil"/>
                  </w:tcBorders>
                  <w:noWrap w:val="0"/>
                  <w:vAlign w:val="center"/>
                </w:tcPr>
                <w:p w14:paraId="285A6B3D">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24小时平均</w:t>
                  </w:r>
                </w:p>
              </w:tc>
              <w:tc>
                <w:tcPr>
                  <w:tcW w:w="1281" w:type="pct"/>
                  <w:tcBorders>
                    <w:tl2br w:val="nil"/>
                    <w:tr2bl w:val="nil"/>
                  </w:tcBorders>
                  <w:noWrap w:val="0"/>
                  <w:vAlign w:val="center"/>
                </w:tcPr>
                <w:p w14:paraId="3A75101D">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0.15</w:t>
                  </w:r>
                </w:p>
              </w:tc>
              <w:tc>
                <w:tcPr>
                  <w:tcW w:w="1738" w:type="pct"/>
                  <w:vMerge w:val="continue"/>
                  <w:tcBorders>
                    <w:tl2br w:val="nil"/>
                    <w:tr2bl w:val="nil"/>
                  </w:tcBorders>
                  <w:noWrap w:val="0"/>
                  <w:vAlign w:val="center"/>
                </w:tcPr>
                <w:p w14:paraId="00711624">
                  <w:pPr>
                    <w:pStyle w:val="163"/>
                    <w:rPr>
                      <w:rFonts w:hint="default" w:ascii="Times New Roman" w:hAnsi="Times New Roman" w:eastAsia="宋体" w:cs="Times New Roman"/>
                      <w:kern w:val="2"/>
                      <w:sz w:val="21"/>
                      <w:szCs w:val="21"/>
                    </w:rPr>
                  </w:pPr>
                </w:p>
              </w:tc>
            </w:tr>
            <w:tr w14:paraId="023A8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tcBorders>
                    <w:tl2br w:val="nil"/>
                    <w:tr2bl w:val="nil"/>
                  </w:tcBorders>
                  <w:noWrap w:val="0"/>
                  <w:vAlign w:val="center"/>
                </w:tcPr>
                <w:p w14:paraId="5C8A473C">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PM</w:t>
                  </w:r>
                  <w:r>
                    <w:rPr>
                      <w:rFonts w:hint="default" w:ascii="Times New Roman" w:hAnsi="Times New Roman" w:eastAsia="宋体" w:cs="Times New Roman"/>
                      <w:kern w:val="2"/>
                      <w:sz w:val="21"/>
                      <w:szCs w:val="21"/>
                      <w:vertAlign w:val="subscript"/>
                    </w:rPr>
                    <w:t>2.5</w:t>
                  </w:r>
                </w:p>
              </w:tc>
              <w:tc>
                <w:tcPr>
                  <w:tcW w:w="1243" w:type="pct"/>
                  <w:tcBorders>
                    <w:tl2br w:val="nil"/>
                    <w:tr2bl w:val="nil"/>
                  </w:tcBorders>
                  <w:noWrap w:val="0"/>
                  <w:vAlign w:val="center"/>
                </w:tcPr>
                <w:p w14:paraId="7A647DD6">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年平均</w:t>
                  </w:r>
                </w:p>
              </w:tc>
              <w:tc>
                <w:tcPr>
                  <w:tcW w:w="1281" w:type="pct"/>
                  <w:tcBorders>
                    <w:tl2br w:val="nil"/>
                    <w:tr2bl w:val="nil"/>
                  </w:tcBorders>
                  <w:noWrap w:val="0"/>
                  <w:vAlign w:val="center"/>
                </w:tcPr>
                <w:p w14:paraId="74FCAF01">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0.035</w:t>
                  </w:r>
                </w:p>
              </w:tc>
              <w:tc>
                <w:tcPr>
                  <w:tcW w:w="1738" w:type="pct"/>
                  <w:vMerge w:val="continue"/>
                  <w:tcBorders>
                    <w:tl2br w:val="nil"/>
                    <w:tr2bl w:val="nil"/>
                  </w:tcBorders>
                  <w:noWrap w:val="0"/>
                  <w:vAlign w:val="center"/>
                </w:tcPr>
                <w:p w14:paraId="5CCEB7E9">
                  <w:pPr>
                    <w:pStyle w:val="163"/>
                    <w:rPr>
                      <w:rFonts w:hint="default" w:ascii="Times New Roman" w:hAnsi="Times New Roman" w:eastAsia="宋体" w:cs="Times New Roman"/>
                      <w:kern w:val="2"/>
                      <w:sz w:val="21"/>
                      <w:szCs w:val="21"/>
                    </w:rPr>
                  </w:pPr>
                </w:p>
              </w:tc>
            </w:tr>
            <w:tr w14:paraId="13D3B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0"/>
                  <w:vAlign w:val="center"/>
                </w:tcPr>
                <w:p w14:paraId="00303DFF">
                  <w:pPr>
                    <w:pStyle w:val="163"/>
                    <w:rPr>
                      <w:rFonts w:hint="default" w:ascii="Times New Roman" w:hAnsi="Times New Roman" w:eastAsia="宋体" w:cs="Times New Roman"/>
                      <w:kern w:val="2"/>
                      <w:sz w:val="21"/>
                      <w:szCs w:val="21"/>
                    </w:rPr>
                  </w:pPr>
                </w:p>
              </w:tc>
              <w:tc>
                <w:tcPr>
                  <w:tcW w:w="1243" w:type="pct"/>
                  <w:tcBorders>
                    <w:tl2br w:val="nil"/>
                    <w:tr2bl w:val="nil"/>
                  </w:tcBorders>
                  <w:noWrap w:val="0"/>
                  <w:vAlign w:val="center"/>
                </w:tcPr>
                <w:p w14:paraId="3716A66B">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24小时平均</w:t>
                  </w:r>
                </w:p>
              </w:tc>
              <w:tc>
                <w:tcPr>
                  <w:tcW w:w="1281" w:type="pct"/>
                  <w:tcBorders>
                    <w:tl2br w:val="nil"/>
                    <w:tr2bl w:val="nil"/>
                  </w:tcBorders>
                  <w:noWrap w:val="0"/>
                  <w:vAlign w:val="center"/>
                </w:tcPr>
                <w:p w14:paraId="67E7F18A">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0.075</w:t>
                  </w:r>
                </w:p>
              </w:tc>
              <w:tc>
                <w:tcPr>
                  <w:tcW w:w="1738" w:type="pct"/>
                  <w:vMerge w:val="continue"/>
                  <w:tcBorders>
                    <w:tl2br w:val="nil"/>
                    <w:tr2bl w:val="nil"/>
                  </w:tcBorders>
                  <w:noWrap w:val="0"/>
                  <w:vAlign w:val="center"/>
                </w:tcPr>
                <w:p w14:paraId="0C92A76E">
                  <w:pPr>
                    <w:pStyle w:val="163"/>
                    <w:rPr>
                      <w:rFonts w:hint="default" w:ascii="Times New Roman" w:hAnsi="Times New Roman" w:eastAsia="宋体" w:cs="Times New Roman"/>
                      <w:kern w:val="2"/>
                      <w:sz w:val="21"/>
                      <w:szCs w:val="21"/>
                    </w:rPr>
                  </w:pPr>
                </w:p>
              </w:tc>
            </w:tr>
            <w:tr w14:paraId="280EA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tcBorders>
                    <w:tl2br w:val="nil"/>
                    <w:tr2bl w:val="nil"/>
                  </w:tcBorders>
                  <w:noWrap w:val="0"/>
                  <w:vAlign w:val="center"/>
                </w:tcPr>
                <w:p w14:paraId="7C3D3333">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TSP</w:t>
                  </w:r>
                </w:p>
              </w:tc>
              <w:tc>
                <w:tcPr>
                  <w:tcW w:w="1243" w:type="pct"/>
                  <w:tcBorders>
                    <w:tl2br w:val="nil"/>
                    <w:tr2bl w:val="nil"/>
                  </w:tcBorders>
                  <w:noWrap w:val="0"/>
                  <w:vAlign w:val="center"/>
                </w:tcPr>
                <w:p w14:paraId="0724A4DD">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24小时平均</w:t>
                  </w:r>
                </w:p>
              </w:tc>
              <w:tc>
                <w:tcPr>
                  <w:tcW w:w="1281" w:type="pct"/>
                  <w:tcBorders>
                    <w:tl2br w:val="nil"/>
                    <w:tr2bl w:val="nil"/>
                  </w:tcBorders>
                  <w:noWrap w:val="0"/>
                  <w:vAlign w:val="center"/>
                </w:tcPr>
                <w:p w14:paraId="51B47FC0">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0.3</w:t>
                  </w:r>
                </w:p>
              </w:tc>
              <w:tc>
                <w:tcPr>
                  <w:tcW w:w="1738" w:type="pct"/>
                  <w:vMerge w:val="continue"/>
                  <w:tcBorders>
                    <w:tl2br w:val="nil"/>
                    <w:tr2bl w:val="nil"/>
                  </w:tcBorders>
                  <w:noWrap w:val="0"/>
                  <w:vAlign w:val="center"/>
                </w:tcPr>
                <w:p w14:paraId="31F89BC1">
                  <w:pPr>
                    <w:pStyle w:val="163"/>
                    <w:rPr>
                      <w:rFonts w:hint="default" w:ascii="Times New Roman" w:hAnsi="Times New Roman" w:eastAsia="宋体" w:cs="Times New Roman"/>
                      <w:kern w:val="2"/>
                      <w:sz w:val="21"/>
                      <w:szCs w:val="21"/>
                    </w:rPr>
                  </w:pPr>
                </w:p>
              </w:tc>
            </w:tr>
            <w:tr w14:paraId="7E53A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0"/>
                  <w:vAlign w:val="center"/>
                </w:tcPr>
                <w:p w14:paraId="2D5F10DC">
                  <w:pPr>
                    <w:pStyle w:val="163"/>
                    <w:rPr>
                      <w:rFonts w:hint="default" w:ascii="Times New Roman" w:hAnsi="Times New Roman" w:eastAsia="宋体" w:cs="Times New Roman"/>
                      <w:kern w:val="2"/>
                      <w:sz w:val="21"/>
                      <w:szCs w:val="21"/>
                    </w:rPr>
                  </w:pPr>
                </w:p>
              </w:tc>
              <w:tc>
                <w:tcPr>
                  <w:tcW w:w="1243" w:type="pct"/>
                  <w:tcBorders>
                    <w:tl2br w:val="nil"/>
                    <w:tr2bl w:val="nil"/>
                  </w:tcBorders>
                  <w:noWrap w:val="0"/>
                  <w:vAlign w:val="center"/>
                </w:tcPr>
                <w:p w14:paraId="07DEEDB1">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年平均</w:t>
                  </w:r>
                </w:p>
              </w:tc>
              <w:tc>
                <w:tcPr>
                  <w:tcW w:w="1281" w:type="pct"/>
                  <w:tcBorders>
                    <w:tl2br w:val="nil"/>
                    <w:tr2bl w:val="nil"/>
                  </w:tcBorders>
                  <w:noWrap w:val="0"/>
                  <w:vAlign w:val="center"/>
                </w:tcPr>
                <w:p w14:paraId="11FA652A">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0.2</w:t>
                  </w:r>
                </w:p>
              </w:tc>
              <w:tc>
                <w:tcPr>
                  <w:tcW w:w="1738" w:type="pct"/>
                  <w:vMerge w:val="continue"/>
                  <w:tcBorders>
                    <w:tl2br w:val="nil"/>
                    <w:tr2bl w:val="nil"/>
                  </w:tcBorders>
                  <w:noWrap w:val="0"/>
                  <w:vAlign w:val="center"/>
                </w:tcPr>
                <w:p w14:paraId="6B2B4BF8">
                  <w:pPr>
                    <w:pStyle w:val="163"/>
                    <w:rPr>
                      <w:rFonts w:hint="default" w:ascii="Times New Roman" w:hAnsi="Times New Roman" w:eastAsia="宋体" w:cs="Times New Roman"/>
                      <w:kern w:val="2"/>
                      <w:sz w:val="21"/>
                      <w:szCs w:val="21"/>
                    </w:rPr>
                  </w:pPr>
                </w:p>
              </w:tc>
            </w:tr>
            <w:tr w14:paraId="1AEC2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tcBorders>
                    <w:tl2br w:val="nil"/>
                    <w:tr2bl w:val="nil"/>
                  </w:tcBorders>
                  <w:noWrap w:val="0"/>
                  <w:vAlign w:val="center"/>
                </w:tcPr>
                <w:p w14:paraId="2AB9C36B">
                  <w:pPr>
                    <w:pStyle w:val="163"/>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氨</w:t>
                  </w:r>
                </w:p>
              </w:tc>
              <w:tc>
                <w:tcPr>
                  <w:tcW w:w="1243" w:type="pct"/>
                  <w:tcBorders>
                    <w:tl2br w:val="nil"/>
                    <w:tr2bl w:val="nil"/>
                  </w:tcBorders>
                  <w:noWrap w:val="0"/>
                  <w:vAlign w:val="center"/>
                </w:tcPr>
                <w:p w14:paraId="5BA68791">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1小时平均</w:t>
                  </w:r>
                </w:p>
              </w:tc>
              <w:tc>
                <w:tcPr>
                  <w:tcW w:w="1281" w:type="pct"/>
                  <w:tcBorders>
                    <w:tl2br w:val="nil"/>
                    <w:tr2bl w:val="nil"/>
                  </w:tcBorders>
                  <w:noWrap w:val="0"/>
                  <w:vAlign w:val="center"/>
                </w:tcPr>
                <w:p w14:paraId="0AF21661">
                  <w:pPr>
                    <w:pStyle w:val="163"/>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w:t>
                  </w:r>
                </w:p>
              </w:tc>
              <w:tc>
                <w:tcPr>
                  <w:tcW w:w="1738" w:type="pct"/>
                  <w:vMerge w:val="restart"/>
                  <w:tcBorders>
                    <w:tl2br w:val="nil"/>
                    <w:tr2bl w:val="nil"/>
                  </w:tcBorders>
                  <w:noWrap w:val="0"/>
                  <w:vAlign w:val="center"/>
                </w:tcPr>
                <w:p w14:paraId="1598DD4E">
                  <w:pPr>
                    <w:keepNext w:val="0"/>
                    <w:keepLines w:val="0"/>
                    <w:widowControl/>
                    <w:suppressLineNumbers w:val="0"/>
                    <w:jc w:val="center"/>
                    <w:rPr>
                      <w:rFonts w:hint="default" w:ascii="Times New Roman" w:hAnsi="Times New Roman" w:eastAsia="宋体" w:cs="Times New Roman"/>
                      <w:kern w:val="2"/>
                      <w:sz w:val="21"/>
                      <w:szCs w:val="21"/>
                    </w:rPr>
                  </w:pPr>
                  <w:r>
                    <w:rPr>
                      <w:rFonts w:hint="eastAsia" w:ascii="宋体" w:hAnsi="宋体" w:eastAsia="宋体" w:cs="宋体"/>
                      <w:color w:val="000000"/>
                      <w:kern w:val="0"/>
                      <w:sz w:val="21"/>
                      <w:szCs w:val="21"/>
                      <w:lang w:val="en-US" w:eastAsia="zh-CN" w:bidi="ar"/>
                    </w:rPr>
                    <w:t>《环境影响评价技术导则 大气环境》</w:t>
                  </w:r>
                  <w:r>
                    <w:rPr>
                      <w:rFonts w:hint="default" w:ascii="Times New Roman" w:hAnsi="Times New Roman" w:eastAsia="宋体" w:cs="Times New Roman"/>
                      <w:color w:val="000000"/>
                      <w:kern w:val="0"/>
                      <w:sz w:val="21"/>
                      <w:szCs w:val="21"/>
                      <w:lang w:val="en-US" w:eastAsia="zh-CN" w:bidi="ar"/>
                    </w:rPr>
                    <w:t>(HJ2.2-2018</w:t>
                  </w:r>
                  <w:r>
                    <w:rPr>
                      <w:rFonts w:hint="eastAsia"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附录 </w:t>
                  </w:r>
                  <w:r>
                    <w:rPr>
                      <w:rFonts w:hint="default" w:ascii="Times New Roman" w:hAnsi="Times New Roman" w:eastAsia="宋体" w:cs="Times New Roman"/>
                      <w:color w:val="000000"/>
                      <w:kern w:val="0"/>
                      <w:sz w:val="21"/>
                      <w:szCs w:val="21"/>
                      <w:lang w:val="en-US" w:eastAsia="zh-CN" w:bidi="ar"/>
                    </w:rPr>
                    <w:t>D</w:t>
                  </w:r>
                </w:p>
              </w:tc>
            </w:tr>
            <w:tr w14:paraId="572F7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tcBorders>
                    <w:tl2br w:val="nil"/>
                    <w:tr2bl w:val="nil"/>
                  </w:tcBorders>
                  <w:noWrap w:val="0"/>
                  <w:vAlign w:val="center"/>
                </w:tcPr>
                <w:p w14:paraId="39B2A895">
                  <w:pPr>
                    <w:pStyle w:val="163"/>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硫化氢</w:t>
                  </w:r>
                </w:p>
              </w:tc>
              <w:tc>
                <w:tcPr>
                  <w:tcW w:w="1243" w:type="pct"/>
                  <w:tcBorders>
                    <w:tl2br w:val="nil"/>
                    <w:tr2bl w:val="nil"/>
                  </w:tcBorders>
                  <w:noWrap w:val="0"/>
                  <w:vAlign w:val="center"/>
                </w:tcPr>
                <w:p w14:paraId="1765183C">
                  <w:pPr>
                    <w:pStyle w:val="163"/>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1小时平均</w:t>
                  </w:r>
                </w:p>
              </w:tc>
              <w:tc>
                <w:tcPr>
                  <w:tcW w:w="1281" w:type="pct"/>
                  <w:tcBorders>
                    <w:tl2br w:val="nil"/>
                    <w:tr2bl w:val="nil"/>
                  </w:tcBorders>
                  <w:noWrap w:val="0"/>
                  <w:vAlign w:val="center"/>
                </w:tcPr>
                <w:p w14:paraId="7D63C30D">
                  <w:pPr>
                    <w:pStyle w:val="163"/>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0.01</w:t>
                  </w:r>
                </w:p>
              </w:tc>
              <w:tc>
                <w:tcPr>
                  <w:tcW w:w="1738" w:type="pct"/>
                  <w:vMerge w:val="continue"/>
                  <w:tcBorders>
                    <w:tl2br w:val="nil"/>
                    <w:tr2bl w:val="nil"/>
                  </w:tcBorders>
                  <w:noWrap w:val="0"/>
                  <w:vAlign w:val="center"/>
                </w:tcPr>
                <w:p w14:paraId="27E9984F">
                  <w:pPr>
                    <w:pStyle w:val="163"/>
                    <w:rPr>
                      <w:rFonts w:hint="default" w:ascii="Times New Roman" w:hAnsi="Times New Roman" w:eastAsia="宋体" w:cs="Times New Roman"/>
                      <w:kern w:val="2"/>
                      <w:sz w:val="21"/>
                      <w:szCs w:val="21"/>
                    </w:rPr>
                  </w:pPr>
                </w:p>
              </w:tc>
            </w:tr>
          </w:tbl>
          <w:p w14:paraId="04F803A7">
            <w:pPr>
              <w:spacing w:line="400" w:lineRule="exact"/>
              <w:ind w:firstLine="482"/>
              <w:rPr>
                <w:rFonts w:hint="default" w:ascii="Times New Roman" w:hAnsi="Times New Roman" w:eastAsia="宋体" w:cs="Times New Roman"/>
                <w:b/>
                <w:sz w:val="24"/>
                <w:szCs w:val="24"/>
              </w:rPr>
            </w:pPr>
            <w:r>
              <w:rPr>
                <w:rFonts w:hint="eastAsia" w:cs="Times New Roman"/>
                <w:b/>
                <w:sz w:val="24"/>
                <w:szCs w:val="24"/>
                <w:lang w:val="en-US" w:eastAsia="zh-CN"/>
              </w:rPr>
              <w:t>3.5.2</w:t>
            </w:r>
            <w:r>
              <w:rPr>
                <w:rFonts w:hint="default" w:ascii="Times New Roman" w:hAnsi="Times New Roman" w:eastAsia="宋体" w:cs="Times New Roman"/>
                <w:b/>
                <w:sz w:val="24"/>
                <w:szCs w:val="24"/>
              </w:rPr>
              <w:t>地表水环境质量标准</w:t>
            </w:r>
          </w:p>
          <w:p w14:paraId="636DA2C8">
            <w:pPr>
              <w:pStyle w:val="3341"/>
              <w:spacing w:line="48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根据《江苏省地表水（环境）功能区划（2021-2030年）》，评价范围内的</w:t>
            </w:r>
            <w:r>
              <w:rPr>
                <w:rFonts w:hint="eastAsia" w:eastAsia="宋体" w:cs="Times New Roman"/>
                <w:sz w:val="24"/>
                <w:szCs w:val="24"/>
                <w:lang w:val="en-US" w:eastAsia="zh-CN"/>
              </w:rPr>
              <w:t>京杭运河（里运河）</w:t>
            </w:r>
            <w:r>
              <w:rPr>
                <w:rFonts w:hint="default" w:ascii="Times New Roman" w:hAnsi="Times New Roman" w:eastAsia="宋体" w:cs="Times New Roman"/>
                <w:sz w:val="24"/>
                <w:szCs w:val="24"/>
              </w:rPr>
              <w:t>执行《地表水环境质量标准》（GB3838-2002）中的Ⅲ类标准。具体标准值见表3.</w:t>
            </w:r>
            <w:r>
              <w:rPr>
                <w:rFonts w:hint="eastAsia" w:eastAsia="宋体" w:cs="Times New Roman"/>
                <w:sz w:val="24"/>
                <w:szCs w:val="24"/>
                <w:lang w:val="en-US" w:eastAsia="zh-CN"/>
              </w:rPr>
              <w:t>5</w:t>
            </w:r>
            <w:r>
              <w:rPr>
                <w:rFonts w:hint="default" w:ascii="Times New Roman" w:hAnsi="Times New Roman" w:eastAsia="宋体" w:cs="Times New Roman"/>
                <w:sz w:val="24"/>
                <w:szCs w:val="24"/>
              </w:rPr>
              <w:t>-2。</w:t>
            </w:r>
          </w:p>
          <w:p w14:paraId="703A59A1">
            <w:pPr>
              <w:adjustRightInd w:val="0"/>
              <w:snapToGrid w:val="0"/>
              <w:spacing w:line="48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表3.</w:t>
            </w:r>
            <w:r>
              <w:rPr>
                <w:rFonts w:hint="eastAsia" w:cs="Times New Roman"/>
                <w:b/>
                <w:bCs/>
                <w:sz w:val="24"/>
                <w:szCs w:val="24"/>
                <w:lang w:val="en-US" w:eastAsia="zh-CN"/>
              </w:rPr>
              <w:t>5</w:t>
            </w:r>
            <w:r>
              <w:rPr>
                <w:rFonts w:hint="default" w:ascii="Times New Roman" w:hAnsi="Times New Roman" w:eastAsia="宋体" w:cs="Times New Roman"/>
                <w:b/>
                <w:bCs/>
                <w:sz w:val="24"/>
                <w:szCs w:val="24"/>
              </w:rPr>
              <w:t>-2  地表水环境质量标准  单位：mg/L  pH无量纲</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648"/>
              <w:gridCol w:w="2640"/>
              <w:gridCol w:w="2961"/>
            </w:tblGrid>
            <w:tr w14:paraId="58505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3560" w:type="dxa"/>
                  <w:tcBorders>
                    <w:tl2br w:val="nil"/>
                    <w:tr2bl w:val="nil"/>
                  </w:tcBorders>
                  <w:shd w:val="clear" w:color="auto" w:fill="auto"/>
                  <w:vAlign w:val="center"/>
                </w:tcPr>
                <w:p w14:paraId="6B211C0F">
                  <w:pPr>
                    <w:widowControl/>
                    <w:adjustRightInd w:val="0"/>
                    <w:snapToGrid w:val="0"/>
                    <w:jc w:val="center"/>
                    <w:rPr>
                      <w:b/>
                      <w:bCs/>
                      <w:color w:val="auto"/>
                      <w:sz w:val="21"/>
                      <w:szCs w:val="21"/>
                    </w:rPr>
                  </w:pPr>
                  <w:r>
                    <w:rPr>
                      <w:b/>
                      <w:color w:val="auto"/>
                      <w:sz w:val="21"/>
                      <w:szCs w:val="21"/>
                    </w:rPr>
                    <w:t>项目</w:t>
                  </w:r>
                </w:p>
              </w:tc>
              <w:tc>
                <w:tcPr>
                  <w:tcW w:w="2576" w:type="dxa"/>
                  <w:tcBorders>
                    <w:tl2br w:val="nil"/>
                    <w:tr2bl w:val="nil"/>
                  </w:tcBorders>
                  <w:shd w:val="clear" w:color="auto" w:fill="auto"/>
                  <w:vAlign w:val="center"/>
                </w:tcPr>
                <w:p w14:paraId="6375EAC6">
                  <w:pPr>
                    <w:widowControl/>
                    <w:adjustRightInd w:val="0"/>
                    <w:snapToGrid w:val="0"/>
                    <w:jc w:val="center"/>
                    <w:rPr>
                      <w:b/>
                      <w:color w:val="auto"/>
                      <w:sz w:val="21"/>
                      <w:szCs w:val="21"/>
                    </w:rPr>
                  </w:pPr>
                  <w:r>
                    <w:rPr>
                      <w:b/>
                      <w:color w:val="auto"/>
                      <w:sz w:val="21"/>
                      <w:szCs w:val="21"/>
                    </w:rPr>
                    <w:t>III</w:t>
                  </w:r>
                </w:p>
              </w:tc>
              <w:tc>
                <w:tcPr>
                  <w:tcW w:w="2890" w:type="dxa"/>
                  <w:tcBorders>
                    <w:tl2br w:val="nil"/>
                    <w:tr2bl w:val="nil"/>
                  </w:tcBorders>
                  <w:shd w:val="clear" w:color="auto" w:fill="auto"/>
                  <w:vAlign w:val="center"/>
                </w:tcPr>
                <w:p w14:paraId="0D2D8F52">
                  <w:pPr>
                    <w:widowControl/>
                    <w:adjustRightInd w:val="0"/>
                    <w:snapToGrid w:val="0"/>
                    <w:jc w:val="center"/>
                    <w:rPr>
                      <w:b/>
                      <w:color w:val="auto"/>
                      <w:sz w:val="21"/>
                      <w:szCs w:val="21"/>
                    </w:rPr>
                  </w:pPr>
                  <w:r>
                    <w:rPr>
                      <w:b/>
                      <w:color w:val="auto"/>
                      <w:sz w:val="21"/>
                      <w:szCs w:val="21"/>
                    </w:rPr>
                    <w:t>标准来源</w:t>
                  </w:r>
                </w:p>
              </w:tc>
            </w:tr>
            <w:tr w14:paraId="26FC4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3560" w:type="dxa"/>
                  <w:tcBorders>
                    <w:tl2br w:val="nil"/>
                    <w:tr2bl w:val="nil"/>
                  </w:tcBorders>
                  <w:shd w:val="clear" w:color="auto" w:fill="auto"/>
                  <w:vAlign w:val="center"/>
                </w:tcPr>
                <w:p w14:paraId="618E73E7">
                  <w:pPr>
                    <w:widowControl/>
                    <w:adjustRightInd w:val="0"/>
                    <w:snapToGrid w:val="0"/>
                    <w:jc w:val="center"/>
                    <w:rPr>
                      <w:bCs/>
                      <w:color w:val="auto"/>
                      <w:sz w:val="21"/>
                      <w:szCs w:val="21"/>
                    </w:rPr>
                  </w:pPr>
                  <w:r>
                    <w:rPr>
                      <w:color w:val="auto"/>
                      <w:sz w:val="21"/>
                      <w:szCs w:val="21"/>
                    </w:rPr>
                    <w:t>pH</w:t>
                  </w:r>
                </w:p>
              </w:tc>
              <w:tc>
                <w:tcPr>
                  <w:tcW w:w="2576" w:type="dxa"/>
                  <w:tcBorders>
                    <w:tl2br w:val="nil"/>
                    <w:tr2bl w:val="nil"/>
                  </w:tcBorders>
                  <w:shd w:val="clear" w:color="auto" w:fill="auto"/>
                  <w:vAlign w:val="center"/>
                </w:tcPr>
                <w:p w14:paraId="0C3DD6E5">
                  <w:pPr>
                    <w:widowControl/>
                    <w:adjustRightInd w:val="0"/>
                    <w:snapToGrid w:val="0"/>
                    <w:jc w:val="center"/>
                    <w:rPr>
                      <w:color w:val="auto"/>
                      <w:sz w:val="21"/>
                      <w:szCs w:val="21"/>
                    </w:rPr>
                  </w:pPr>
                  <w:r>
                    <w:rPr>
                      <w:color w:val="auto"/>
                      <w:sz w:val="21"/>
                      <w:szCs w:val="21"/>
                    </w:rPr>
                    <w:t>6</w:t>
                  </w:r>
                  <w:r>
                    <w:rPr>
                      <w:rFonts w:hint="eastAsia"/>
                      <w:color w:val="auto"/>
                      <w:sz w:val="21"/>
                      <w:szCs w:val="21"/>
                    </w:rPr>
                    <w:t>-</w:t>
                  </w:r>
                  <w:r>
                    <w:rPr>
                      <w:color w:val="auto"/>
                      <w:sz w:val="21"/>
                      <w:szCs w:val="21"/>
                    </w:rPr>
                    <w:t>9</w:t>
                  </w:r>
                </w:p>
              </w:tc>
              <w:tc>
                <w:tcPr>
                  <w:tcW w:w="2890" w:type="dxa"/>
                  <w:vMerge w:val="restart"/>
                  <w:tcBorders>
                    <w:tl2br w:val="nil"/>
                    <w:tr2bl w:val="nil"/>
                  </w:tcBorders>
                  <w:shd w:val="clear" w:color="auto" w:fill="auto"/>
                  <w:vAlign w:val="center"/>
                </w:tcPr>
                <w:p w14:paraId="2D9CF52A">
                  <w:pPr>
                    <w:widowControl/>
                    <w:adjustRightInd w:val="0"/>
                    <w:snapToGrid w:val="0"/>
                    <w:jc w:val="center"/>
                    <w:rPr>
                      <w:color w:val="auto"/>
                      <w:sz w:val="21"/>
                      <w:szCs w:val="21"/>
                    </w:rPr>
                  </w:pPr>
                  <w:r>
                    <w:rPr>
                      <w:color w:val="auto"/>
                      <w:sz w:val="21"/>
                      <w:szCs w:val="21"/>
                    </w:rPr>
                    <w:t>《地表水环境质量标准》（GB3838-2002）</w:t>
                  </w:r>
                </w:p>
              </w:tc>
            </w:tr>
            <w:tr w14:paraId="198B6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3560" w:type="dxa"/>
                  <w:tcBorders>
                    <w:tl2br w:val="nil"/>
                    <w:tr2bl w:val="nil"/>
                  </w:tcBorders>
                  <w:shd w:val="clear" w:color="auto" w:fill="auto"/>
                  <w:vAlign w:val="center"/>
                </w:tcPr>
                <w:p w14:paraId="04F76EF5">
                  <w:pPr>
                    <w:widowControl/>
                    <w:adjustRightInd w:val="0"/>
                    <w:snapToGrid w:val="0"/>
                    <w:jc w:val="center"/>
                    <w:rPr>
                      <w:bCs/>
                      <w:color w:val="auto"/>
                      <w:sz w:val="21"/>
                      <w:szCs w:val="21"/>
                    </w:rPr>
                  </w:pPr>
                  <w:r>
                    <w:rPr>
                      <w:color w:val="auto"/>
                      <w:sz w:val="21"/>
                      <w:szCs w:val="21"/>
                    </w:rPr>
                    <w:t>BOD</w:t>
                  </w:r>
                  <w:r>
                    <w:rPr>
                      <w:color w:val="auto"/>
                      <w:sz w:val="21"/>
                      <w:szCs w:val="21"/>
                      <w:vertAlign w:val="subscript"/>
                    </w:rPr>
                    <w:t>5</w:t>
                  </w:r>
                </w:p>
              </w:tc>
              <w:tc>
                <w:tcPr>
                  <w:tcW w:w="2576" w:type="dxa"/>
                  <w:tcBorders>
                    <w:tl2br w:val="nil"/>
                    <w:tr2bl w:val="nil"/>
                  </w:tcBorders>
                  <w:shd w:val="clear" w:color="auto" w:fill="auto"/>
                  <w:vAlign w:val="center"/>
                </w:tcPr>
                <w:p w14:paraId="55FEEB95">
                  <w:pPr>
                    <w:widowControl/>
                    <w:adjustRightInd w:val="0"/>
                    <w:snapToGrid w:val="0"/>
                    <w:jc w:val="center"/>
                    <w:rPr>
                      <w:color w:val="auto"/>
                      <w:sz w:val="21"/>
                      <w:szCs w:val="21"/>
                    </w:rPr>
                  </w:pPr>
                  <w:r>
                    <w:rPr>
                      <w:color w:val="auto"/>
                      <w:sz w:val="21"/>
                      <w:szCs w:val="21"/>
                    </w:rPr>
                    <w:t>4</w:t>
                  </w:r>
                </w:p>
              </w:tc>
              <w:tc>
                <w:tcPr>
                  <w:tcW w:w="2890" w:type="dxa"/>
                  <w:vMerge w:val="continue"/>
                  <w:tcBorders>
                    <w:tl2br w:val="nil"/>
                    <w:tr2bl w:val="nil"/>
                  </w:tcBorders>
                  <w:shd w:val="clear" w:color="auto" w:fill="auto"/>
                  <w:vAlign w:val="center"/>
                </w:tcPr>
                <w:p w14:paraId="6E5C42E1">
                  <w:pPr>
                    <w:widowControl/>
                    <w:adjustRightInd w:val="0"/>
                    <w:snapToGrid w:val="0"/>
                    <w:jc w:val="center"/>
                    <w:rPr>
                      <w:color w:val="auto"/>
                      <w:sz w:val="21"/>
                      <w:szCs w:val="21"/>
                    </w:rPr>
                  </w:pPr>
                </w:p>
              </w:tc>
            </w:tr>
            <w:tr w14:paraId="3BBF1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3560" w:type="dxa"/>
                  <w:tcBorders>
                    <w:tl2br w:val="nil"/>
                    <w:tr2bl w:val="nil"/>
                  </w:tcBorders>
                  <w:shd w:val="clear" w:color="auto" w:fill="auto"/>
                  <w:vAlign w:val="center"/>
                </w:tcPr>
                <w:p w14:paraId="0E214B5E">
                  <w:pPr>
                    <w:widowControl/>
                    <w:adjustRightInd w:val="0"/>
                    <w:snapToGrid w:val="0"/>
                    <w:jc w:val="center"/>
                    <w:rPr>
                      <w:bCs/>
                      <w:color w:val="auto"/>
                      <w:sz w:val="21"/>
                      <w:szCs w:val="21"/>
                    </w:rPr>
                  </w:pPr>
                  <w:r>
                    <w:rPr>
                      <w:color w:val="auto"/>
                      <w:sz w:val="21"/>
                      <w:szCs w:val="21"/>
                    </w:rPr>
                    <w:t>COD</w:t>
                  </w:r>
                </w:p>
              </w:tc>
              <w:tc>
                <w:tcPr>
                  <w:tcW w:w="2576" w:type="dxa"/>
                  <w:tcBorders>
                    <w:tl2br w:val="nil"/>
                    <w:tr2bl w:val="nil"/>
                  </w:tcBorders>
                  <w:shd w:val="clear" w:color="auto" w:fill="auto"/>
                  <w:vAlign w:val="center"/>
                </w:tcPr>
                <w:p w14:paraId="01D96603">
                  <w:pPr>
                    <w:widowControl/>
                    <w:adjustRightInd w:val="0"/>
                    <w:snapToGrid w:val="0"/>
                    <w:jc w:val="center"/>
                    <w:rPr>
                      <w:color w:val="auto"/>
                      <w:sz w:val="21"/>
                      <w:szCs w:val="21"/>
                    </w:rPr>
                  </w:pPr>
                  <w:r>
                    <w:rPr>
                      <w:color w:val="auto"/>
                      <w:sz w:val="21"/>
                      <w:szCs w:val="21"/>
                    </w:rPr>
                    <w:t>20</w:t>
                  </w:r>
                </w:p>
              </w:tc>
              <w:tc>
                <w:tcPr>
                  <w:tcW w:w="2890" w:type="dxa"/>
                  <w:vMerge w:val="continue"/>
                  <w:tcBorders>
                    <w:tl2br w:val="nil"/>
                    <w:tr2bl w:val="nil"/>
                  </w:tcBorders>
                  <w:shd w:val="clear" w:color="auto" w:fill="auto"/>
                  <w:vAlign w:val="center"/>
                </w:tcPr>
                <w:p w14:paraId="39D001EB">
                  <w:pPr>
                    <w:widowControl/>
                    <w:adjustRightInd w:val="0"/>
                    <w:snapToGrid w:val="0"/>
                    <w:jc w:val="center"/>
                    <w:rPr>
                      <w:color w:val="auto"/>
                      <w:sz w:val="21"/>
                      <w:szCs w:val="21"/>
                    </w:rPr>
                  </w:pPr>
                </w:p>
              </w:tc>
            </w:tr>
            <w:tr w14:paraId="7AA1F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3560" w:type="dxa"/>
                  <w:tcBorders>
                    <w:tl2br w:val="nil"/>
                    <w:tr2bl w:val="nil"/>
                  </w:tcBorders>
                  <w:shd w:val="clear" w:color="auto" w:fill="auto"/>
                  <w:vAlign w:val="center"/>
                </w:tcPr>
                <w:p w14:paraId="6245D47D">
                  <w:pPr>
                    <w:widowControl/>
                    <w:adjustRightInd w:val="0"/>
                    <w:snapToGrid w:val="0"/>
                    <w:jc w:val="center"/>
                    <w:rPr>
                      <w:bCs/>
                      <w:color w:val="auto"/>
                      <w:sz w:val="21"/>
                      <w:szCs w:val="21"/>
                    </w:rPr>
                  </w:pPr>
                  <w:r>
                    <w:rPr>
                      <w:color w:val="auto"/>
                      <w:sz w:val="21"/>
                      <w:szCs w:val="21"/>
                    </w:rPr>
                    <w:t>氨氮</w:t>
                  </w:r>
                </w:p>
              </w:tc>
              <w:tc>
                <w:tcPr>
                  <w:tcW w:w="2576" w:type="dxa"/>
                  <w:tcBorders>
                    <w:tl2br w:val="nil"/>
                    <w:tr2bl w:val="nil"/>
                  </w:tcBorders>
                  <w:shd w:val="clear" w:color="auto" w:fill="auto"/>
                  <w:vAlign w:val="center"/>
                </w:tcPr>
                <w:p w14:paraId="312BEC1E">
                  <w:pPr>
                    <w:widowControl/>
                    <w:adjustRightInd w:val="0"/>
                    <w:snapToGrid w:val="0"/>
                    <w:jc w:val="center"/>
                    <w:rPr>
                      <w:color w:val="auto"/>
                      <w:sz w:val="21"/>
                      <w:szCs w:val="21"/>
                    </w:rPr>
                  </w:pPr>
                  <w:r>
                    <w:rPr>
                      <w:color w:val="auto"/>
                      <w:sz w:val="21"/>
                      <w:szCs w:val="21"/>
                    </w:rPr>
                    <w:t>1</w:t>
                  </w:r>
                </w:p>
              </w:tc>
              <w:tc>
                <w:tcPr>
                  <w:tcW w:w="2890" w:type="dxa"/>
                  <w:vMerge w:val="continue"/>
                  <w:tcBorders>
                    <w:tl2br w:val="nil"/>
                    <w:tr2bl w:val="nil"/>
                  </w:tcBorders>
                  <w:shd w:val="clear" w:color="auto" w:fill="auto"/>
                  <w:vAlign w:val="center"/>
                </w:tcPr>
                <w:p w14:paraId="4331FB44">
                  <w:pPr>
                    <w:widowControl/>
                    <w:adjustRightInd w:val="0"/>
                    <w:snapToGrid w:val="0"/>
                    <w:jc w:val="center"/>
                    <w:rPr>
                      <w:color w:val="auto"/>
                      <w:sz w:val="21"/>
                      <w:szCs w:val="21"/>
                    </w:rPr>
                  </w:pPr>
                </w:p>
              </w:tc>
            </w:tr>
            <w:tr w14:paraId="72580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3560" w:type="dxa"/>
                  <w:tcBorders>
                    <w:tl2br w:val="nil"/>
                    <w:tr2bl w:val="nil"/>
                  </w:tcBorders>
                  <w:shd w:val="clear" w:color="auto" w:fill="auto"/>
                  <w:vAlign w:val="center"/>
                </w:tcPr>
                <w:p w14:paraId="7C54F7E4">
                  <w:pPr>
                    <w:widowControl/>
                    <w:adjustRightInd w:val="0"/>
                    <w:snapToGrid w:val="0"/>
                    <w:jc w:val="center"/>
                    <w:rPr>
                      <w:bCs/>
                      <w:color w:val="auto"/>
                      <w:sz w:val="21"/>
                      <w:szCs w:val="21"/>
                    </w:rPr>
                  </w:pPr>
                  <w:r>
                    <w:rPr>
                      <w:color w:val="auto"/>
                      <w:sz w:val="21"/>
                      <w:szCs w:val="21"/>
                    </w:rPr>
                    <w:t>总磷</w:t>
                  </w:r>
                </w:p>
              </w:tc>
              <w:tc>
                <w:tcPr>
                  <w:tcW w:w="2576" w:type="dxa"/>
                  <w:tcBorders>
                    <w:tl2br w:val="nil"/>
                    <w:tr2bl w:val="nil"/>
                  </w:tcBorders>
                  <w:shd w:val="clear" w:color="auto" w:fill="auto"/>
                  <w:vAlign w:val="center"/>
                </w:tcPr>
                <w:p w14:paraId="617C4933">
                  <w:pPr>
                    <w:widowControl/>
                    <w:adjustRightInd w:val="0"/>
                    <w:snapToGrid w:val="0"/>
                    <w:jc w:val="center"/>
                    <w:rPr>
                      <w:color w:val="auto"/>
                      <w:sz w:val="21"/>
                      <w:szCs w:val="21"/>
                    </w:rPr>
                  </w:pPr>
                  <w:r>
                    <w:rPr>
                      <w:color w:val="auto"/>
                      <w:sz w:val="21"/>
                      <w:szCs w:val="21"/>
                    </w:rPr>
                    <w:t>0.2</w:t>
                  </w:r>
                </w:p>
              </w:tc>
              <w:tc>
                <w:tcPr>
                  <w:tcW w:w="2890" w:type="dxa"/>
                  <w:vMerge w:val="continue"/>
                  <w:tcBorders>
                    <w:tl2br w:val="nil"/>
                    <w:tr2bl w:val="nil"/>
                  </w:tcBorders>
                  <w:shd w:val="clear" w:color="auto" w:fill="auto"/>
                  <w:vAlign w:val="center"/>
                </w:tcPr>
                <w:p w14:paraId="152C1A35">
                  <w:pPr>
                    <w:widowControl/>
                    <w:adjustRightInd w:val="0"/>
                    <w:snapToGrid w:val="0"/>
                    <w:jc w:val="center"/>
                    <w:rPr>
                      <w:color w:val="auto"/>
                      <w:sz w:val="21"/>
                      <w:szCs w:val="21"/>
                    </w:rPr>
                  </w:pPr>
                </w:p>
              </w:tc>
            </w:tr>
            <w:tr w14:paraId="2B9D5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3560" w:type="dxa"/>
                  <w:tcBorders>
                    <w:tl2br w:val="nil"/>
                    <w:tr2bl w:val="nil"/>
                  </w:tcBorders>
                  <w:shd w:val="clear" w:color="auto" w:fill="auto"/>
                  <w:vAlign w:val="center"/>
                </w:tcPr>
                <w:p w14:paraId="62BB7CF2">
                  <w:pPr>
                    <w:widowControl/>
                    <w:adjustRightInd w:val="0"/>
                    <w:snapToGrid w:val="0"/>
                    <w:jc w:val="center"/>
                    <w:rPr>
                      <w:bCs/>
                      <w:color w:val="auto"/>
                      <w:sz w:val="21"/>
                      <w:szCs w:val="21"/>
                    </w:rPr>
                  </w:pPr>
                  <w:r>
                    <w:rPr>
                      <w:color w:val="auto"/>
                      <w:sz w:val="21"/>
                      <w:szCs w:val="21"/>
                    </w:rPr>
                    <w:t>石油类</w:t>
                  </w:r>
                </w:p>
              </w:tc>
              <w:tc>
                <w:tcPr>
                  <w:tcW w:w="2576" w:type="dxa"/>
                  <w:tcBorders>
                    <w:tl2br w:val="nil"/>
                    <w:tr2bl w:val="nil"/>
                  </w:tcBorders>
                  <w:shd w:val="clear" w:color="auto" w:fill="auto"/>
                  <w:vAlign w:val="center"/>
                </w:tcPr>
                <w:p w14:paraId="2D468903">
                  <w:pPr>
                    <w:widowControl/>
                    <w:adjustRightInd w:val="0"/>
                    <w:snapToGrid w:val="0"/>
                    <w:jc w:val="center"/>
                    <w:rPr>
                      <w:color w:val="auto"/>
                      <w:sz w:val="21"/>
                      <w:szCs w:val="21"/>
                    </w:rPr>
                  </w:pPr>
                  <w:r>
                    <w:rPr>
                      <w:color w:val="auto"/>
                      <w:sz w:val="21"/>
                      <w:szCs w:val="21"/>
                    </w:rPr>
                    <w:t>0.05</w:t>
                  </w:r>
                </w:p>
              </w:tc>
              <w:tc>
                <w:tcPr>
                  <w:tcW w:w="2890" w:type="dxa"/>
                  <w:vMerge w:val="continue"/>
                  <w:tcBorders>
                    <w:tl2br w:val="nil"/>
                    <w:tr2bl w:val="nil"/>
                  </w:tcBorders>
                  <w:shd w:val="clear" w:color="auto" w:fill="auto"/>
                  <w:vAlign w:val="center"/>
                </w:tcPr>
                <w:p w14:paraId="1613D867">
                  <w:pPr>
                    <w:widowControl/>
                    <w:adjustRightInd w:val="0"/>
                    <w:snapToGrid w:val="0"/>
                    <w:jc w:val="center"/>
                    <w:rPr>
                      <w:color w:val="auto"/>
                      <w:sz w:val="21"/>
                      <w:szCs w:val="21"/>
                    </w:rPr>
                  </w:pPr>
                </w:p>
              </w:tc>
            </w:tr>
          </w:tbl>
          <w:p w14:paraId="2012BBFA">
            <w:pPr>
              <w:spacing w:line="480" w:lineRule="exact"/>
              <w:ind w:firstLine="482"/>
              <w:rPr>
                <w:rFonts w:hint="default" w:ascii="Times New Roman" w:hAnsi="Times New Roman" w:eastAsia="宋体" w:cs="Times New Roman"/>
                <w:b/>
                <w:sz w:val="24"/>
                <w:szCs w:val="24"/>
              </w:rPr>
            </w:pPr>
            <w:r>
              <w:rPr>
                <w:rFonts w:hint="eastAsia" w:cs="Times New Roman"/>
                <w:b/>
                <w:sz w:val="24"/>
                <w:szCs w:val="24"/>
                <w:lang w:val="en-US" w:eastAsia="zh-CN"/>
              </w:rPr>
              <w:t>3.5.3</w:t>
            </w:r>
            <w:r>
              <w:rPr>
                <w:rFonts w:hint="default" w:ascii="Times New Roman" w:hAnsi="Times New Roman" w:eastAsia="宋体" w:cs="Times New Roman"/>
                <w:b/>
                <w:sz w:val="24"/>
                <w:szCs w:val="24"/>
              </w:rPr>
              <w:t>声环境质量标准</w:t>
            </w:r>
          </w:p>
          <w:p w14:paraId="3B6AC6E2">
            <w:pPr>
              <w:widowControl/>
              <w:adjustRightInd w:val="0"/>
              <w:snapToGrid w:val="0"/>
              <w:spacing w:line="500" w:lineRule="exact"/>
              <w:ind w:firstLine="480" w:firstLineChars="200"/>
              <w:rPr>
                <w:rFonts w:hint="eastAsia"/>
                <w:color w:val="auto"/>
                <w:sz w:val="24"/>
                <w:szCs w:val="24"/>
                <w:highlight w:val="none"/>
              </w:rPr>
            </w:pPr>
            <w:r>
              <w:rPr>
                <w:rFonts w:hint="eastAsia"/>
                <w:color w:val="auto"/>
                <w:sz w:val="24"/>
                <w:szCs w:val="24"/>
                <w:highlight w:val="none"/>
              </w:rPr>
              <w:t>航道两侧35m范围内</w:t>
            </w:r>
            <w:r>
              <w:rPr>
                <w:color w:val="auto"/>
                <w:sz w:val="24"/>
                <w:szCs w:val="24"/>
                <w:highlight w:val="none"/>
              </w:rPr>
              <w:t>声环境执行《声环境质量标准》（GB3096-2008）</w:t>
            </w:r>
            <w:r>
              <w:rPr>
                <w:rFonts w:hint="eastAsia"/>
                <w:color w:val="auto"/>
                <w:sz w:val="24"/>
                <w:szCs w:val="24"/>
                <w:highlight w:val="none"/>
                <w:lang w:val="en-US" w:eastAsia="zh-CN"/>
              </w:rPr>
              <w:t>4</w:t>
            </w:r>
            <w:r>
              <w:rPr>
                <w:color w:val="auto"/>
                <w:sz w:val="24"/>
                <w:szCs w:val="24"/>
                <w:highlight w:val="none"/>
              </w:rPr>
              <w:t>类区标准</w:t>
            </w:r>
            <w:r>
              <w:rPr>
                <w:rFonts w:hint="eastAsia"/>
                <w:color w:val="auto"/>
                <w:sz w:val="24"/>
                <w:szCs w:val="24"/>
                <w:highlight w:val="none"/>
                <w:lang w:eastAsia="zh-CN"/>
              </w:rPr>
              <w:t>，</w:t>
            </w:r>
            <w:r>
              <w:rPr>
                <w:rFonts w:hint="eastAsia"/>
                <w:color w:val="auto"/>
                <w:sz w:val="24"/>
                <w:szCs w:val="24"/>
                <w:highlight w:val="none"/>
              </w:rPr>
              <w:t>其他区域声环境执行《声环境质量标准》</w:t>
            </w:r>
            <w:r>
              <w:rPr>
                <w:rFonts w:hint="eastAsia"/>
                <w:color w:val="auto"/>
                <w:sz w:val="24"/>
                <w:szCs w:val="24"/>
                <w:highlight w:val="none"/>
                <w:lang w:eastAsia="zh-CN"/>
              </w:rPr>
              <w:t>（</w:t>
            </w:r>
            <w:r>
              <w:rPr>
                <w:rFonts w:hint="eastAsia"/>
                <w:color w:val="auto"/>
                <w:sz w:val="24"/>
                <w:szCs w:val="24"/>
                <w:highlight w:val="none"/>
              </w:rPr>
              <w:t>GB3096-2008）2类标准，详见下表。</w:t>
            </w:r>
          </w:p>
          <w:p w14:paraId="0F2A6684">
            <w:pPr>
              <w:pStyle w:val="3341"/>
              <w:spacing w:line="480" w:lineRule="exact"/>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b/>
                <w:bCs/>
                <w:sz w:val="24"/>
                <w:szCs w:val="24"/>
                <w:highlight w:val="none"/>
              </w:rPr>
              <w:t>表3.</w:t>
            </w:r>
            <w:r>
              <w:rPr>
                <w:rFonts w:hint="eastAsia" w:eastAsia="宋体" w:cs="Times New Roman"/>
                <w:b/>
                <w:bCs/>
                <w:sz w:val="24"/>
                <w:szCs w:val="24"/>
                <w:highlight w:val="none"/>
                <w:lang w:val="en-US" w:eastAsia="zh-CN"/>
              </w:rPr>
              <w:t>5</w:t>
            </w:r>
            <w:r>
              <w:rPr>
                <w:rFonts w:hint="default" w:ascii="Times New Roman" w:hAnsi="Times New Roman" w:eastAsia="宋体" w:cs="Times New Roman"/>
                <w:b/>
                <w:bCs/>
                <w:sz w:val="24"/>
                <w:szCs w:val="24"/>
                <w:highlight w:val="none"/>
              </w:rPr>
              <w:t>-3  声环境质量标准  单位：（dB）</w:t>
            </w:r>
          </w:p>
          <w:tbl>
            <w:tblPr>
              <w:tblStyle w:val="8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090"/>
              <w:gridCol w:w="2387"/>
              <w:gridCol w:w="2385"/>
              <w:gridCol w:w="2385"/>
            </w:tblGrid>
            <w:tr w14:paraId="5A138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8" w:hRule="atLeast"/>
                <w:tblHeader/>
                <w:jc w:val="center"/>
              </w:trPr>
              <w:tc>
                <w:tcPr>
                  <w:tcW w:w="1130" w:type="pct"/>
                  <w:vMerge w:val="restart"/>
                  <w:tcBorders>
                    <w:tl2br w:val="nil"/>
                    <w:tr2bl w:val="nil"/>
                  </w:tcBorders>
                  <w:vAlign w:val="center"/>
                </w:tcPr>
                <w:p w14:paraId="1972F519">
                  <w:pPr>
                    <w:widowControl/>
                    <w:adjustRightInd w:val="0"/>
                    <w:snapToGrid w:val="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声功能区划</w:t>
                  </w:r>
                </w:p>
              </w:tc>
              <w:tc>
                <w:tcPr>
                  <w:tcW w:w="1290" w:type="pct"/>
                  <w:vMerge w:val="restart"/>
                  <w:tcBorders>
                    <w:tl2br w:val="nil"/>
                    <w:tr2bl w:val="nil"/>
                  </w:tcBorders>
                  <w:vAlign w:val="center"/>
                </w:tcPr>
                <w:p w14:paraId="5476B750">
                  <w:pPr>
                    <w:widowControl/>
                    <w:adjustRightInd w:val="0"/>
                    <w:snapToGrid w:val="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声环境质量标准</w:t>
                  </w:r>
                </w:p>
              </w:tc>
              <w:tc>
                <w:tcPr>
                  <w:tcW w:w="2578" w:type="pct"/>
                  <w:gridSpan w:val="2"/>
                  <w:tcBorders>
                    <w:tl2br w:val="nil"/>
                    <w:tr2bl w:val="nil"/>
                  </w:tcBorders>
                  <w:vAlign w:val="center"/>
                </w:tcPr>
                <w:p w14:paraId="67801B0A">
                  <w:pPr>
                    <w:widowControl/>
                    <w:adjustRightInd w:val="0"/>
                    <w:snapToGrid w:val="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标准限制（</w:t>
                  </w:r>
                  <w:r>
                    <w:rPr>
                      <w:b/>
                      <w:bCs/>
                      <w:color w:val="auto"/>
                      <w:sz w:val="21"/>
                      <w:szCs w:val="21"/>
                      <w:highlight w:val="none"/>
                    </w:rPr>
                    <w:t>间dB（A）</w:t>
                  </w:r>
                  <w:r>
                    <w:rPr>
                      <w:rFonts w:hint="eastAsia"/>
                      <w:b/>
                      <w:bCs/>
                      <w:color w:val="auto"/>
                      <w:sz w:val="21"/>
                      <w:szCs w:val="21"/>
                      <w:highlight w:val="none"/>
                      <w:lang w:val="en-US" w:eastAsia="zh-CN"/>
                    </w:rPr>
                    <w:t>）</w:t>
                  </w:r>
                </w:p>
              </w:tc>
            </w:tr>
            <w:tr w14:paraId="6D1FC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8" w:hRule="atLeast"/>
                <w:tblHeader/>
                <w:jc w:val="center"/>
              </w:trPr>
              <w:tc>
                <w:tcPr>
                  <w:tcW w:w="1130" w:type="pct"/>
                  <w:vMerge w:val="continue"/>
                  <w:tcBorders>
                    <w:tl2br w:val="nil"/>
                    <w:tr2bl w:val="nil"/>
                  </w:tcBorders>
                  <w:vAlign w:val="center"/>
                </w:tcPr>
                <w:p w14:paraId="4D94CBC8">
                  <w:pPr>
                    <w:widowControl/>
                    <w:adjustRightInd w:val="0"/>
                    <w:snapToGrid w:val="0"/>
                    <w:jc w:val="center"/>
                    <w:rPr>
                      <w:rFonts w:hint="default" w:eastAsia="宋体"/>
                      <w:b/>
                      <w:bCs/>
                      <w:color w:val="auto"/>
                      <w:sz w:val="21"/>
                      <w:szCs w:val="21"/>
                      <w:highlight w:val="none"/>
                      <w:lang w:val="en-US" w:eastAsia="zh-CN"/>
                    </w:rPr>
                  </w:pPr>
                </w:p>
              </w:tc>
              <w:tc>
                <w:tcPr>
                  <w:tcW w:w="1290" w:type="pct"/>
                  <w:vMerge w:val="continue"/>
                  <w:tcBorders>
                    <w:tl2br w:val="nil"/>
                    <w:tr2bl w:val="nil"/>
                  </w:tcBorders>
                  <w:vAlign w:val="center"/>
                </w:tcPr>
                <w:p w14:paraId="3A07873B">
                  <w:pPr>
                    <w:widowControl/>
                    <w:adjustRightInd w:val="0"/>
                    <w:snapToGrid w:val="0"/>
                    <w:jc w:val="center"/>
                    <w:rPr>
                      <w:rFonts w:hint="default" w:eastAsia="宋体"/>
                      <w:b/>
                      <w:bCs/>
                      <w:color w:val="auto"/>
                      <w:sz w:val="21"/>
                      <w:szCs w:val="21"/>
                      <w:highlight w:val="none"/>
                      <w:lang w:val="en-US" w:eastAsia="zh-CN"/>
                    </w:rPr>
                  </w:pPr>
                </w:p>
              </w:tc>
              <w:tc>
                <w:tcPr>
                  <w:tcW w:w="1289" w:type="pct"/>
                  <w:tcBorders>
                    <w:tl2br w:val="nil"/>
                    <w:tr2bl w:val="nil"/>
                  </w:tcBorders>
                  <w:vAlign w:val="center"/>
                </w:tcPr>
                <w:p w14:paraId="6708F379">
                  <w:pPr>
                    <w:widowControl/>
                    <w:adjustRightInd w:val="0"/>
                    <w:snapToGrid w:val="0"/>
                    <w:jc w:val="center"/>
                    <w:rPr>
                      <w:b/>
                      <w:bCs/>
                      <w:color w:val="auto"/>
                      <w:sz w:val="21"/>
                      <w:szCs w:val="21"/>
                      <w:highlight w:val="none"/>
                    </w:rPr>
                  </w:pPr>
                  <w:r>
                    <w:rPr>
                      <w:b/>
                      <w:bCs/>
                      <w:color w:val="auto"/>
                      <w:sz w:val="21"/>
                      <w:szCs w:val="21"/>
                      <w:highlight w:val="none"/>
                    </w:rPr>
                    <w:t>昼间</w:t>
                  </w:r>
                </w:p>
              </w:tc>
              <w:tc>
                <w:tcPr>
                  <w:tcW w:w="1289" w:type="pct"/>
                  <w:tcBorders>
                    <w:tl2br w:val="nil"/>
                    <w:tr2bl w:val="nil"/>
                  </w:tcBorders>
                  <w:vAlign w:val="center"/>
                </w:tcPr>
                <w:p w14:paraId="1FF40772">
                  <w:pPr>
                    <w:widowControl/>
                    <w:adjustRightInd w:val="0"/>
                    <w:snapToGrid w:val="0"/>
                    <w:jc w:val="center"/>
                    <w:rPr>
                      <w:b/>
                      <w:bCs/>
                      <w:color w:val="auto"/>
                      <w:sz w:val="21"/>
                      <w:szCs w:val="21"/>
                      <w:highlight w:val="none"/>
                    </w:rPr>
                  </w:pPr>
                  <w:r>
                    <w:rPr>
                      <w:b/>
                      <w:bCs/>
                      <w:color w:val="auto"/>
                      <w:sz w:val="21"/>
                      <w:szCs w:val="21"/>
                      <w:highlight w:val="none"/>
                    </w:rPr>
                    <w:t>夜间</w:t>
                  </w:r>
                </w:p>
              </w:tc>
            </w:tr>
            <w:tr w14:paraId="4A29A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30" w:type="pct"/>
                  <w:tcBorders>
                    <w:tl2br w:val="nil"/>
                    <w:tr2bl w:val="nil"/>
                  </w:tcBorders>
                  <w:vAlign w:val="center"/>
                </w:tcPr>
                <w:p w14:paraId="2BE16F26">
                  <w:pPr>
                    <w:widowControl/>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2类区</w:t>
                  </w:r>
                </w:p>
              </w:tc>
              <w:tc>
                <w:tcPr>
                  <w:tcW w:w="1290" w:type="pct"/>
                  <w:tcBorders>
                    <w:tl2br w:val="nil"/>
                    <w:tr2bl w:val="nil"/>
                  </w:tcBorders>
                  <w:vAlign w:val="center"/>
                </w:tcPr>
                <w:p w14:paraId="5BF887FF">
                  <w:pPr>
                    <w:widowControl/>
                    <w:adjustRightInd w:val="0"/>
                    <w:snapToGrid w:val="0"/>
                    <w:jc w:val="center"/>
                    <w:rPr>
                      <w:color w:val="auto"/>
                      <w:sz w:val="21"/>
                      <w:szCs w:val="21"/>
                      <w:highlight w:val="none"/>
                    </w:rPr>
                  </w:pPr>
                  <w:r>
                    <w:rPr>
                      <w:color w:val="auto"/>
                      <w:sz w:val="21"/>
                      <w:szCs w:val="21"/>
                      <w:highlight w:val="none"/>
                    </w:rPr>
                    <w:t>2类标准</w:t>
                  </w:r>
                </w:p>
              </w:tc>
              <w:tc>
                <w:tcPr>
                  <w:tcW w:w="1289" w:type="pct"/>
                  <w:tcBorders>
                    <w:tl2br w:val="nil"/>
                    <w:tr2bl w:val="nil"/>
                  </w:tcBorders>
                  <w:vAlign w:val="center"/>
                </w:tcPr>
                <w:p w14:paraId="3E415D49">
                  <w:pPr>
                    <w:widowControl/>
                    <w:adjustRightInd w:val="0"/>
                    <w:snapToGrid w:val="0"/>
                    <w:jc w:val="center"/>
                    <w:rPr>
                      <w:color w:val="auto"/>
                      <w:sz w:val="21"/>
                      <w:szCs w:val="21"/>
                      <w:highlight w:val="none"/>
                    </w:rPr>
                  </w:pPr>
                  <w:r>
                    <w:rPr>
                      <w:color w:val="auto"/>
                      <w:sz w:val="21"/>
                      <w:szCs w:val="21"/>
                      <w:highlight w:val="none"/>
                    </w:rPr>
                    <w:t>60</w:t>
                  </w:r>
                </w:p>
              </w:tc>
              <w:tc>
                <w:tcPr>
                  <w:tcW w:w="1289" w:type="pct"/>
                  <w:tcBorders>
                    <w:tl2br w:val="nil"/>
                    <w:tr2bl w:val="nil"/>
                  </w:tcBorders>
                  <w:vAlign w:val="center"/>
                </w:tcPr>
                <w:p w14:paraId="18AE12C9">
                  <w:pPr>
                    <w:widowControl/>
                    <w:adjustRightInd w:val="0"/>
                    <w:snapToGrid w:val="0"/>
                    <w:jc w:val="center"/>
                    <w:rPr>
                      <w:color w:val="auto"/>
                      <w:sz w:val="21"/>
                      <w:szCs w:val="21"/>
                      <w:highlight w:val="none"/>
                    </w:rPr>
                  </w:pPr>
                  <w:r>
                    <w:rPr>
                      <w:color w:val="auto"/>
                      <w:sz w:val="21"/>
                      <w:szCs w:val="21"/>
                      <w:highlight w:val="none"/>
                    </w:rPr>
                    <w:t>50</w:t>
                  </w:r>
                </w:p>
              </w:tc>
            </w:tr>
            <w:tr w14:paraId="09D1E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130" w:type="pct"/>
                  <w:tcBorders>
                    <w:tl2br w:val="nil"/>
                    <w:tr2bl w:val="nil"/>
                  </w:tcBorders>
                  <w:vAlign w:val="center"/>
                </w:tcPr>
                <w:p w14:paraId="106AADD5">
                  <w:pPr>
                    <w:widowControl/>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4类区</w:t>
                  </w:r>
                </w:p>
              </w:tc>
              <w:tc>
                <w:tcPr>
                  <w:tcW w:w="1290" w:type="pct"/>
                  <w:tcBorders>
                    <w:tl2br w:val="nil"/>
                    <w:tr2bl w:val="nil"/>
                  </w:tcBorders>
                  <w:vAlign w:val="center"/>
                </w:tcPr>
                <w:p w14:paraId="76340997">
                  <w:pPr>
                    <w:widowControl/>
                    <w:adjustRightInd w:val="0"/>
                    <w:snapToGrid w:val="0"/>
                    <w:jc w:val="center"/>
                    <w:rPr>
                      <w:color w:val="auto"/>
                      <w:sz w:val="21"/>
                      <w:szCs w:val="21"/>
                      <w:highlight w:val="none"/>
                    </w:rPr>
                  </w:pPr>
                  <w:r>
                    <w:rPr>
                      <w:rFonts w:hint="eastAsia"/>
                      <w:color w:val="auto"/>
                      <w:sz w:val="21"/>
                      <w:szCs w:val="21"/>
                      <w:highlight w:val="none"/>
                    </w:rPr>
                    <w:t>4a类标准</w:t>
                  </w:r>
                </w:p>
              </w:tc>
              <w:tc>
                <w:tcPr>
                  <w:tcW w:w="1289" w:type="pct"/>
                  <w:tcBorders>
                    <w:tl2br w:val="nil"/>
                    <w:tr2bl w:val="nil"/>
                  </w:tcBorders>
                  <w:vAlign w:val="center"/>
                </w:tcPr>
                <w:p w14:paraId="4DD755C8">
                  <w:pPr>
                    <w:widowControl/>
                    <w:adjustRightInd w:val="0"/>
                    <w:snapToGrid w:val="0"/>
                    <w:jc w:val="center"/>
                    <w:rPr>
                      <w:color w:val="auto"/>
                      <w:sz w:val="21"/>
                      <w:szCs w:val="21"/>
                      <w:highlight w:val="none"/>
                    </w:rPr>
                  </w:pPr>
                  <w:r>
                    <w:rPr>
                      <w:rFonts w:hint="eastAsia"/>
                      <w:color w:val="auto"/>
                      <w:sz w:val="21"/>
                      <w:szCs w:val="21"/>
                      <w:highlight w:val="none"/>
                    </w:rPr>
                    <w:t>7</w:t>
                  </w:r>
                  <w:r>
                    <w:rPr>
                      <w:color w:val="auto"/>
                      <w:sz w:val="21"/>
                      <w:szCs w:val="21"/>
                      <w:highlight w:val="none"/>
                    </w:rPr>
                    <w:t>0</w:t>
                  </w:r>
                </w:p>
              </w:tc>
              <w:tc>
                <w:tcPr>
                  <w:tcW w:w="1289" w:type="pct"/>
                  <w:tcBorders>
                    <w:tl2br w:val="nil"/>
                    <w:tr2bl w:val="nil"/>
                  </w:tcBorders>
                  <w:vAlign w:val="center"/>
                </w:tcPr>
                <w:p w14:paraId="0D662FA6">
                  <w:pPr>
                    <w:widowControl/>
                    <w:adjustRightInd w:val="0"/>
                    <w:snapToGrid w:val="0"/>
                    <w:jc w:val="center"/>
                    <w:rPr>
                      <w:color w:val="auto"/>
                      <w:sz w:val="21"/>
                      <w:szCs w:val="21"/>
                      <w:highlight w:val="none"/>
                    </w:rPr>
                  </w:pPr>
                  <w:r>
                    <w:rPr>
                      <w:rFonts w:hint="eastAsia"/>
                      <w:color w:val="auto"/>
                      <w:sz w:val="21"/>
                      <w:szCs w:val="21"/>
                      <w:highlight w:val="none"/>
                    </w:rPr>
                    <w:t>5</w:t>
                  </w:r>
                  <w:r>
                    <w:rPr>
                      <w:color w:val="auto"/>
                      <w:sz w:val="21"/>
                      <w:szCs w:val="21"/>
                      <w:highlight w:val="none"/>
                    </w:rPr>
                    <w:t>5</w:t>
                  </w:r>
                </w:p>
              </w:tc>
            </w:tr>
          </w:tbl>
          <w:p w14:paraId="5A44C231">
            <w:pPr>
              <w:spacing w:line="480" w:lineRule="exact"/>
              <w:ind w:firstLine="482"/>
              <w:rPr>
                <w:rFonts w:hint="default" w:ascii="Times New Roman" w:hAnsi="Times New Roman" w:eastAsia="宋体" w:cs="Times New Roman"/>
                <w:b/>
                <w:sz w:val="24"/>
                <w:szCs w:val="24"/>
              </w:rPr>
            </w:pPr>
            <w:r>
              <w:rPr>
                <w:rFonts w:hint="eastAsia" w:cs="Times New Roman"/>
                <w:b/>
                <w:sz w:val="24"/>
                <w:szCs w:val="24"/>
                <w:lang w:val="en-US" w:eastAsia="zh-CN"/>
              </w:rPr>
              <w:t>3.5.4</w:t>
            </w:r>
            <w:r>
              <w:rPr>
                <w:rFonts w:hint="default" w:ascii="Times New Roman" w:hAnsi="Times New Roman" w:eastAsia="宋体" w:cs="Times New Roman"/>
                <w:b/>
                <w:sz w:val="24"/>
                <w:szCs w:val="24"/>
              </w:rPr>
              <w:t>底泥环境质量标准</w:t>
            </w:r>
          </w:p>
          <w:p w14:paraId="160A4E54">
            <w:pPr>
              <w:adjustRightInd w:val="0"/>
              <w:snapToGrid w:val="0"/>
              <w:spacing w:line="480" w:lineRule="exact"/>
              <w:ind w:firstLine="480" w:firstLineChars="200"/>
              <w:rPr>
                <w:rFonts w:hint="default" w:ascii="Times New Roman" w:hAnsi="Times New Roman" w:eastAsia="宋体" w:cs="Times New Roman"/>
                <w:kern w:val="0"/>
                <w:sz w:val="24"/>
                <w:szCs w:val="24"/>
              </w:rPr>
            </w:pPr>
            <w:r>
              <w:rPr>
                <w:rFonts w:hint="eastAsia" w:cs="Times New Roman"/>
                <w:kern w:val="0"/>
                <w:sz w:val="24"/>
                <w:szCs w:val="24"/>
                <w:highlight w:val="none"/>
                <w:lang w:val="en-US" w:eastAsia="zh-CN"/>
              </w:rPr>
              <w:t>京杭运河</w:t>
            </w:r>
            <w:r>
              <w:rPr>
                <w:rFonts w:hint="default" w:ascii="Times New Roman" w:hAnsi="Times New Roman" w:eastAsia="宋体" w:cs="Times New Roman"/>
                <w:kern w:val="0"/>
                <w:sz w:val="24"/>
                <w:szCs w:val="24"/>
                <w:highlight w:val="none"/>
              </w:rPr>
              <w:t>底泥</w:t>
            </w:r>
            <w:r>
              <w:rPr>
                <w:rFonts w:hint="eastAsia" w:cs="Times New Roman"/>
                <w:kern w:val="0"/>
                <w:sz w:val="24"/>
                <w:szCs w:val="24"/>
                <w:highlight w:val="none"/>
                <w:lang w:val="en-US" w:eastAsia="zh-CN"/>
              </w:rPr>
              <w:t>参照</w:t>
            </w:r>
            <w:r>
              <w:rPr>
                <w:rFonts w:hint="default" w:ascii="Times New Roman" w:hAnsi="Times New Roman" w:eastAsia="宋体" w:cs="Times New Roman"/>
                <w:kern w:val="0"/>
                <w:sz w:val="24"/>
                <w:szCs w:val="24"/>
                <w:highlight w:val="none"/>
              </w:rPr>
              <w:t>执行《土壤环境质量 农用地土壤污染风险管控标准（试行）》（GB15618-2018）表1农用地土壤污染风险筛选值</w:t>
            </w:r>
            <w:r>
              <w:rPr>
                <w:rFonts w:hint="eastAsia" w:cs="Times New Roman"/>
                <w:kern w:val="0"/>
                <w:sz w:val="24"/>
                <w:szCs w:val="24"/>
                <w:highlight w:val="none"/>
                <w:lang w:val="en-US" w:eastAsia="zh-CN"/>
              </w:rPr>
              <w:t>和表3</w:t>
            </w:r>
            <w:r>
              <w:rPr>
                <w:rFonts w:hint="default" w:ascii="Times New Roman" w:hAnsi="Times New Roman" w:eastAsia="宋体" w:cs="Times New Roman"/>
                <w:kern w:val="0"/>
                <w:sz w:val="24"/>
                <w:szCs w:val="24"/>
                <w:highlight w:val="none"/>
              </w:rPr>
              <w:t>农用地土壤污染风险</w:t>
            </w:r>
            <w:r>
              <w:rPr>
                <w:rFonts w:hint="eastAsia" w:cs="Times New Roman"/>
                <w:kern w:val="0"/>
                <w:sz w:val="24"/>
                <w:szCs w:val="24"/>
                <w:highlight w:val="none"/>
                <w:lang w:val="en-US" w:eastAsia="zh-CN"/>
              </w:rPr>
              <w:t>管控</w:t>
            </w:r>
            <w:r>
              <w:rPr>
                <w:rFonts w:hint="default" w:ascii="Times New Roman" w:hAnsi="Times New Roman" w:eastAsia="宋体" w:cs="Times New Roman"/>
                <w:kern w:val="0"/>
                <w:sz w:val="24"/>
                <w:szCs w:val="24"/>
                <w:highlight w:val="none"/>
              </w:rPr>
              <w:t>值（基本项目）。</w:t>
            </w:r>
          </w:p>
          <w:p w14:paraId="20DBB6A2">
            <w:pPr>
              <w:adjustRightInd w:val="0"/>
              <w:snapToGrid w:val="0"/>
              <w:spacing w:line="48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表3.</w:t>
            </w:r>
            <w:r>
              <w:rPr>
                <w:rFonts w:hint="eastAsia" w:cs="Times New Roman"/>
                <w:b/>
                <w:bCs/>
                <w:sz w:val="24"/>
                <w:szCs w:val="24"/>
                <w:lang w:val="en-US" w:eastAsia="zh-CN"/>
              </w:rPr>
              <w:t>5</w:t>
            </w:r>
            <w:r>
              <w:rPr>
                <w:rFonts w:hint="default" w:ascii="Times New Roman" w:hAnsi="Times New Roman" w:eastAsia="宋体" w:cs="Times New Roman"/>
                <w:b/>
                <w:bCs/>
                <w:sz w:val="24"/>
                <w:szCs w:val="24"/>
              </w:rPr>
              <w:t>-</w:t>
            </w:r>
            <w:r>
              <w:rPr>
                <w:rFonts w:hint="eastAsia" w:cs="Times New Roman"/>
                <w:b/>
                <w:bCs/>
                <w:sz w:val="24"/>
                <w:szCs w:val="24"/>
                <w:lang w:val="en-US" w:eastAsia="zh-CN"/>
              </w:rPr>
              <w:t>4</w:t>
            </w:r>
            <w:r>
              <w:rPr>
                <w:rFonts w:hint="default" w:ascii="Times New Roman" w:hAnsi="Times New Roman" w:eastAsia="宋体" w:cs="Times New Roman"/>
                <w:b/>
                <w:bCs/>
                <w:sz w:val="24"/>
                <w:szCs w:val="24"/>
              </w:rPr>
              <w:t xml:space="preserve">  底泥环境质量标准</w:t>
            </w:r>
            <w:r>
              <w:rPr>
                <w:rFonts w:hint="eastAsia" w:cs="Times New Roman"/>
                <w:b/>
                <w:bCs/>
                <w:sz w:val="24"/>
                <w:szCs w:val="24"/>
                <w:lang w:eastAsia="zh-CN"/>
              </w:rPr>
              <w:t>（</w:t>
            </w:r>
            <w:r>
              <w:rPr>
                <w:rFonts w:hint="default" w:ascii="Times New Roman" w:hAnsi="Times New Roman" w:eastAsia="宋体" w:cs="Times New Roman"/>
                <w:b/>
                <w:bCs/>
                <w:sz w:val="24"/>
                <w:szCs w:val="24"/>
              </w:rPr>
              <w:t>风险筛选值</w:t>
            </w:r>
            <w:r>
              <w:rPr>
                <w:rFonts w:hint="eastAsia" w:cs="Times New Roman"/>
                <w:b/>
                <w:bCs/>
                <w:sz w:val="24"/>
                <w:szCs w:val="24"/>
                <w:lang w:eastAsia="zh-CN"/>
              </w:rPr>
              <w:t>）</w:t>
            </w:r>
            <w:r>
              <w:rPr>
                <w:rFonts w:hint="default" w:ascii="Times New Roman" w:hAnsi="Times New Roman" w:eastAsia="宋体" w:cs="Times New Roman"/>
                <w:b/>
                <w:bCs/>
                <w:sz w:val="24"/>
                <w:szCs w:val="24"/>
              </w:rPr>
              <w:t xml:space="preserve">  单位：mg/kg</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526"/>
              <w:gridCol w:w="1612"/>
              <w:gridCol w:w="1214"/>
              <w:gridCol w:w="1449"/>
              <w:gridCol w:w="1486"/>
              <w:gridCol w:w="1267"/>
            </w:tblGrid>
            <w:tr w14:paraId="45031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8" w:hRule="atLeast"/>
                <w:tblHeader/>
                <w:jc w:val="center"/>
              </w:trPr>
              <w:tc>
                <w:tcPr>
                  <w:tcW w:w="376" w:type="pct"/>
                  <w:vMerge w:val="restart"/>
                  <w:tcBorders>
                    <w:tl2br w:val="nil"/>
                    <w:tr2bl w:val="nil"/>
                  </w:tcBorders>
                  <w:noWrap w:val="0"/>
                  <w:vAlign w:val="center"/>
                </w:tcPr>
                <w:p w14:paraId="737D181D">
                  <w:pPr>
                    <w:pStyle w:val="375"/>
                    <w:widowControl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696" w:type="pct"/>
                  <w:gridSpan w:val="2"/>
                  <w:vMerge w:val="restart"/>
                  <w:tcBorders>
                    <w:tl2br w:val="nil"/>
                    <w:tr2bl w:val="nil"/>
                  </w:tcBorders>
                  <w:noWrap w:val="0"/>
                  <w:vAlign w:val="center"/>
                </w:tcPr>
                <w:p w14:paraId="437B0A2B">
                  <w:pPr>
                    <w:pStyle w:val="375"/>
                    <w:widowControl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927" w:type="pct"/>
                  <w:gridSpan w:val="4"/>
                  <w:tcBorders>
                    <w:tl2br w:val="nil"/>
                    <w:tr2bl w:val="nil"/>
                  </w:tcBorders>
                  <w:noWrap w:val="0"/>
                  <w:vAlign w:val="center"/>
                </w:tcPr>
                <w:p w14:paraId="3D83B726">
                  <w:pPr>
                    <w:pStyle w:val="375"/>
                    <w:widowControl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风险筛选值</w:t>
                  </w:r>
                </w:p>
              </w:tc>
            </w:tr>
            <w:tr w14:paraId="1980E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376" w:type="pct"/>
                  <w:vMerge w:val="continue"/>
                  <w:tcBorders>
                    <w:tl2br w:val="nil"/>
                    <w:tr2bl w:val="nil"/>
                  </w:tcBorders>
                  <w:noWrap w:val="0"/>
                  <w:vAlign w:val="center"/>
                </w:tcPr>
                <w:p w14:paraId="4EA8574B">
                  <w:pPr>
                    <w:pStyle w:val="375"/>
                    <w:widowControl w:val="0"/>
                    <w:jc w:val="center"/>
                    <w:rPr>
                      <w:rFonts w:hint="default" w:ascii="Times New Roman" w:hAnsi="Times New Roman" w:eastAsia="宋体" w:cs="Times New Roman"/>
                      <w:b/>
                      <w:bCs/>
                      <w:sz w:val="21"/>
                      <w:szCs w:val="21"/>
                    </w:rPr>
                  </w:pPr>
                </w:p>
              </w:tc>
              <w:tc>
                <w:tcPr>
                  <w:tcW w:w="1696" w:type="pct"/>
                  <w:gridSpan w:val="2"/>
                  <w:vMerge w:val="continue"/>
                  <w:tcBorders>
                    <w:tl2br w:val="nil"/>
                    <w:tr2bl w:val="nil"/>
                  </w:tcBorders>
                  <w:noWrap w:val="0"/>
                  <w:vAlign w:val="center"/>
                </w:tcPr>
                <w:p w14:paraId="2B68421E">
                  <w:pPr>
                    <w:pStyle w:val="375"/>
                    <w:widowControl w:val="0"/>
                    <w:jc w:val="center"/>
                    <w:rPr>
                      <w:rFonts w:hint="default" w:ascii="Times New Roman" w:hAnsi="Times New Roman" w:eastAsia="宋体" w:cs="Times New Roman"/>
                      <w:b/>
                      <w:bCs/>
                      <w:sz w:val="21"/>
                      <w:szCs w:val="21"/>
                    </w:rPr>
                  </w:pPr>
                </w:p>
              </w:tc>
              <w:tc>
                <w:tcPr>
                  <w:tcW w:w="656" w:type="pct"/>
                  <w:tcBorders>
                    <w:tl2br w:val="nil"/>
                    <w:tr2bl w:val="nil"/>
                  </w:tcBorders>
                  <w:noWrap w:val="0"/>
                  <w:vAlign w:val="center"/>
                </w:tcPr>
                <w:p w14:paraId="1F5FC8B1">
                  <w:pPr>
                    <w:pStyle w:val="375"/>
                    <w:widowControl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pH≤5.5</w:t>
                  </w:r>
                </w:p>
              </w:tc>
              <w:tc>
                <w:tcPr>
                  <w:tcW w:w="783" w:type="pct"/>
                  <w:tcBorders>
                    <w:tl2br w:val="nil"/>
                    <w:tr2bl w:val="nil"/>
                  </w:tcBorders>
                  <w:noWrap w:val="0"/>
                  <w:vAlign w:val="center"/>
                </w:tcPr>
                <w:p w14:paraId="2F28AC2A">
                  <w:pPr>
                    <w:pStyle w:val="375"/>
                    <w:widowControl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5.5＜pH≤6.5</w:t>
                  </w:r>
                </w:p>
              </w:tc>
              <w:tc>
                <w:tcPr>
                  <w:tcW w:w="803" w:type="pct"/>
                  <w:tcBorders>
                    <w:tl2br w:val="nil"/>
                    <w:tr2bl w:val="nil"/>
                  </w:tcBorders>
                  <w:noWrap w:val="0"/>
                  <w:vAlign w:val="center"/>
                </w:tcPr>
                <w:p w14:paraId="2D649A85">
                  <w:pPr>
                    <w:pStyle w:val="375"/>
                    <w:widowControl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6.5＜pH≤7.5</w:t>
                  </w:r>
                </w:p>
              </w:tc>
              <w:tc>
                <w:tcPr>
                  <w:tcW w:w="685" w:type="pct"/>
                  <w:tcBorders>
                    <w:tl2br w:val="nil"/>
                    <w:tr2bl w:val="nil"/>
                  </w:tcBorders>
                  <w:noWrap w:val="0"/>
                  <w:vAlign w:val="center"/>
                </w:tcPr>
                <w:p w14:paraId="41699104">
                  <w:pPr>
                    <w:pStyle w:val="375"/>
                    <w:widowControl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pH＞7.5</w:t>
                  </w:r>
                </w:p>
              </w:tc>
            </w:tr>
            <w:tr w14:paraId="12D0D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restart"/>
                  <w:tcBorders>
                    <w:tl2br w:val="nil"/>
                    <w:tr2bl w:val="nil"/>
                  </w:tcBorders>
                  <w:noWrap w:val="0"/>
                  <w:vAlign w:val="center"/>
                </w:tcPr>
                <w:p w14:paraId="16114DCC">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25" w:type="pct"/>
                  <w:vMerge w:val="restart"/>
                  <w:tcBorders>
                    <w:tl2br w:val="nil"/>
                    <w:tr2bl w:val="nil"/>
                  </w:tcBorders>
                  <w:noWrap w:val="0"/>
                  <w:vAlign w:val="center"/>
                </w:tcPr>
                <w:p w14:paraId="6F804B3D">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镉</w:t>
                  </w:r>
                </w:p>
              </w:tc>
              <w:tc>
                <w:tcPr>
                  <w:tcW w:w="871" w:type="pct"/>
                  <w:tcBorders>
                    <w:tl2br w:val="nil"/>
                    <w:tr2bl w:val="nil"/>
                  </w:tcBorders>
                  <w:noWrap w:val="0"/>
                  <w:vAlign w:val="center"/>
                </w:tcPr>
                <w:p w14:paraId="7DE93425">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水田</w:t>
                  </w:r>
                </w:p>
              </w:tc>
              <w:tc>
                <w:tcPr>
                  <w:tcW w:w="656" w:type="pct"/>
                  <w:tcBorders>
                    <w:tl2br w:val="nil"/>
                    <w:tr2bl w:val="nil"/>
                  </w:tcBorders>
                  <w:noWrap w:val="0"/>
                  <w:vAlign w:val="center"/>
                </w:tcPr>
                <w:p w14:paraId="106EEE90">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c>
                <w:tcPr>
                  <w:tcW w:w="783" w:type="pct"/>
                  <w:tcBorders>
                    <w:tl2br w:val="nil"/>
                    <w:tr2bl w:val="nil"/>
                  </w:tcBorders>
                  <w:noWrap w:val="0"/>
                  <w:vAlign w:val="center"/>
                </w:tcPr>
                <w:p w14:paraId="0E1330C0">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w:t>
                  </w:r>
                </w:p>
              </w:tc>
              <w:tc>
                <w:tcPr>
                  <w:tcW w:w="803" w:type="pct"/>
                  <w:tcBorders>
                    <w:tl2br w:val="nil"/>
                    <w:tr2bl w:val="nil"/>
                  </w:tcBorders>
                  <w:noWrap w:val="0"/>
                  <w:vAlign w:val="center"/>
                </w:tcPr>
                <w:p w14:paraId="2A069278">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685" w:type="pct"/>
                  <w:tcBorders>
                    <w:tl2br w:val="nil"/>
                    <w:tr2bl w:val="nil"/>
                  </w:tcBorders>
                  <w:noWrap w:val="0"/>
                  <w:vAlign w:val="center"/>
                </w:tcPr>
                <w:p w14:paraId="7FE93537">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w:t>
                  </w:r>
                </w:p>
              </w:tc>
            </w:tr>
            <w:tr w14:paraId="10DCB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continue"/>
                  <w:tcBorders>
                    <w:tl2br w:val="nil"/>
                    <w:tr2bl w:val="nil"/>
                  </w:tcBorders>
                  <w:noWrap w:val="0"/>
                  <w:vAlign w:val="center"/>
                </w:tcPr>
                <w:p w14:paraId="2053E9BE">
                  <w:pPr>
                    <w:pStyle w:val="375"/>
                    <w:widowControl w:val="0"/>
                    <w:jc w:val="center"/>
                    <w:rPr>
                      <w:rFonts w:hint="default" w:ascii="Times New Roman" w:hAnsi="Times New Roman" w:eastAsia="宋体" w:cs="Times New Roman"/>
                      <w:sz w:val="21"/>
                      <w:szCs w:val="21"/>
                    </w:rPr>
                  </w:pPr>
                </w:p>
              </w:tc>
              <w:tc>
                <w:tcPr>
                  <w:tcW w:w="825" w:type="pct"/>
                  <w:vMerge w:val="continue"/>
                  <w:tcBorders>
                    <w:tl2br w:val="nil"/>
                    <w:tr2bl w:val="nil"/>
                  </w:tcBorders>
                  <w:noWrap w:val="0"/>
                  <w:vAlign w:val="center"/>
                </w:tcPr>
                <w:p w14:paraId="5D0A450E">
                  <w:pPr>
                    <w:pStyle w:val="375"/>
                    <w:widowControl w:val="0"/>
                    <w:jc w:val="center"/>
                    <w:rPr>
                      <w:rFonts w:hint="default" w:ascii="Times New Roman" w:hAnsi="Times New Roman" w:eastAsia="宋体" w:cs="Times New Roman"/>
                      <w:sz w:val="21"/>
                      <w:szCs w:val="21"/>
                    </w:rPr>
                  </w:pPr>
                </w:p>
              </w:tc>
              <w:tc>
                <w:tcPr>
                  <w:tcW w:w="871" w:type="pct"/>
                  <w:tcBorders>
                    <w:tl2br w:val="nil"/>
                    <w:tr2bl w:val="nil"/>
                  </w:tcBorders>
                  <w:noWrap w:val="0"/>
                  <w:vAlign w:val="center"/>
                </w:tcPr>
                <w:p w14:paraId="430C08B6">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656" w:type="pct"/>
                  <w:tcBorders>
                    <w:tl2br w:val="nil"/>
                    <w:tr2bl w:val="nil"/>
                  </w:tcBorders>
                  <w:noWrap w:val="0"/>
                  <w:vAlign w:val="center"/>
                </w:tcPr>
                <w:p w14:paraId="2125F620">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c>
                <w:tcPr>
                  <w:tcW w:w="783" w:type="pct"/>
                  <w:tcBorders>
                    <w:tl2br w:val="nil"/>
                    <w:tr2bl w:val="nil"/>
                  </w:tcBorders>
                  <w:noWrap w:val="0"/>
                  <w:vAlign w:val="center"/>
                </w:tcPr>
                <w:p w14:paraId="3C2830C2">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c>
                <w:tcPr>
                  <w:tcW w:w="803" w:type="pct"/>
                  <w:tcBorders>
                    <w:tl2br w:val="nil"/>
                    <w:tr2bl w:val="nil"/>
                  </w:tcBorders>
                  <w:noWrap w:val="0"/>
                  <w:vAlign w:val="center"/>
                </w:tcPr>
                <w:p w14:paraId="64F81204">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c>
                <w:tcPr>
                  <w:tcW w:w="685" w:type="pct"/>
                  <w:tcBorders>
                    <w:tl2br w:val="nil"/>
                    <w:tr2bl w:val="nil"/>
                  </w:tcBorders>
                  <w:noWrap w:val="0"/>
                  <w:vAlign w:val="center"/>
                </w:tcPr>
                <w:p w14:paraId="759982A2">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r w14:paraId="78B87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restart"/>
                  <w:tcBorders>
                    <w:tl2br w:val="nil"/>
                    <w:tr2bl w:val="nil"/>
                  </w:tcBorders>
                  <w:noWrap w:val="0"/>
                  <w:vAlign w:val="center"/>
                </w:tcPr>
                <w:p w14:paraId="31C05131">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25" w:type="pct"/>
                  <w:vMerge w:val="restart"/>
                  <w:tcBorders>
                    <w:tl2br w:val="nil"/>
                    <w:tr2bl w:val="nil"/>
                  </w:tcBorders>
                  <w:noWrap w:val="0"/>
                  <w:vAlign w:val="center"/>
                </w:tcPr>
                <w:p w14:paraId="7A402FBB">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汞</w:t>
                  </w:r>
                </w:p>
              </w:tc>
              <w:tc>
                <w:tcPr>
                  <w:tcW w:w="871" w:type="pct"/>
                  <w:tcBorders>
                    <w:tl2br w:val="nil"/>
                    <w:tr2bl w:val="nil"/>
                  </w:tcBorders>
                  <w:noWrap w:val="0"/>
                  <w:vAlign w:val="center"/>
                </w:tcPr>
                <w:p w14:paraId="2AAC3204">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水田</w:t>
                  </w:r>
                </w:p>
              </w:tc>
              <w:tc>
                <w:tcPr>
                  <w:tcW w:w="656" w:type="pct"/>
                  <w:tcBorders>
                    <w:tl2br w:val="nil"/>
                    <w:tr2bl w:val="nil"/>
                  </w:tcBorders>
                  <w:noWrap w:val="0"/>
                  <w:vAlign w:val="center"/>
                </w:tcPr>
                <w:p w14:paraId="008F1EEB">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783" w:type="pct"/>
                  <w:tcBorders>
                    <w:tl2br w:val="nil"/>
                    <w:tr2bl w:val="nil"/>
                  </w:tcBorders>
                  <w:noWrap w:val="0"/>
                  <w:vAlign w:val="center"/>
                </w:tcPr>
                <w:p w14:paraId="55288B29">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803" w:type="pct"/>
                  <w:tcBorders>
                    <w:tl2br w:val="nil"/>
                    <w:tr2bl w:val="nil"/>
                  </w:tcBorders>
                  <w:noWrap w:val="0"/>
                  <w:vAlign w:val="center"/>
                </w:tcPr>
                <w:p w14:paraId="502EDD5A">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685" w:type="pct"/>
                  <w:tcBorders>
                    <w:tl2br w:val="nil"/>
                    <w:tr2bl w:val="nil"/>
                  </w:tcBorders>
                  <w:noWrap w:val="0"/>
                  <w:vAlign w:val="center"/>
                </w:tcPr>
                <w:p w14:paraId="2FE1EEA5">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r w14:paraId="2E741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continue"/>
                  <w:tcBorders>
                    <w:tl2br w:val="nil"/>
                    <w:tr2bl w:val="nil"/>
                  </w:tcBorders>
                  <w:noWrap w:val="0"/>
                  <w:vAlign w:val="center"/>
                </w:tcPr>
                <w:p w14:paraId="7630F58E">
                  <w:pPr>
                    <w:pStyle w:val="375"/>
                    <w:widowControl w:val="0"/>
                    <w:jc w:val="center"/>
                    <w:rPr>
                      <w:rFonts w:hint="default" w:ascii="Times New Roman" w:hAnsi="Times New Roman" w:eastAsia="宋体" w:cs="Times New Roman"/>
                      <w:sz w:val="21"/>
                      <w:szCs w:val="21"/>
                    </w:rPr>
                  </w:pPr>
                </w:p>
              </w:tc>
              <w:tc>
                <w:tcPr>
                  <w:tcW w:w="825" w:type="pct"/>
                  <w:vMerge w:val="continue"/>
                  <w:tcBorders>
                    <w:tl2br w:val="nil"/>
                    <w:tr2bl w:val="nil"/>
                  </w:tcBorders>
                  <w:noWrap w:val="0"/>
                  <w:vAlign w:val="center"/>
                </w:tcPr>
                <w:p w14:paraId="4C8D2AB0">
                  <w:pPr>
                    <w:pStyle w:val="375"/>
                    <w:widowControl w:val="0"/>
                    <w:jc w:val="center"/>
                    <w:rPr>
                      <w:rFonts w:hint="default" w:ascii="Times New Roman" w:hAnsi="Times New Roman" w:eastAsia="宋体" w:cs="Times New Roman"/>
                      <w:sz w:val="21"/>
                      <w:szCs w:val="21"/>
                    </w:rPr>
                  </w:pPr>
                </w:p>
              </w:tc>
              <w:tc>
                <w:tcPr>
                  <w:tcW w:w="871" w:type="pct"/>
                  <w:tcBorders>
                    <w:tl2br w:val="nil"/>
                    <w:tr2bl w:val="nil"/>
                  </w:tcBorders>
                  <w:noWrap w:val="0"/>
                  <w:vAlign w:val="center"/>
                </w:tcPr>
                <w:p w14:paraId="5A801BC0">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656" w:type="pct"/>
                  <w:tcBorders>
                    <w:tl2br w:val="nil"/>
                    <w:tr2bl w:val="nil"/>
                  </w:tcBorders>
                  <w:noWrap w:val="0"/>
                  <w:vAlign w:val="center"/>
                </w:tcPr>
                <w:p w14:paraId="6945BE92">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783" w:type="pct"/>
                  <w:tcBorders>
                    <w:tl2br w:val="nil"/>
                    <w:tr2bl w:val="nil"/>
                  </w:tcBorders>
                  <w:noWrap w:val="0"/>
                  <w:vAlign w:val="center"/>
                </w:tcPr>
                <w:p w14:paraId="733F9585">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803" w:type="pct"/>
                  <w:tcBorders>
                    <w:tl2br w:val="nil"/>
                    <w:tr2bl w:val="nil"/>
                  </w:tcBorders>
                  <w:noWrap w:val="0"/>
                  <w:vAlign w:val="center"/>
                </w:tcPr>
                <w:p w14:paraId="0AF06F3F">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685" w:type="pct"/>
                  <w:tcBorders>
                    <w:tl2br w:val="nil"/>
                    <w:tr2bl w:val="nil"/>
                  </w:tcBorders>
                  <w:noWrap w:val="0"/>
                  <w:vAlign w:val="center"/>
                </w:tcPr>
                <w:p w14:paraId="19346693">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w:t>
                  </w:r>
                </w:p>
              </w:tc>
            </w:tr>
            <w:tr w14:paraId="00786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restart"/>
                  <w:tcBorders>
                    <w:tl2br w:val="nil"/>
                    <w:tr2bl w:val="nil"/>
                  </w:tcBorders>
                  <w:noWrap w:val="0"/>
                  <w:vAlign w:val="center"/>
                </w:tcPr>
                <w:p w14:paraId="1B6616FD">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25" w:type="pct"/>
                  <w:vMerge w:val="restart"/>
                  <w:tcBorders>
                    <w:tl2br w:val="nil"/>
                    <w:tr2bl w:val="nil"/>
                  </w:tcBorders>
                  <w:noWrap w:val="0"/>
                  <w:vAlign w:val="center"/>
                </w:tcPr>
                <w:p w14:paraId="651B06C5">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砷</w:t>
                  </w:r>
                </w:p>
              </w:tc>
              <w:tc>
                <w:tcPr>
                  <w:tcW w:w="871" w:type="pct"/>
                  <w:tcBorders>
                    <w:tl2br w:val="nil"/>
                    <w:tr2bl w:val="nil"/>
                  </w:tcBorders>
                  <w:noWrap w:val="0"/>
                  <w:vAlign w:val="center"/>
                </w:tcPr>
                <w:p w14:paraId="28A60B31">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水田</w:t>
                  </w:r>
                </w:p>
              </w:tc>
              <w:tc>
                <w:tcPr>
                  <w:tcW w:w="656" w:type="pct"/>
                  <w:tcBorders>
                    <w:tl2br w:val="nil"/>
                    <w:tr2bl w:val="nil"/>
                  </w:tcBorders>
                  <w:noWrap w:val="0"/>
                  <w:vAlign w:val="center"/>
                </w:tcPr>
                <w:p w14:paraId="3BD4CE18">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783" w:type="pct"/>
                  <w:tcBorders>
                    <w:tl2br w:val="nil"/>
                    <w:tr2bl w:val="nil"/>
                  </w:tcBorders>
                  <w:noWrap w:val="0"/>
                  <w:vAlign w:val="center"/>
                </w:tcPr>
                <w:p w14:paraId="1782B570">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803" w:type="pct"/>
                  <w:tcBorders>
                    <w:tl2br w:val="nil"/>
                    <w:tr2bl w:val="nil"/>
                  </w:tcBorders>
                  <w:noWrap w:val="0"/>
                  <w:vAlign w:val="center"/>
                </w:tcPr>
                <w:p w14:paraId="07110F70">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685" w:type="pct"/>
                  <w:tcBorders>
                    <w:tl2br w:val="nil"/>
                    <w:tr2bl w:val="nil"/>
                  </w:tcBorders>
                  <w:noWrap w:val="0"/>
                  <w:vAlign w:val="center"/>
                </w:tcPr>
                <w:p w14:paraId="6AD0F681">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14:paraId="799E6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continue"/>
                  <w:tcBorders>
                    <w:tl2br w:val="nil"/>
                    <w:tr2bl w:val="nil"/>
                  </w:tcBorders>
                  <w:noWrap w:val="0"/>
                  <w:vAlign w:val="center"/>
                </w:tcPr>
                <w:p w14:paraId="1E96C518">
                  <w:pPr>
                    <w:pStyle w:val="375"/>
                    <w:widowControl w:val="0"/>
                    <w:jc w:val="center"/>
                    <w:rPr>
                      <w:rFonts w:hint="default" w:ascii="Times New Roman" w:hAnsi="Times New Roman" w:eastAsia="宋体" w:cs="Times New Roman"/>
                      <w:sz w:val="21"/>
                      <w:szCs w:val="21"/>
                    </w:rPr>
                  </w:pPr>
                </w:p>
              </w:tc>
              <w:tc>
                <w:tcPr>
                  <w:tcW w:w="825" w:type="pct"/>
                  <w:vMerge w:val="continue"/>
                  <w:tcBorders>
                    <w:tl2br w:val="nil"/>
                    <w:tr2bl w:val="nil"/>
                  </w:tcBorders>
                  <w:noWrap w:val="0"/>
                  <w:vAlign w:val="center"/>
                </w:tcPr>
                <w:p w14:paraId="7061B3E2">
                  <w:pPr>
                    <w:pStyle w:val="375"/>
                    <w:widowControl w:val="0"/>
                    <w:jc w:val="center"/>
                    <w:rPr>
                      <w:rFonts w:hint="default" w:ascii="Times New Roman" w:hAnsi="Times New Roman" w:eastAsia="宋体" w:cs="Times New Roman"/>
                      <w:sz w:val="21"/>
                      <w:szCs w:val="21"/>
                    </w:rPr>
                  </w:pPr>
                </w:p>
              </w:tc>
              <w:tc>
                <w:tcPr>
                  <w:tcW w:w="871" w:type="pct"/>
                  <w:tcBorders>
                    <w:tl2br w:val="nil"/>
                    <w:tr2bl w:val="nil"/>
                  </w:tcBorders>
                  <w:noWrap w:val="0"/>
                  <w:vAlign w:val="center"/>
                </w:tcPr>
                <w:p w14:paraId="78B51C37">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656" w:type="pct"/>
                  <w:tcBorders>
                    <w:tl2br w:val="nil"/>
                    <w:tr2bl w:val="nil"/>
                  </w:tcBorders>
                  <w:noWrap w:val="0"/>
                  <w:vAlign w:val="center"/>
                </w:tcPr>
                <w:p w14:paraId="7B05CA41">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783" w:type="pct"/>
                  <w:tcBorders>
                    <w:tl2br w:val="nil"/>
                    <w:tr2bl w:val="nil"/>
                  </w:tcBorders>
                  <w:noWrap w:val="0"/>
                  <w:vAlign w:val="center"/>
                </w:tcPr>
                <w:p w14:paraId="23721067">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803" w:type="pct"/>
                  <w:tcBorders>
                    <w:tl2br w:val="nil"/>
                    <w:tr2bl w:val="nil"/>
                  </w:tcBorders>
                  <w:noWrap w:val="0"/>
                  <w:vAlign w:val="center"/>
                </w:tcPr>
                <w:p w14:paraId="69B783BC">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685" w:type="pct"/>
                  <w:tcBorders>
                    <w:tl2br w:val="nil"/>
                    <w:tr2bl w:val="nil"/>
                  </w:tcBorders>
                  <w:noWrap w:val="0"/>
                  <w:vAlign w:val="center"/>
                </w:tcPr>
                <w:p w14:paraId="65F1A553">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r>
            <w:tr w14:paraId="4C442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restart"/>
                  <w:tcBorders>
                    <w:tl2br w:val="nil"/>
                    <w:tr2bl w:val="nil"/>
                  </w:tcBorders>
                  <w:noWrap w:val="0"/>
                  <w:vAlign w:val="center"/>
                </w:tcPr>
                <w:p w14:paraId="676B6731">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25" w:type="pct"/>
                  <w:vMerge w:val="restart"/>
                  <w:tcBorders>
                    <w:tl2br w:val="nil"/>
                    <w:tr2bl w:val="nil"/>
                  </w:tcBorders>
                  <w:noWrap w:val="0"/>
                  <w:vAlign w:val="center"/>
                </w:tcPr>
                <w:p w14:paraId="18215A51">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铅</w:t>
                  </w:r>
                </w:p>
              </w:tc>
              <w:tc>
                <w:tcPr>
                  <w:tcW w:w="871" w:type="pct"/>
                  <w:tcBorders>
                    <w:tl2br w:val="nil"/>
                    <w:tr2bl w:val="nil"/>
                  </w:tcBorders>
                  <w:noWrap w:val="0"/>
                  <w:vAlign w:val="center"/>
                </w:tcPr>
                <w:p w14:paraId="3F5BF6D3">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水田</w:t>
                  </w:r>
                </w:p>
              </w:tc>
              <w:tc>
                <w:tcPr>
                  <w:tcW w:w="656" w:type="pct"/>
                  <w:tcBorders>
                    <w:tl2br w:val="nil"/>
                    <w:tr2bl w:val="nil"/>
                  </w:tcBorders>
                  <w:noWrap w:val="0"/>
                  <w:vAlign w:val="center"/>
                </w:tcPr>
                <w:p w14:paraId="2EE9D39A">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783" w:type="pct"/>
                  <w:tcBorders>
                    <w:tl2br w:val="nil"/>
                    <w:tr2bl w:val="nil"/>
                  </w:tcBorders>
                  <w:noWrap w:val="0"/>
                  <w:vAlign w:val="center"/>
                </w:tcPr>
                <w:p w14:paraId="61E9D225">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803" w:type="pct"/>
                  <w:tcBorders>
                    <w:tl2br w:val="nil"/>
                    <w:tr2bl w:val="nil"/>
                  </w:tcBorders>
                  <w:noWrap w:val="0"/>
                  <w:vAlign w:val="center"/>
                </w:tcPr>
                <w:p w14:paraId="69F34D3E">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w:t>
                  </w:r>
                </w:p>
              </w:tc>
              <w:tc>
                <w:tcPr>
                  <w:tcW w:w="685" w:type="pct"/>
                  <w:tcBorders>
                    <w:tl2br w:val="nil"/>
                    <w:tr2bl w:val="nil"/>
                  </w:tcBorders>
                  <w:noWrap w:val="0"/>
                  <w:vAlign w:val="center"/>
                </w:tcPr>
                <w:p w14:paraId="1AEA0691">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240</w:t>
                  </w:r>
                </w:p>
              </w:tc>
            </w:tr>
            <w:tr w14:paraId="72D5F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continue"/>
                  <w:tcBorders>
                    <w:tl2br w:val="nil"/>
                    <w:tr2bl w:val="nil"/>
                  </w:tcBorders>
                  <w:noWrap w:val="0"/>
                  <w:vAlign w:val="center"/>
                </w:tcPr>
                <w:p w14:paraId="5B0F6462">
                  <w:pPr>
                    <w:pStyle w:val="375"/>
                    <w:widowControl w:val="0"/>
                    <w:jc w:val="center"/>
                    <w:rPr>
                      <w:rFonts w:hint="default" w:ascii="Times New Roman" w:hAnsi="Times New Roman" w:eastAsia="宋体" w:cs="Times New Roman"/>
                      <w:sz w:val="21"/>
                      <w:szCs w:val="21"/>
                    </w:rPr>
                  </w:pPr>
                </w:p>
              </w:tc>
              <w:tc>
                <w:tcPr>
                  <w:tcW w:w="825" w:type="pct"/>
                  <w:vMerge w:val="continue"/>
                  <w:tcBorders>
                    <w:tl2br w:val="nil"/>
                    <w:tr2bl w:val="nil"/>
                  </w:tcBorders>
                  <w:noWrap w:val="0"/>
                  <w:vAlign w:val="center"/>
                </w:tcPr>
                <w:p w14:paraId="3B9C904F">
                  <w:pPr>
                    <w:pStyle w:val="375"/>
                    <w:widowControl w:val="0"/>
                    <w:jc w:val="center"/>
                    <w:rPr>
                      <w:rFonts w:hint="default" w:ascii="Times New Roman" w:hAnsi="Times New Roman" w:eastAsia="宋体" w:cs="Times New Roman"/>
                      <w:sz w:val="21"/>
                      <w:szCs w:val="21"/>
                    </w:rPr>
                  </w:pPr>
                </w:p>
              </w:tc>
              <w:tc>
                <w:tcPr>
                  <w:tcW w:w="871" w:type="pct"/>
                  <w:tcBorders>
                    <w:tl2br w:val="nil"/>
                    <w:tr2bl w:val="nil"/>
                  </w:tcBorders>
                  <w:noWrap w:val="0"/>
                  <w:vAlign w:val="center"/>
                </w:tcPr>
                <w:p w14:paraId="2DDF2034">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656" w:type="pct"/>
                  <w:tcBorders>
                    <w:tl2br w:val="nil"/>
                    <w:tr2bl w:val="nil"/>
                  </w:tcBorders>
                  <w:noWrap w:val="0"/>
                  <w:vAlign w:val="center"/>
                </w:tcPr>
                <w:p w14:paraId="264515EE">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783" w:type="pct"/>
                  <w:tcBorders>
                    <w:tl2br w:val="nil"/>
                    <w:tr2bl w:val="nil"/>
                  </w:tcBorders>
                  <w:noWrap w:val="0"/>
                  <w:vAlign w:val="center"/>
                </w:tcPr>
                <w:p w14:paraId="32E31B22">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c>
                <w:tcPr>
                  <w:tcW w:w="803" w:type="pct"/>
                  <w:tcBorders>
                    <w:tl2br w:val="nil"/>
                    <w:tr2bl w:val="nil"/>
                  </w:tcBorders>
                  <w:noWrap w:val="0"/>
                  <w:vAlign w:val="center"/>
                </w:tcPr>
                <w:p w14:paraId="2AB54438">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c>
                <w:tcPr>
                  <w:tcW w:w="685" w:type="pct"/>
                  <w:tcBorders>
                    <w:tl2br w:val="nil"/>
                    <w:tr2bl w:val="nil"/>
                  </w:tcBorders>
                  <w:noWrap w:val="0"/>
                  <w:vAlign w:val="center"/>
                </w:tcPr>
                <w:p w14:paraId="02B0BF9B">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170</w:t>
                  </w:r>
                </w:p>
              </w:tc>
            </w:tr>
            <w:tr w14:paraId="22E14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restart"/>
                  <w:tcBorders>
                    <w:tl2br w:val="nil"/>
                    <w:tr2bl w:val="nil"/>
                  </w:tcBorders>
                  <w:noWrap w:val="0"/>
                  <w:vAlign w:val="center"/>
                </w:tcPr>
                <w:p w14:paraId="76AEF78C">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25" w:type="pct"/>
                  <w:vMerge w:val="restart"/>
                  <w:tcBorders>
                    <w:tl2br w:val="nil"/>
                    <w:tr2bl w:val="nil"/>
                  </w:tcBorders>
                  <w:noWrap w:val="0"/>
                  <w:vAlign w:val="center"/>
                </w:tcPr>
                <w:p w14:paraId="34BFDA1F">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铬</w:t>
                  </w:r>
                </w:p>
              </w:tc>
              <w:tc>
                <w:tcPr>
                  <w:tcW w:w="871" w:type="pct"/>
                  <w:tcBorders>
                    <w:tl2br w:val="nil"/>
                    <w:tr2bl w:val="nil"/>
                  </w:tcBorders>
                  <w:noWrap w:val="0"/>
                  <w:vAlign w:val="center"/>
                </w:tcPr>
                <w:p w14:paraId="6DC3F7C4">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水田</w:t>
                  </w:r>
                </w:p>
              </w:tc>
              <w:tc>
                <w:tcPr>
                  <w:tcW w:w="656" w:type="pct"/>
                  <w:tcBorders>
                    <w:tl2br w:val="nil"/>
                    <w:tr2bl w:val="nil"/>
                  </w:tcBorders>
                  <w:noWrap w:val="0"/>
                  <w:vAlign w:val="center"/>
                </w:tcPr>
                <w:p w14:paraId="7B23F0D5">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c>
                <w:tcPr>
                  <w:tcW w:w="783" w:type="pct"/>
                  <w:tcBorders>
                    <w:tl2br w:val="nil"/>
                    <w:tr2bl w:val="nil"/>
                  </w:tcBorders>
                  <w:noWrap w:val="0"/>
                  <w:vAlign w:val="center"/>
                </w:tcPr>
                <w:p w14:paraId="085D7074">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c>
                <w:tcPr>
                  <w:tcW w:w="803" w:type="pct"/>
                  <w:tcBorders>
                    <w:tl2br w:val="nil"/>
                    <w:tr2bl w:val="nil"/>
                  </w:tcBorders>
                  <w:noWrap w:val="0"/>
                  <w:vAlign w:val="center"/>
                </w:tcPr>
                <w:p w14:paraId="783AECBA">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685" w:type="pct"/>
                  <w:tcBorders>
                    <w:tl2br w:val="nil"/>
                    <w:tr2bl w:val="nil"/>
                  </w:tcBorders>
                  <w:noWrap w:val="0"/>
                  <w:vAlign w:val="center"/>
                </w:tcPr>
                <w:p w14:paraId="23287C9E">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350</w:t>
                  </w:r>
                </w:p>
              </w:tc>
            </w:tr>
            <w:tr w14:paraId="17B58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continue"/>
                  <w:tcBorders>
                    <w:tl2br w:val="nil"/>
                    <w:tr2bl w:val="nil"/>
                  </w:tcBorders>
                  <w:noWrap w:val="0"/>
                  <w:vAlign w:val="center"/>
                </w:tcPr>
                <w:p w14:paraId="3D4CD7FB">
                  <w:pPr>
                    <w:pStyle w:val="375"/>
                    <w:widowControl w:val="0"/>
                    <w:jc w:val="center"/>
                    <w:rPr>
                      <w:rFonts w:hint="default" w:ascii="Times New Roman" w:hAnsi="Times New Roman" w:eastAsia="宋体" w:cs="Times New Roman"/>
                      <w:sz w:val="21"/>
                      <w:szCs w:val="21"/>
                    </w:rPr>
                  </w:pPr>
                </w:p>
              </w:tc>
              <w:tc>
                <w:tcPr>
                  <w:tcW w:w="825" w:type="pct"/>
                  <w:vMerge w:val="continue"/>
                  <w:tcBorders>
                    <w:tl2br w:val="nil"/>
                    <w:tr2bl w:val="nil"/>
                  </w:tcBorders>
                  <w:noWrap w:val="0"/>
                  <w:vAlign w:val="center"/>
                </w:tcPr>
                <w:p w14:paraId="32897C98">
                  <w:pPr>
                    <w:pStyle w:val="375"/>
                    <w:widowControl w:val="0"/>
                    <w:jc w:val="center"/>
                    <w:rPr>
                      <w:rFonts w:hint="default" w:ascii="Times New Roman" w:hAnsi="Times New Roman" w:eastAsia="宋体" w:cs="Times New Roman"/>
                      <w:sz w:val="21"/>
                      <w:szCs w:val="21"/>
                    </w:rPr>
                  </w:pPr>
                </w:p>
              </w:tc>
              <w:tc>
                <w:tcPr>
                  <w:tcW w:w="871" w:type="pct"/>
                  <w:tcBorders>
                    <w:tl2br w:val="nil"/>
                    <w:tr2bl w:val="nil"/>
                  </w:tcBorders>
                  <w:noWrap w:val="0"/>
                  <w:vAlign w:val="center"/>
                </w:tcPr>
                <w:p w14:paraId="2B7CD23D">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656" w:type="pct"/>
                  <w:tcBorders>
                    <w:tl2br w:val="nil"/>
                    <w:tr2bl w:val="nil"/>
                  </w:tcBorders>
                  <w:noWrap w:val="0"/>
                  <w:vAlign w:val="center"/>
                </w:tcPr>
                <w:p w14:paraId="0A3A3C01">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783" w:type="pct"/>
                  <w:tcBorders>
                    <w:tl2br w:val="nil"/>
                    <w:tr2bl w:val="nil"/>
                  </w:tcBorders>
                  <w:noWrap w:val="0"/>
                  <w:vAlign w:val="center"/>
                </w:tcPr>
                <w:p w14:paraId="2B340A23">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803" w:type="pct"/>
                  <w:tcBorders>
                    <w:tl2br w:val="nil"/>
                    <w:tr2bl w:val="nil"/>
                  </w:tcBorders>
                  <w:noWrap w:val="0"/>
                  <w:vAlign w:val="center"/>
                </w:tcPr>
                <w:p w14:paraId="660A1AE0">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685" w:type="pct"/>
                  <w:tcBorders>
                    <w:tl2br w:val="nil"/>
                    <w:tr2bl w:val="nil"/>
                  </w:tcBorders>
                  <w:noWrap w:val="0"/>
                  <w:vAlign w:val="center"/>
                </w:tcPr>
                <w:p w14:paraId="74B40388">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r>
            <w:tr w14:paraId="2612A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restart"/>
                  <w:tcBorders>
                    <w:tl2br w:val="nil"/>
                    <w:tr2bl w:val="nil"/>
                  </w:tcBorders>
                  <w:noWrap w:val="0"/>
                  <w:vAlign w:val="center"/>
                </w:tcPr>
                <w:p w14:paraId="735B4EA5">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25" w:type="pct"/>
                  <w:vMerge w:val="restart"/>
                  <w:tcBorders>
                    <w:tl2br w:val="nil"/>
                    <w:tr2bl w:val="nil"/>
                  </w:tcBorders>
                  <w:noWrap w:val="0"/>
                  <w:vAlign w:val="center"/>
                </w:tcPr>
                <w:p w14:paraId="6D470E72">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铜</w:t>
                  </w:r>
                </w:p>
              </w:tc>
              <w:tc>
                <w:tcPr>
                  <w:tcW w:w="871" w:type="pct"/>
                  <w:tcBorders>
                    <w:tl2br w:val="nil"/>
                    <w:tr2bl w:val="nil"/>
                  </w:tcBorders>
                  <w:noWrap w:val="0"/>
                  <w:vAlign w:val="center"/>
                </w:tcPr>
                <w:p w14:paraId="1931CDBC">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果园</w:t>
                  </w:r>
                </w:p>
              </w:tc>
              <w:tc>
                <w:tcPr>
                  <w:tcW w:w="656" w:type="pct"/>
                  <w:tcBorders>
                    <w:tl2br w:val="nil"/>
                    <w:tr2bl w:val="nil"/>
                  </w:tcBorders>
                  <w:noWrap w:val="0"/>
                  <w:vAlign w:val="center"/>
                </w:tcPr>
                <w:p w14:paraId="23405708">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783" w:type="pct"/>
                  <w:tcBorders>
                    <w:tl2br w:val="nil"/>
                    <w:tr2bl w:val="nil"/>
                  </w:tcBorders>
                  <w:noWrap w:val="0"/>
                  <w:vAlign w:val="center"/>
                </w:tcPr>
                <w:p w14:paraId="65090028">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803" w:type="pct"/>
                  <w:tcBorders>
                    <w:tl2br w:val="nil"/>
                    <w:tr2bl w:val="nil"/>
                  </w:tcBorders>
                  <w:noWrap w:val="0"/>
                  <w:vAlign w:val="center"/>
                </w:tcPr>
                <w:p w14:paraId="61BA221C">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685" w:type="pct"/>
                  <w:tcBorders>
                    <w:tl2br w:val="nil"/>
                    <w:tr2bl w:val="nil"/>
                  </w:tcBorders>
                  <w:noWrap w:val="0"/>
                  <w:vAlign w:val="center"/>
                </w:tcPr>
                <w:p w14:paraId="6D10B8CA">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r>
            <w:tr w14:paraId="1BA93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vMerge w:val="continue"/>
                  <w:tcBorders>
                    <w:tl2br w:val="nil"/>
                    <w:tr2bl w:val="nil"/>
                  </w:tcBorders>
                  <w:noWrap w:val="0"/>
                  <w:vAlign w:val="center"/>
                </w:tcPr>
                <w:p w14:paraId="6E897492">
                  <w:pPr>
                    <w:pStyle w:val="375"/>
                    <w:widowControl w:val="0"/>
                    <w:jc w:val="center"/>
                    <w:rPr>
                      <w:rFonts w:hint="default" w:ascii="Times New Roman" w:hAnsi="Times New Roman" w:eastAsia="宋体" w:cs="Times New Roman"/>
                      <w:sz w:val="21"/>
                      <w:szCs w:val="21"/>
                    </w:rPr>
                  </w:pPr>
                </w:p>
              </w:tc>
              <w:tc>
                <w:tcPr>
                  <w:tcW w:w="825" w:type="pct"/>
                  <w:vMerge w:val="continue"/>
                  <w:tcBorders>
                    <w:tl2br w:val="nil"/>
                    <w:tr2bl w:val="nil"/>
                  </w:tcBorders>
                  <w:noWrap w:val="0"/>
                  <w:vAlign w:val="center"/>
                </w:tcPr>
                <w:p w14:paraId="2C181E21">
                  <w:pPr>
                    <w:pStyle w:val="375"/>
                    <w:widowControl w:val="0"/>
                    <w:jc w:val="center"/>
                    <w:rPr>
                      <w:rFonts w:hint="default" w:ascii="Times New Roman" w:hAnsi="Times New Roman" w:eastAsia="宋体" w:cs="Times New Roman"/>
                      <w:sz w:val="21"/>
                      <w:szCs w:val="21"/>
                    </w:rPr>
                  </w:pPr>
                </w:p>
              </w:tc>
              <w:tc>
                <w:tcPr>
                  <w:tcW w:w="871" w:type="pct"/>
                  <w:tcBorders>
                    <w:tl2br w:val="nil"/>
                    <w:tr2bl w:val="nil"/>
                  </w:tcBorders>
                  <w:noWrap w:val="0"/>
                  <w:vAlign w:val="center"/>
                </w:tcPr>
                <w:p w14:paraId="5A84DEE8">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656" w:type="pct"/>
                  <w:tcBorders>
                    <w:tl2br w:val="nil"/>
                    <w:tr2bl w:val="nil"/>
                  </w:tcBorders>
                  <w:noWrap w:val="0"/>
                  <w:vAlign w:val="center"/>
                </w:tcPr>
                <w:p w14:paraId="16A0E0BB">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783" w:type="pct"/>
                  <w:tcBorders>
                    <w:tl2br w:val="nil"/>
                    <w:tr2bl w:val="nil"/>
                  </w:tcBorders>
                  <w:noWrap w:val="0"/>
                  <w:vAlign w:val="center"/>
                </w:tcPr>
                <w:p w14:paraId="7BD97003">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803" w:type="pct"/>
                  <w:tcBorders>
                    <w:tl2br w:val="nil"/>
                    <w:tr2bl w:val="nil"/>
                  </w:tcBorders>
                  <w:noWrap w:val="0"/>
                  <w:vAlign w:val="center"/>
                </w:tcPr>
                <w:p w14:paraId="405BE555">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685" w:type="pct"/>
                  <w:tcBorders>
                    <w:tl2br w:val="nil"/>
                    <w:tr2bl w:val="nil"/>
                  </w:tcBorders>
                  <w:noWrap w:val="0"/>
                  <w:vAlign w:val="center"/>
                </w:tcPr>
                <w:p w14:paraId="1663F7F1">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r>
            <w:tr w14:paraId="118C2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tcBorders>
                    <w:tl2br w:val="nil"/>
                    <w:tr2bl w:val="nil"/>
                  </w:tcBorders>
                  <w:noWrap w:val="0"/>
                  <w:vAlign w:val="center"/>
                </w:tcPr>
                <w:p w14:paraId="792BEC4B">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696" w:type="pct"/>
                  <w:gridSpan w:val="2"/>
                  <w:tcBorders>
                    <w:tl2br w:val="nil"/>
                    <w:tr2bl w:val="nil"/>
                  </w:tcBorders>
                  <w:noWrap w:val="0"/>
                  <w:vAlign w:val="center"/>
                </w:tcPr>
                <w:p w14:paraId="0A35BE15">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镍</w:t>
                  </w:r>
                </w:p>
              </w:tc>
              <w:tc>
                <w:tcPr>
                  <w:tcW w:w="656" w:type="pct"/>
                  <w:tcBorders>
                    <w:tl2br w:val="nil"/>
                    <w:tr2bl w:val="nil"/>
                  </w:tcBorders>
                  <w:noWrap w:val="0"/>
                  <w:vAlign w:val="center"/>
                </w:tcPr>
                <w:p w14:paraId="0321DD97">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83" w:type="pct"/>
                  <w:tcBorders>
                    <w:tl2br w:val="nil"/>
                    <w:tr2bl w:val="nil"/>
                  </w:tcBorders>
                  <w:noWrap w:val="0"/>
                  <w:vAlign w:val="center"/>
                </w:tcPr>
                <w:p w14:paraId="53293DB5">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03" w:type="pct"/>
                  <w:tcBorders>
                    <w:tl2br w:val="nil"/>
                    <w:tr2bl w:val="nil"/>
                  </w:tcBorders>
                  <w:noWrap w:val="0"/>
                  <w:vAlign w:val="center"/>
                </w:tcPr>
                <w:p w14:paraId="2B476293">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685" w:type="pct"/>
                  <w:tcBorders>
                    <w:tl2br w:val="nil"/>
                    <w:tr2bl w:val="nil"/>
                  </w:tcBorders>
                  <w:noWrap w:val="0"/>
                  <w:vAlign w:val="center"/>
                </w:tcPr>
                <w:p w14:paraId="5C948652">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190</w:t>
                  </w:r>
                </w:p>
              </w:tc>
            </w:tr>
            <w:tr w14:paraId="30630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76" w:type="pct"/>
                  <w:tcBorders>
                    <w:tl2br w:val="nil"/>
                    <w:tr2bl w:val="nil"/>
                  </w:tcBorders>
                  <w:noWrap w:val="0"/>
                  <w:vAlign w:val="center"/>
                </w:tcPr>
                <w:p w14:paraId="3414E017">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696" w:type="pct"/>
                  <w:gridSpan w:val="2"/>
                  <w:tcBorders>
                    <w:tl2br w:val="nil"/>
                    <w:tr2bl w:val="nil"/>
                  </w:tcBorders>
                  <w:noWrap w:val="0"/>
                  <w:vAlign w:val="center"/>
                </w:tcPr>
                <w:p w14:paraId="42C72048">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锌</w:t>
                  </w:r>
                </w:p>
              </w:tc>
              <w:tc>
                <w:tcPr>
                  <w:tcW w:w="656" w:type="pct"/>
                  <w:tcBorders>
                    <w:tl2br w:val="nil"/>
                    <w:tr2bl w:val="nil"/>
                  </w:tcBorders>
                  <w:noWrap w:val="0"/>
                  <w:vAlign w:val="center"/>
                </w:tcPr>
                <w:p w14:paraId="7F5EBFDC">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783" w:type="pct"/>
                  <w:tcBorders>
                    <w:tl2br w:val="nil"/>
                    <w:tr2bl w:val="nil"/>
                  </w:tcBorders>
                  <w:noWrap w:val="0"/>
                  <w:vAlign w:val="center"/>
                </w:tcPr>
                <w:p w14:paraId="4B23BDD2">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803" w:type="pct"/>
                  <w:tcBorders>
                    <w:tl2br w:val="nil"/>
                    <w:tr2bl w:val="nil"/>
                  </w:tcBorders>
                  <w:noWrap w:val="0"/>
                  <w:vAlign w:val="center"/>
                </w:tcPr>
                <w:p w14:paraId="771176CC">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c>
                <w:tcPr>
                  <w:tcW w:w="685" w:type="pct"/>
                  <w:tcBorders>
                    <w:tl2br w:val="nil"/>
                    <w:tr2bl w:val="nil"/>
                  </w:tcBorders>
                  <w:noWrap w:val="0"/>
                  <w:vAlign w:val="center"/>
                </w:tcPr>
                <w:p w14:paraId="50626272">
                  <w:pPr>
                    <w:pStyle w:val="375"/>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r>
          </w:tbl>
          <w:p w14:paraId="51A80987">
            <w:pPr>
              <w:adjustRightInd w:val="0"/>
              <w:snapToGrid w:val="0"/>
              <w:spacing w:line="480" w:lineRule="exact"/>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表3.</w:t>
            </w:r>
            <w:r>
              <w:rPr>
                <w:rFonts w:hint="eastAsia" w:cs="Times New Roman"/>
                <w:b/>
                <w:bCs/>
                <w:sz w:val="24"/>
                <w:szCs w:val="24"/>
                <w:highlight w:val="none"/>
                <w:lang w:val="en-US" w:eastAsia="zh-CN"/>
              </w:rPr>
              <w:t>5</w:t>
            </w:r>
            <w:r>
              <w:rPr>
                <w:rFonts w:hint="default" w:ascii="Times New Roman" w:hAnsi="Times New Roman" w:eastAsia="宋体" w:cs="Times New Roman"/>
                <w:b/>
                <w:bCs/>
                <w:sz w:val="24"/>
                <w:szCs w:val="24"/>
                <w:highlight w:val="none"/>
              </w:rPr>
              <w:t>-</w:t>
            </w:r>
            <w:r>
              <w:rPr>
                <w:rFonts w:hint="eastAsia" w:cs="Times New Roman"/>
                <w:b/>
                <w:bCs/>
                <w:sz w:val="24"/>
                <w:szCs w:val="24"/>
                <w:highlight w:val="none"/>
                <w:lang w:val="en-US" w:eastAsia="zh-CN"/>
              </w:rPr>
              <w:t>5</w:t>
            </w:r>
            <w:r>
              <w:rPr>
                <w:rFonts w:hint="default" w:ascii="Times New Roman" w:hAnsi="Times New Roman" w:eastAsia="宋体" w:cs="Times New Roman"/>
                <w:b/>
                <w:bCs/>
                <w:sz w:val="24"/>
                <w:szCs w:val="24"/>
                <w:highlight w:val="none"/>
              </w:rPr>
              <w:t xml:space="preserve">  底泥环境质量标准</w:t>
            </w:r>
            <w:r>
              <w:rPr>
                <w:rFonts w:hint="eastAsia" w:cs="Times New Roman"/>
                <w:b/>
                <w:bCs/>
                <w:sz w:val="24"/>
                <w:szCs w:val="24"/>
                <w:highlight w:val="none"/>
                <w:lang w:eastAsia="zh-CN"/>
              </w:rPr>
              <w:t>（</w:t>
            </w:r>
            <w:r>
              <w:rPr>
                <w:rFonts w:hint="default" w:ascii="Times New Roman" w:hAnsi="Times New Roman" w:eastAsia="宋体" w:cs="Times New Roman"/>
                <w:b/>
                <w:bCs/>
                <w:sz w:val="24"/>
                <w:szCs w:val="24"/>
              </w:rPr>
              <w:t>风险</w:t>
            </w:r>
            <w:r>
              <w:rPr>
                <w:rFonts w:hint="eastAsia" w:ascii="Times New Roman" w:hAnsi="Times New Roman" w:cs="Times New Roman"/>
                <w:b/>
                <w:bCs/>
                <w:sz w:val="24"/>
                <w:szCs w:val="24"/>
                <w:highlight w:val="none"/>
                <w:lang w:val="en-US" w:eastAsia="zh-CN"/>
              </w:rPr>
              <w:t>管控</w:t>
            </w:r>
            <w:r>
              <w:rPr>
                <w:rFonts w:hint="default" w:ascii="Times New Roman" w:hAnsi="Times New Roman" w:eastAsia="宋体" w:cs="Times New Roman"/>
                <w:b/>
                <w:bCs/>
                <w:sz w:val="24"/>
                <w:szCs w:val="24"/>
              </w:rPr>
              <w:t>值</w:t>
            </w:r>
            <w:r>
              <w:rPr>
                <w:rFonts w:hint="eastAsia" w:cs="Times New Roman"/>
                <w:b/>
                <w:bCs/>
                <w:sz w:val="24"/>
                <w:szCs w:val="24"/>
                <w:highlight w:val="none"/>
                <w:lang w:eastAsia="zh-CN"/>
              </w:rPr>
              <w:t>）</w:t>
            </w:r>
            <w:r>
              <w:rPr>
                <w:rFonts w:hint="default" w:ascii="Times New Roman" w:hAnsi="Times New Roman" w:eastAsia="宋体" w:cs="Times New Roman"/>
                <w:b/>
                <w:bCs/>
                <w:sz w:val="24"/>
                <w:szCs w:val="24"/>
                <w:highlight w:val="none"/>
              </w:rPr>
              <w:t xml:space="preserve">  单位：mg/kg</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499"/>
              <w:gridCol w:w="1767"/>
              <w:gridCol w:w="1767"/>
              <w:gridCol w:w="1767"/>
              <w:gridCol w:w="1797"/>
            </w:tblGrid>
            <w:tr w14:paraId="08680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blHeader/>
                <w:jc w:val="center"/>
              </w:trPr>
              <w:tc>
                <w:tcPr>
                  <w:tcW w:w="353" w:type="pct"/>
                  <w:vMerge w:val="restart"/>
                  <w:tcBorders>
                    <w:tl2br w:val="nil"/>
                    <w:tr2bl w:val="nil"/>
                  </w:tcBorders>
                  <w:noWrap w:val="0"/>
                  <w:vAlign w:val="center"/>
                </w:tcPr>
                <w:p w14:paraId="1C2F5DB1">
                  <w:pPr>
                    <w:pStyle w:val="375"/>
                    <w:widowControl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810" w:type="pct"/>
                  <w:vMerge w:val="restart"/>
                  <w:tcBorders>
                    <w:tl2br w:val="nil"/>
                    <w:tr2bl w:val="nil"/>
                  </w:tcBorders>
                  <w:noWrap w:val="0"/>
                  <w:vAlign w:val="center"/>
                </w:tcPr>
                <w:p w14:paraId="767241E1">
                  <w:pPr>
                    <w:pStyle w:val="375"/>
                    <w:widowControl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污染物项目</w:t>
                  </w:r>
                </w:p>
              </w:tc>
              <w:tc>
                <w:tcPr>
                  <w:tcW w:w="3836" w:type="pct"/>
                  <w:gridSpan w:val="4"/>
                  <w:tcBorders>
                    <w:tl2br w:val="nil"/>
                    <w:tr2bl w:val="nil"/>
                  </w:tcBorders>
                  <w:noWrap w:val="0"/>
                  <w:vAlign w:val="center"/>
                </w:tcPr>
                <w:p w14:paraId="57F86251">
                  <w:pPr>
                    <w:pStyle w:val="375"/>
                    <w:widowControl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风险</w:t>
                  </w:r>
                  <w:r>
                    <w:rPr>
                      <w:rFonts w:hint="eastAsia" w:ascii="Times New Roman" w:hAnsi="Times New Roman" w:cs="Times New Roman"/>
                      <w:b/>
                      <w:bCs/>
                      <w:sz w:val="21"/>
                      <w:szCs w:val="21"/>
                      <w:highlight w:val="none"/>
                      <w:lang w:val="en-US" w:eastAsia="zh-CN"/>
                    </w:rPr>
                    <w:t>管控</w:t>
                  </w:r>
                  <w:r>
                    <w:rPr>
                      <w:rFonts w:hint="default" w:ascii="Times New Roman" w:hAnsi="Times New Roman" w:eastAsia="宋体" w:cs="Times New Roman"/>
                      <w:b/>
                      <w:bCs/>
                      <w:sz w:val="21"/>
                      <w:szCs w:val="21"/>
                      <w:highlight w:val="none"/>
                    </w:rPr>
                    <w:t>值</w:t>
                  </w:r>
                </w:p>
              </w:tc>
            </w:tr>
            <w:tr w14:paraId="06F9D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353" w:type="pct"/>
                  <w:vMerge w:val="continue"/>
                  <w:tcBorders>
                    <w:tl2br w:val="nil"/>
                    <w:tr2bl w:val="nil"/>
                  </w:tcBorders>
                  <w:noWrap w:val="0"/>
                  <w:vAlign w:val="center"/>
                </w:tcPr>
                <w:p w14:paraId="3ED59335">
                  <w:pPr>
                    <w:pStyle w:val="375"/>
                    <w:widowControl w:val="0"/>
                    <w:jc w:val="center"/>
                    <w:rPr>
                      <w:rFonts w:hint="default" w:ascii="Times New Roman" w:hAnsi="Times New Roman" w:eastAsia="宋体" w:cs="Times New Roman"/>
                      <w:b/>
                      <w:bCs/>
                      <w:sz w:val="21"/>
                      <w:szCs w:val="21"/>
                      <w:highlight w:val="none"/>
                    </w:rPr>
                  </w:pPr>
                </w:p>
              </w:tc>
              <w:tc>
                <w:tcPr>
                  <w:tcW w:w="810" w:type="pct"/>
                  <w:vMerge w:val="continue"/>
                  <w:tcBorders>
                    <w:tl2br w:val="nil"/>
                    <w:tr2bl w:val="nil"/>
                  </w:tcBorders>
                  <w:noWrap w:val="0"/>
                  <w:vAlign w:val="center"/>
                </w:tcPr>
                <w:p w14:paraId="1A290F09">
                  <w:pPr>
                    <w:pStyle w:val="375"/>
                    <w:widowControl w:val="0"/>
                    <w:jc w:val="center"/>
                    <w:rPr>
                      <w:rFonts w:hint="default" w:ascii="Times New Roman" w:hAnsi="Times New Roman" w:eastAsia="宋体" w:cs="Times New Roman"/>
                      <w:b/>
                      <w:bCs/>
                      <w:sz w:val="21"/>
                      <w:szCs w:val="21"/>
                      <w:highlight w:val="none"/>
                    </w:rPr>
                  </w:pPr>
                </w:p>
              </w:tc>
              <w:tc>
                <w:tcPr>
                  <w:tcW w:w="955" w:type="pct"/>
                  <w:tcBorders>
                    <w:tl2br w:val="nil"/>
                    <w:tr2bl w:val="nil"/>
                  </w:tcBorders>
                  <w:noWrap w:val="0"/>
                  <w:vAlign w:val="center"/>
                </w:tcPr>
                <w:p w14:paraId="709D1EA0">
                  <w:pPr>
                    <w:pStyle w:val="375"/>
                    <w:widowControl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pH≤5.5</w:t>
                  </w:r>
                </w:p>
              </w:tc>
              <w:tc>
                <w:tcPr>
                  <w:tcW w:w="955" w:type="pct"/>
                  <w:tcBorders>
                    <w:tl2br w:val="nil"/>
                    <w:tr2bl w:val="nil"/>
                  </w:tcBorders>
                  <w:noWrap w:val="0"/>
                  <w:vAlign w:val="center"/>
                </w:tcPr>
                <w:p w14:paraId="685CF85A">
                  <w:pPr>
                    <w:pStyle w:val="375"/>
                    <w:widowControl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5.5＜pH≤6.5</w:t>
                  </w:r>
                </w:p>
              </w:tc>
              <w:tc>
                <w:tcPr>
                  <w:tcW w:w="955" w:type="pct"/>
                  <w:tcBorders>
                    <w:tl2br w:val="nil"/>
                    <w:tr2bl w:val="nil"/>
                  </w:tcBorders>
                  <w:noWrap w:val="0"/>
                  <w:vAlign w:val="center"/>
                </w:tcPr>
                <w:p w14:paraId="7F0C4FA3">
                  <w:pPr>
                    <w:pStyle w:val="375"/>
                    <w:widowControl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6.5＜pH≤7.5</w:t>
                  </w:r>
                </w:p>
              </w:tc>
              <w:tc>
                <w:tcPr>
                  <w:tcW w:w="970" w:type="pct"/>
                  <w:tcBorders>
                    <w:tl2br w:val="nil"/>
                    <w:tr2bl w:val="nil"/>
                  </w:tcBorders>
                  <w:noWrap w:val="0"/>
                  <w:vAlign w:val="center"/>
                </w:tcPr>
                <w:p w14:paraId="33377F4C">
                  <w:pPr>
                    <w:pStyle w:val="375"/>
                    <w:widowControl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pH＞7.5</w:t>
                  </w:r>
                </w:p>
              </w:tc>
            </w:tr>
            <w:tr w14:paraId="439FD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53" w:type="pct"/>
                  <w:tcBorders>
                    <w:tl2br w:val="nil"/>
                    <w:tr2bl w:val="nil"/>
                  </w:tcBorders>
                  <w:noWrap w:val="0"/>
                  <w:vAlign w:val="center"/>
                </w:tcPr>
                <w:p w14:paraId="5526E794">
                  <w:pPr>
                    <w:pStyle w:val="375"/>
                    <w:widowControl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810" w:type="pct"/>
                  <w:tcBorders>
                    <w:tl2br w:val="nil"/>
                    <w:tr2bl w:val="nil"/>
                  </w:tcBorders>
                  <w:noWrap w:val="0"/>
                  <w:vAlign w:val="center"/>
                </w:tcPr>
                <w:p w14:paraId="136E7F89">
                  <w:pPr>
                    <w:pStyle w:val="375"/>
                    <w:widowControl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镉</w:t>
                  </w:r>
                </w:p>
              </w:tc>
              <w:tc>
                <w:tcPr>
                  <w:tcW w:w="955" w:type="pct"/>
                  <w:tcBorders>
                    <w:tl2br w:val="nil"/>
                    <w:tr2bl w:val="nil"/>
                  </w:tcBorders>
                  <w:noWrap w:val="0"/>
                  <w:vAlign w:val="center"/>
                </w:tcPr>
                <w:p w14:paraId="45A19EFD">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1.5</w:t>
                  </w:r>
                </w:p>
              </w:tc>
              <w:tc>
                <w:tcPr>
                  <w:tcW w:w="955" w:type="pct"/>
                  <w:tcBorders>
                    <w:tl2br w:val="nil"/>
                    <w:tr2bl w:val="nil"/>
                  </w:tcBorders>
                  <w:noWrap w:val="0"/>
                  <w:vAlign w:val="center"/>
                </w:tcPr>
                <w:p w14:paraId="46E4CC22">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w:t>
                  </w:r>
                </w:p>
              </w:tc>
              <w:tc>
                <w:tcPr>
                  <w:tcW w:w="955" w:type="pct"/>
                  <w:tcBorders>
                    <w:tl2br w:val="nil"/>
                    <w:tr2bl w:val="nil"/>
                  </w:tcBorders>
                  <w:noWrap w:val="0"/>
                  <w:vAlign w:val="center"/>
                </w:tcPr>
                <w:p w14:paraId="797B5F06">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3.0</w:t>
                  </w:r>
                </w:p>
              </w:tc>
              <w:tc>
                <w:tcPr>
                  <w:tcW w:w="970" w:type="pct"/>
                  <w:tcBorders>
                    <w:tl2br w:val="nil"/>
                    <w:tr2bl w:val="nil"/>
                  </w:tcBorders>
                  <w:noWrap w:val="0"/>
                  <w:vAlign w:val="center"/>
                </w:tcPr>
                <w:p w14:paraId="3BCB1DAB">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4.0</w:t>
                  </w:r>
                </w:p>
              </w:tc>
            </w:tr>
            <w:tr w14:paraId="1D5C3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53" w:type="pct"/>
                  <w:tcBorders>
                    <w:tl2br w:val="nil"/>
                    <w:tr2bl w:val="nil"/>
                  </w:tcBorders>
                  <w:noWrap w:val="0"/>
                  <w:vAlign w:val="center"/>
                </w:tcPr>
                <w:p w14:paraId="0A67D302">
                  <w:pPr>
                    <w:pStyle w:val="375"/>
                    <w:widowControl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810" w:type="pct"/>
                  <w:tcBorders>
                    <w:tl2br w:val="nil"/>
                    <w:tr2bl w:val="nil"/>
                  </w:tcBorders>
                  <w:noWrap w:val="0"/>
                  <w:vAlign w:val="center"/>
                </w:tcPr>
                <w:p w14:paraId="522ADF29">
                  <w:pPr>
                    <w:pStyle w:val="375"/>
                    <w:widowControl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汞</w:t>
                  </w:r>
                </w:p>
              </w:tc>
              <w:tc>
                <w:tcPr>
                  <w:tcW w:w="955" w:type="pct"/>
                  <w:tcBorders>
                    <w:tl2br w:val="nil"/>
                    <w:tr2bl w:val="nil"/>
                  </w:tcBorders>
                  <w:noWrap w:val="0"/>
                  <w:vAlign w:val="center"/>
                </w:tcPr>
                <w:p w14:paraId="46CEA413">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w:t>
                  </w:r>
                </w:p>
              </w:tc>
              <w:tc>
                <w:tcPr>
                  <w:tcW w:w="955" w:type="pct"/>
                  <w:tcBorders>
                    <w:tl2br w:val="nil"/>
                    <w:tr2bl w:val="nil"/>
                  </w:tcBorders>
                  <w:noWrap w:val="0"/>
                  <w:vAlign w:val="center"/>
                </w:tcPr>
                <w:p w14:paraId="4410AA7C">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2.5</w:t>
                  </w:r>
                </w:p>
              </w:tc>
              <w:tc>
                <w:tcPr>
                  <w:tcW w:w="955" w:type="pct"/>
                  <w:tcBorders>
                    <w:tl2br w:val="nil"/>
                    <w:tr2bl w:val="nil"/>
                  </w:tcBorders>
                  <w:noWrap w:val="0"/>
                  <w:vAlign w:val="center"/>
                </w:tcPr>
                <w:p w14:paraId="47F8324D">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4.0</w:t>
                  </w:r>
                </w:p>
              </w:tc>
              <w:tc>
                <w:tcPr>
                  <w:tcW w:w="970" w:type="pct"/>
                  <w:tcBorders>
                    <w:tl2br w:val="nil"/>
                    <w:tr2bl w:val="nil"/>
                  </w:tcBorders>
                  <w:noWrap w:val="0"/>
                  <w:vAlign w:val="center"/>
                </w:tcPr>
                <w:p w14:paraId="23A5C8ED">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6.0</w:t>
                  </w:r>
                </w:p>
              </w:tc>
            </w:tr>
            <w:tr w14:paraId="3C8B0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53" w:type="pct"/>
                  <w:tcBorders>
                    <w:tl2br w:val="nil"/>
                    <w:tr2bl w:val="nil"/>
                  </w:tcBorders>
                  <w:noWrap w:val="0"/>
                  <w:vAlign w:val="center"/>
                </w:tcPr>
                <w:p w14:paraId="725F321B">
                  <w:pPr>
                    <w:pStyle w:val="375"/>
                    <w:widowControl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10" w:type="pct"/>
                  <w:tcBorders>
                    <w:tl2br w:val="nil"/>
                    <w:tr2bl w:val="nil"/>
                  </w:tcBorders>
                  <w:noWrap w:val="0"/>
                  <w:vAlign w:val="center"/>
                </w:tcPr>
                <w:p w14:paraId="242B54E7">
                  <w:pPr>
                    <w:pStyle w:val="375"/>
                    <w:widowControl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砷</w:t>
                  </w:r>
                </w:p>
              </w:tc>
              <w:tc>
                <w:tcPr>
                  <w:tcW w:w="955" w:type="pct"/>
                  <w:tcBorders>
                    <w:tl2br w:val="nil"/>
                    <w:tr2bl w:val="nil"/>
                  </w:tcBorders>
                  <w:noWrap w:val="0"/>
                  <w:vAlign w:val="center"/>
                </w:tcPr>
                <w:p w14:paraId="4804F3C7">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200</w:t>
                  </w:r>
                </w:p>
              </w:tc>
              <w:tc>
                <w:tcPr>
                  <w:tcW w:w="955" w:type="pct"/>
                  <w:tcBorders>
                    <w:tl2br w:val="nil"/>
                    <w:tr2bl w:val="nil"/>
                  </w:tcBorders>
                  <w:noWrap w:val="0"/>
                  <w:vAlign w:val="center"/>
                </w:tcPr>
                <w:p w14:paraId="59936EA1">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150</w:t>
                  </w:r>
                </w:p>
              </w:tc>
              <w:tc>
                <w:tcPr>
                  <w:tcW w:w="955" w:type="pct"/>
                  <w:tcBorders>
                    <w:tl2br w:val="nil"/>
                    <w:tr2bl w:val="nil"/>
                  </w:tcBorders>
                  <w:noWrap w:val="0"/>
                  <w:vAlign w:val="center"/>
                </w:tcPr>
                <w:p w14:paraId="4172058F">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120</w:t>
                  </w:r>
                </w:p>
              </w:tc>
              <w:tc>
                <w:tcPr>
                  <w:tcW w:w="970" w:type="pct"/>
                  <w:tcBorders>
                    <w:tl2br w:val="nil"/>
                    <w:tr2bl w:val="nil"/>
                  </w:tcBorders>
                  <w:noWrap w:val="0"/>
                  <w:vAlign w:val="center"/>
                </w:tcPr>
                <w:p w14:paraId="436F00E2">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p>
              </w:tc>
            </w:tr>
            <w:tr w14:paraId="695F1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53" w:type="pct"/>
                  <w:tcBorders>
                    <w:tl2br w:val="nil"/>
                    <w:tr2bl w:val="nil"/>
                  </w:tcBorders>
                  <w:noWrap w:val="0"/>
                  <w:vAlign w:val="center"/>
                </w:tcPr>
                <w:p w14:paraId="507494B2">
                  <w:pPr>
                    <w:pStyle w:val="375"/>
                    <w:widowControl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w:t>
                  </w:r>
                </w:p>
              </w:tc>
              <w:tc>
                <w:tcPr>
                  <w:tcW w:w="810" w:type="pct"/>
                  <w:tcBorders>
                    <w:tl2br w:val="nil"/>
                    <w:tr2bl w:val="nil"/>
                  </w:tcBorders>
                  <w:noWrap w:val="0"/>
                  <w:vAlign w:val="center"/>
                </w:tcPr>
                <w:p w14:paraId="4E19C0E8">
                  <w:pPr>
                    <w:pStyle w:val="375"/>
                    <w:widowControl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铅</w:t>
                  </w:r>
                </w:p>
              </w:tc>
              <w:tc>
                <w:tcPr>
                  <w:tcW w:w="955" w:type="pct"/>
                  <w:tcBorders>
                    <w:tl2br w:val="nil"/>
                    <w:tr2bl w:val="nil"/>
                  </w:tcBorders>
                  <w:noWrap w:val="0"/>
                  <w:vAlign w:val="center"/>
                </w:tcPr>
                <w:p w14:paraId="1AF90373">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400</w:t>
                  </w:r>
                </w:p>
              </w:tc>
              <w:tc>
                <w:tcPr>
                  <w:tcW w:w="955" w:type="pct"/>
                  <w:tcBorders>
                    <w:tl2br w:val="nil"/>
                    <w:tr2bl w:val="nil"/>
                  </w:tcBorders>
                  <w:noWrap w:val="0"/>
                  <w:vAlign w:val="center"/>
                </w:tcPr>
                <w:p w14:paraId="2DA7FB31">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500</w:t>
                  </w:r>
                </w:p>
              </w:tc>
              <w:tc>
                <w:tcPr>
                  <w:tcW w:w="955" w:type="pct"/>
                  <w:tcBorders>
                    <w:tl2br w:val="nil"/>
                    <w:tr2bl w:val="nil"/>
                  </w:tcBorders>
                  <w:noWrap w:val="0"/>
                  <w:vAlign w:val="center"/>
                </w:tcPr>
                <w:p w14:paraId="21F51B9C">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700</w:t>
                  </w:r>
                </w:p>
              </w:tc>
              <w:tc>
                <w:tcPr>
                  <w:tcW w:w="970" w:type="pct"/>
                  <w:tcBorders>
                    <w:tl2br w:val="nil"/>
                    <w:tr2bl w:val="nil"/>
                  </w:tcBorders>
                  <w:noWrap w:val="0"/>
                  <w:vAlign w:val="center"/>
                </w:tcPr>
                <w:p w14:paraId="7D0860B3">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1000</w:t>
                  </w:r>
                </w:p>
              </w:tc>
            </w:tr>
            <w:tr w14:paraId="04C0F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53" w:type="pct"/>
                  <w:tcBorders>
                    <w:tl2br w:val="nil"/>
                    <w:tr2bl w:val="nil"/>
                  </w:tcBorders>
                  <w:noWrap w:val="0"/>
                  <w:vAlign w:val="center"/>
                </w:tcPr>
                <w:p w14:paraId="67E43535">
                  <w:pPr>
                    <w:pStyle w:val="375"/>
                    <w:widowControl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810" w:type="pct"/>
                  <w:tcBorders>
                    <w:tl2br w:val="nil"/>
                    <w:tr2bl w:val="nil"/>
                  </w:tcBorders>
                  <w:noWrap w:val="0"/>
                  <w:vAlign w:val="center"/>
                </w:tcPr>
                <w:p w14:paraId="52E76997">
                  <w:pPr>
                    <w:pStyle w:val="375"/>
                    <w:widowControl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铬</w:t>
                  </w:r>
                </w:p>
              </w:tc>
              <w:tc>
                <w:tcPr>
                  <w:tcW w:w="955" w:type="pct"/>
                  <w:tcBorders>
                    <w:tl2br w:val="nil"/>
                    <w:tr2bl w:val="nil"/>
                  </w:tcBorders>
                  <w:noWrap w:val="0"/>
                  <w:vAlign w:val="center"/>
                </w:tcPr>
                <w:p w14:paraId="3F2C7599">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800</w:t>
                  </w:r>
                </w:p>
              </w:tc>
              <w:tc>
                <w:tcPr>
                  <w:tcW w:w="955" w:type="pct"/>
                  <w:tcBorders>
                    <w:tl2br w:val="nil"/>
                    <w:tr2bl w:val="nil"/>
                  </w:tcBorders>
                  <w:noWrap w:val="0"/>
                  <w:vAlign w:val="center"/>
                </w:tcPr>
                <w:p w14:paraId="50DF6BD1">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820</w:t>
                  </w:r>
                </w:p>
              </w:tc>
              <w:tc>
                <w:tcPr>
                  <w:tcW w:w="955" w:type="pct"/>
                  <w:tcBorders>
                    <w:tl2br w:val="nil"/>
                    <w:tr2bl w:val="nil"/>
                  </w:tcBorders>
                  <w:noWrap w:val="0"/>
                  <w:vAlign w:val="center"/>
                </w:tcPr>
                <w:p w14:paraId="4FD6A290">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1000</w:t>
                  </w:r>
                </w:p>
              </w:tc>
              <w:tc>
                <w:tcPr>
                  <w:tcW w:w="970" w:type="pct"/>
                  <w:tcBorders>
                    <w:tl2br w:val="nil"/>
                    <w:tr2bl w:val="nil"/>
                  </w:tcBorders>
                  <w:noWrap w:val="0"/>
                  <w:vAlign w:val="center"/>
                </w:tcPr>
                <w:p w14:paraId="40AF3E93">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1300</w:t>
                  </w:r>
                </w:p>
              </w:tc>
            </w:tr>
          </w:tbl>
          <w:p w14:paraId="0A249729">
            <w:pPr>
              <w:adjustRightInd w:val="0"/>
              <w:snapToGrid w:val="0"/>
              <w:spacing w:line="480" w:lineRule="exact"/>
              <w:ind w:firstLine="482" w:firstLineChars="200"/>
              <w:rPr>
                <w:rFonts w:hint="default" w:ascii="Times New Roman" w:hAnsi="Times New Roman" w:eastAsia="宋体" w:cs="Times New Roman"/>
                <w:b/>
                <w:kern w:val="0"/>
                <w:sz w:val="24"/>
                <w:szCs w:val="24"/>
              </w:rPr>
            </w:pPr>
            <w:r>
              <w:rPr>
                <w:rFonts w:hint="eastAsia" w:cs="Times New Roman"/>
                <w:b/>
                <w:kern w:val="0"/>
                <w:sz w:val="24"/>
                <w:szCs w:val="24"/>
                <w:lang w:val="en-US" w:eastAsia="zh-CN"/>
              </w:rPr>
              <w:t>3.6</w:t>
            </w:r>
            <w:r>
              <w:rPr>
                <w:rFonts w:hint="default" w:ascii="Times New Roman" w:hAnsi="Times New Roman" w:eastAsia="宋体" w:cs="Times New Roman"/>
                <w:b/>
                <w:kern w:val="0"/>
                <w:sz w:val="24"/>
                <w:szCs w:val="24"/>
              </w:rPr>
              <w:t>污染物排放控制标准</w:t>
            </w:r>
          </w:p>
          <w:p w14:paraId="6811743E">
            <w:pPr>
              <w:spacing w:line="480" w:lineRule="exact"/>
              <w:ind w:firstLine="482"/>
              <w:rPr>
                <w:rFonts w:hint="default" w:ascii="Times New Roman" w:hAnsi="Times New Roman" w:eastAsia="宋体" w:cs="Times New Roman"/>
                <w:b/>
                <w:sz w:val="24"/>
                <w:szCs w:val="24"/>
              </w:rPr>
            </w:pPr>
            <w:r>
              <w:rPr>
                <w:rFonts w:hint="eastAsia" w:cs="Times New Roman"/>
                <w:b/>
                <w:sz w:val="24"/>
                <w:szCs w:val="24"/>
                <w:lang w:val="en-US" w:eastAsia="zh-CN"/>
              </w:rPr>
              <w:t>3.6.1</w:t>
            </w:r>
            <w:r>
              <w:rPr>
                <w:rFonts w:hint="default" w:ascii="Times New Roman" w:hAnsi="Times New Roman" w:eastAsia="宋体" w:cs="Times New Roman"/>
                <w:b/>
                <w:sz w:val="24"/>
                <w:szCs w:val="24"/>
              </w:rPr>
              <w:t>大气污染物排放标准</w:t>
            </w:r>
          </w:p>
          <w:p w14:paraId="6D5E708F">
            <w:pPr>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施工期产生的</w:t>
            </w:r>
            <w:r>
              <w:rPr>
                <w:rFonts w:hint="eastAsia" w:cs="Times New Roman"/>
                <w:sz w:val="24"/>
                <w:szCs w:val="24"/>
                <w:lang w:val="en-US" w:eastAsia="zh-CN"/>
              </w:rPr>
              <w:t>施工扬尘</w:t>
            </w:r>
            <w:r>
              <w:rPr>
                <w:rFonts w:hint="default" w:ascii="Times New Roman" w:hAnsi="Times New Roman" w:eastAsia="宋体" w:cs="Times New Roman"/>
                <w:sz w:val="24"/>
                <w:szCs w:val="24"/>
              </w:rPr>
              <w:t>执行江苏省地方标准《施工场地扬尘排放标准》（DB32/4437-2022）表1排放浓度限值</w:t>
            </w:r>
            <w:r>
              <w:rPr>
                <w:rFonts w:hint="default" w:ascii="Times New Roman" w:hAnsi="Times New Roman" w:eastAsia="宋体" w:cs="Times New Roman"/>
                <w:kern w:val="0"/>
                <w:sz w:val="24"/>
                <w:szCs w:val="24"/>
              </w:rPr>
              <w:t>，</w:t>
            </w:r>
            <w:r>
              <w:rPr>
                <w:rFonts w:hint="eastAsia" w:cs="Times New Roman"/>
                <w:kern w:val="0"/>
                <w:sz w:val="24"/>
                <w:szCs w:val="24"/>
                <w:lang w:val="en-US" w:eastAsia="zh-CN"/>
              </w:rPr>
              <w:t>淤泥干化场恶臭执行</w:t>
            </w:r>
            <w:r>
              <w:rPr>
                <w:rFonts w:hint="eastAsia" w:ascii="宋体" w:hAnsi="宋体" w:eastAsia="宋体" w:cs="宋体"/>
                <w:color w:val="000000"/>
                <w:kern w:val="0"/>
                <w:sz w:val="24"/>
                <w:szCs w:val="24"/>
                <w:lang w:val="en-US" w:eastAsia="zh-CN" w:bidi="ar"/>
              </w:rPr>
              <w:t>《恶臭污染物排放标准》（</w:t>
            </w:r>
            <w:r>
              <w:rPr>
                <w:rFonts w:hint="default" w:ascii="Times New Roman" w:hAnsi="Times New Roman" w:eastAsia="宋体" w:cs="Times New Roman"/>
                <w:color w:val="000000"/>
                <w:kern w:val="0"/>
                <w:sz w:val="24"/>
                <w:szCs w:val="24"/>
                <w:lang w:val="en-US" w:eastAsia="zh-CN" w:bidi="ar"/>
              </w:rPr>
              <w:t>GB14544-93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kern w:val="0"/>
                <w:sz w:val="24"/>
                <w:szCs w:val="24"/>
              </w:rPr>
              <w:t>具体见表3.</w:t>
            </w:r>
            <w:r>
              <w:rPr>
                <w:rFonts w:hint="eastAsia" w:cs="Times New Roman"/>
                <w:kern w:val="0"/>
                <w:sz w:val="24"/>
                <w:szCs w:val="24"/>
                <w:lang w:val="en-US" w:eastAsia="zh-CN"/>
              </w:rPr>
              <w:t>6</w:t>
            </w:r>
            <w:r>
              <w:rPr>
                <w:rFonts w:hint="default" w:ascii="Times New Roman" w:hAnsi="Times New Roman" w:eastAsia="宋体" w:cs="Times New Roman"/>
                <w:kern w:val="0"/>
                <w:sz w:val="24"/>
                <w:szCs w:val="24"/>
              </w:rPr>
              <w:t>-1。本项目靠岸船舶均采用岸电，项目无船舶尾气排放。</w:t>
            </w:r>
          </w:p>
          <w:p w14:paraId="3D0407E8">
            <w:pPr>
              <w:spacing w:line="480" w:lineRule="exact"/>
              <w:ind w:firstLine="480" w:firstLineChars="200"/>
              <w:rPr>
                <w:rFonts w:hint="default" w:ascii="Times New Roman" w:hAnsi="Times New Roman" w:eastAsia="宋体" w:cs="Times New Roman"/>
                <w:kern w:val="0"/>
                <w:sz w:val="24"/>
                <w:szCs w:val="24"/>
              </w:rPr>
            </w:pPr>
          </w:p>
          <w:p w14:paraId="1C98D6ED">
            <w:pPr>
              <w:spacing w:line="480" w:lineRule="exact"/>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sz w:val="24"/>
                <w:szCs w:val="24"/>
              </w:rPr>
              <w:t>表3.</w:t>
            </w:r>
            <w:r>
              <w:rPr>
                <w:rFonts w:hint="eastAsia" w:cs="Times New Roman"/>
                <w:b/>
                <w:bCs/>
                <w:sz w:val="24"/>
                <w:szCs w:val="24"/>
                <w:lang w:val="en-US" w:eastAsia="zh-CN"/>
              </w:rPr>
              <w:t>6</w:t>
            </w:r>
            <w:r>
              <w:rPr>
                <w:rFonts w:hint="default" w:ascii="Times New Roman" w:hAnsi="Times New Roman" w:eastAsia="宋体" w:cs="Times New Roman"/>
                <w:b/>
                <w:bCs/>
                <w:sz w:val="24"/>
                <w:szCs w:val="24"/>
              </w:rPr>
              <w:t xml:space="preserve">-1  </w:t>
            </w:r>
            <w:r>
              <w:rPr>
                <w:rFonts w:hint="default" w:ascii="Times New Roman" w:hAnsi="Times New Roman" w:eastAsia="宋体" w:cs="Times New Roman"/>
                <w:b/>
                <w:bCs/>
                <w:kern w:val="0"/>
                <w:sz w:val="24"/>
                <w:szCs w:val="24"/>
              </w:rPr>
              <w:t>单位边界大气污染物排放监控浓度限值（摘录）</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929"/>
              <w:gridCol w:w="929"/>
              <w:gridCol w:w="1162"/>
              <w:gridCol w:w="1338"/>
              <w:gridCol w:w="1377"/>
              <w:gridCol w:w="1164"/>
              <w:gridCol w:w="2350"/>
            </w:tblGrid>
            <w:tr w14:paraId="59224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340" w:hRule="atLeast"/>
                <w:tblHeader/>
                <w:jc w:val="center"/>
              </w:trPr>
              <w:tc>
                <w:tcPr>
                  <w:tcW w:w="502" w:type="pct"/>
                  <w:vMerge w:val="restart"/>
                  <w:tcBorders>
                    <w:tl2br w:val="nil"/>
                    <w:tr2bl w:val="nil"/>
                  </w:tcBorders>
                  <w:noWrap w:val="0"/>
                  <w:vAlign w:val="center"/>
                </w:tcPr>
                <w:p w14:paraId="3CE133C2">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建设阶段</w:t>
                  </w:r>
                </w:p>
              </w:tc>
              <w:tc>
                <w:tcPr>
                  <w:tcW w:w="502" w:type="pct"/>
                  <w:vMerge w:val="restart"/>
                  <w:tcBorders>
                    <w:tl2br w:val="nil"/>
                    <w:tr2bl w:val="nil"/>
                  </w:tcBorders>
                  <w:noWrap w:val="0"/>
                  <w:vAlign w:val="center"/>
                </w:tcPr>
                <w:p w14:paraId="7BB779BB">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628" w:type="pct"/>
                  <w:vMerge w:val="restart"/>
                  <w:tcBorders>
                    <w:tl2br w:val="nil"/>
                    <w:tr2bl w:val="nil"/>
                  </w:tcBorders>
                  <w:noWrap w:val="0"/>
                  <w:vAlign w:val="center"/>
                </w:tcPr>
                <w:p w14:paraId="3D10D4F0">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w:t>
                  </w:r>
                </w:p>
                <w:p w14:paraId="3FDC47BB">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p>
              </w:tc>
              <w:tc>
                <w:tcPr>
                  <w:tcW w:w="723" w:type="pct"/>
                  <w:vMerge w:val="restart"/>
                  <w:tcBorders>
                    <w:tl2br w:val="nil"/>
                    <w:tr2bl w:val="nil"/>
                  </w:tcBorders>
                  <w:noWrap w:val="0"/>
                  <w:vAlign w:val="center"/>
                </w:tcPr>
                <w:p w14:paraId="25B3BFA5">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最高允许排放速率，kg/h</w:t>
                  </w:r>
                </w:p>
              </w:tc>
              <w:tc>
                <w:tcPr>
                  <w:tcW w:w="1373" w:type="pct"/>
                  <w:gridSpan w:val="2"/>
                  <w:tcBorders>
                    <w:tl2br w:val="nil"/>
                    <w:tr2bl w:val="nil"/>
                  </w:tcBorders>
                  <w:noWrap w:val="0"/>
                  <w:vAlign w:val="center"/>
                </w:tcPr>
                <w:p w14:paraId="4FD91B00">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无组织排放监控浓度限值</w:t>
                  </w:r>
                </w:p>
              </w:tc>
              <w:tc>
                <w:tcPr>
                  <w:tcW w:w="1270" w:type="pct"/>
                  <w:vMerge w:val="restart"/>
                  <w:tcBorders>
                    <w:tl2br w:val="nil"/>
                    <w:tr2bl w:val="nil"/>
                  </w:tcBorders>
                  <w:noWrap w:val="0"/>
                  <w:vAlign w:val="center"/>
                </w:tcPr>
                <w:p w14:paraId="4863664F">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标准依据</w:t>
                  </w:r>
                </w:p>
              </w:tc>
            </w:tr>
            <w:tr w14:paraId="5D7F8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340" w:hRule="atLeast"/>
                <w:tblHeader/>
                <w:jc w:val="center"/>
              </w:trPr>
              <w:tc>
                <w:tcPr>
                  <w:tcW w:w="502" w:type="pct"/>
                  <w:vMerge w:val="continue"/>
                  <w:tcBorders>
                    <w:tl2br w:val="nil"/>
                    <w:tr2bl w:val="nil"/>
                  </w:tcBorders>
                  <w:noWrap w:val="0"/>
                  <w:vAlign w:val="center"/>
                </w:tcPr>
                <w:p w14:paraId="0E10BE26">
                  <w:pPr>
                    <w:jc w:val="center"/>
                    <w:rPr>
                      <w:rFonts w:hint="default" w:ascii="Times New Roman" w:hAnsi="Times New Roman" w:eastAsia="宋体" w:cs="Times New Roman"/>
                      <w:b/>
                      <w:sz w:val="21"/>
                      <w:szCs w:val="21"/>
                    </w:rPr>
                  </w:pPr>
                </w:p>
              </w:tc>
              <w:tc>
                <w:tcPr>
                  <w:tcW w:w="502" w:type="pct"/>
                  <w:vMerge w:val="continue"/>
                  <w:tcBorders>
                    <w:tl2br w:val="nil"/>
                    <w:tr2bl w:val="nil"/>
                  </w:tcBorders>
                  <w:noWrap w:val="0"/>
                  <w:vAlign w:val="center"/>
                </w:tcPr>
                <w:p w14:paraId="05CFF850">
                  <w:pPr>
                    <w:jc w:val="center"/>
                    <w:rPr>
                      <w:rFonts w:hint="default" w:ascii="Times New Roman" w:hAnsi="Times New Roman" w:eastAsia="宋体" w:cs="Times New Roman"/>
                      <w:b/>
                      <w:sz w:val="21"/>
                      <w:szCs w:val="21"/>
                    </w:rPr>
                  </w:pPr>
                </w:p>
              </w:tc>
              <w:tc>
                <w:tcPr>
                  <w:tcW w:w="628" w:type="pct"/>
                  <w:vMerge w:val="continue"/>
                  <w:tcBorders>
                    <w:tl2br w:val="nil"/>
                    <w:tr2bl w:val="nil"/>
                  </w:tcBorders>
                  <w:noWrap w:val="0"/>
                  <w:vAlign w:val="center"/>
                </w:tcPr>
                <w:p w14:paraId="1A32EE79">
                  <w:pPr>
                    <w:jc w:val="center"/>
                    <w:rPr>
                      <w:rFonts w:hint="default" w:ascii="Times New Roman" w:hAnsi="Times New Roman" w:eastAsia="宋体" w:cs="Times New Roman"/>
                      <w:b/>
                      <w:sz w:val="21"/>
                      <w:szCs w:val="21"/>
                    </w:rPr>
                  </w:pPr>
                </w:p>
              </w:tc>
              <w:tc>
                <w:tcPr>
                  <w:tcW w:w="723" w:type="pct"/>
                  <w:vMerge w:val="continue"/>
                  <w:tcBorders>
                    <w:tl2br w:val="nil"/>
                    <w:tr2bl w:val="nil"/>
                  </w:tcBorders>
                  <w:noWrap w:val="0"/>
                  <w:vAlign w:val="center"/>
                </w:tcPr>
                <w:p w14:paraId="4F90BB24">
                  <w:pPr>
                    <w:jc w:val="center"/>
                    <w:rPr>
                      <w:rFonts w:hint="default" w:ascii="Times New Roman" w:hAnsi="Times New Roman" w:eastAsia="宋体" w:cs="Times New Roman"/>
                      <w:b/>
                      <w:bCs/>
                      <w:sz w:val="21"/>
                      <w:szCs w:val="21"/>
                    </w:rPr>
                  </w:pPr>
                </w:p>
              </w:tc>
              <w:tc>
                <w:tcPr>
                  <w:tcW w:w="744" w:type="pct"/>
                  <w:tcBorders>
                    <w:tl2br w:val="nil"/>
                    <w:tr2bl w:val="nil"/>
                  </w:tcBorders>
                  <w:noWrap w:val="0"/>
                  <w:vAlign w:val="center"/>
                </w:tcPr>
                <w:p w14:paraId="07CF96C7">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监控点</w:t>
                  </w:r>
                </w:p>
              </w:tc>
              <w:tc>
                <w:tcPr>
                  <w:tcW w:w="629" w:type="pct"/>
                  <w:tcBorders>
                    <w:tl2br w:val="nil"/>
                    <w:tr2bl w:val="nil"/>
                  </w:tcBorders>
                  <w:noWrap w:val="0"/>
                  <w:vAlign w:val="center"/>
                </w:tcPr>
                <w:p w14:paraId="66F8D599">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浓度</w:t>
                  </w:r>
                </w:p>
                <w:p w14:paraId="7AF529F6">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mg/m</w:t>
                  </w:r>
                  <w:r>
                    <w:rPr>
                      <w:rFonts w:hint="default" w:ascii="Times New Roman" w:hAnsi="Times New Roman" w:eastAsia="宋体" w:cs="Times New Roman"/>
                      <w:b/>
                      <w:sz w:val="21"/>
                      <w:szCs w:val="21"/>
                      <w:vertAlign w:val="superscript"/>
                    </w:rPr>
                    <w:t>3</w:t>
                  </w:r>
                </w:p>
              </w:tc>
              <w:tc>
                <w:tcPr>
                  <w:tcW w:w="1270" w:type="pct"/>
                  <w:vMerge w:val="continue"/>
                  <w:tcBorders>
                    <w:tl2br w:val="nil"/>
                    <w:tr2bl w:val="nil"/>
                  </w:tcBorders>
                  <w:noWrap w:val="0"/>
                  <w:vAlign w:val="center"/>
                </w:tcPr>
                <w:p w14:paraId="11C9FC5D">
                  <w:pPr>
                    <w:jc w:val="center"/>
                    <w:rPr>
                      <w:rFonts w:hint="default" w:ascii="Times New Roman" w:hAnsi="Times New Roman" w:eastAsia="宋体" w:cs="Times New Roman"/>
                      <w:sz w:val="21"/>
                      <w:szCs w:val="21"/>
                    </w:rPr>
                  </w:pPr>
                </w:p>
              </w:tc>
            </w:tr>
            <w:tr w14:paraId="22FB3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445" w:hRule="atLeast"/>
                <w:tblHeader/>
                <w:jc w:val="center"/>
              </w:trPr>
              <w:tc>
                <w:tcPr>
                  <w:tcW w:w="502" w:type="pct"/>
                  <w:vMerge w:val="restart"/>
                  <w:tcBorders>
                    <w:tl2br w:val="nil"/>
                    <w:tr2bl w:val="nil"/>
                  </w:tcBorders>
                  <w:noWrap w:val="0"/>
                  <w:vAlign w:val="center"/>
                </w:tcPr>
                <w:p w14:paraId="301884F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502" w:type="pct"/>
                  <w:tcBorders>
                    <w:tl2br w:val="nil"/>
                    <w:tr2bl w:val="nil"/>
                  </w:tcBorders>
                  <w:noWrap w:val="0"/>
                  <w:vAlign w:val="center"/>
                </w:tcPr>
                <w:p w14:paraId="3D37BD4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TSP</w:t>
                  </w:r>
                </w:p>
              </w:tc>
              <w:tc>
                <w:tcPr>
                  <w:tcW w:w="628" w:type="pct"/>
                  <w:tcBorders>
                    <w:tl2br w:val="nil"/>
                    <w:tr2bl w:val="nil"/>
                  </w:tcBorders>
                  <w:noWrap w:val="0"/>
                  <w:vAlign w:val="center"/>
                </w:tcPr>
                <w:p w14:paraId="47950A9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23" w:type="pct"/>
                  <w:tcBorders>
                    <w:tl2br w:val="nil"/>
                    <w:tr2bl w:val="nil"/>
                  </w:tcBorders>
                  <w:noWrap w:val="0"/>
                  <w:vAlign w:val="center"/>
                </w:tcPr>
                <w:p w14:paraId="78C7A6A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4" w:type="pct"/>
                  <w:tcBorders>
                    <w:tl2br w:val="nil"/>
                    <w:tr2bl w:val="nil"/>
                  </w:tcBorders>
                  <w:noWrap w:val="0"/>
                  <w:vAlign w:val="center"/>
                </w:tcPr>
                <w:p w14:paraId="7467C00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9" w:type="pct"/>
                  <w:tcBorders>
                    <w:tl2br w:val="nil"/>
                    <w:tr2bl w:val="nil"/>
                  </w:tcBorders>
                  <w:noWrap w:val="0"/>
                  <w:vAlign w:val="center"/>
                </w:tcPr>
                <w:p w14:paraId="73DCB5B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270" w:type="pct"/>
                  <w:vMerge w:val="restart"/>
                  <w:tcBorders>
                    <w:tl2br w:val="nil"/>
                    <w:tr2bl w:val="nil"/>
                  </w:tcBorders>
                  <w:noWrap w:val="0"/>
                  <w:vAlign w:val="center"/>
                </w:tcPr>
                <w:p w14:paraId="3E7277C0">
                  <w:pPr>
                    <w:spacing w:after="12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《施工场地扬尘排放标准》（DB32/4437-2022）表1。</w:t>
                  </w:r>
                </w:p>
              </w:tc>
            </w:tr>
            <w:tr w14:paraId="174AE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340" w:hRule="atLeast"/>
                <w:tblHeader/>
                <w:jc w:val="center"/>
              </w:trPr>
              <w:tc>
                <w:tcPr>
                  <w:tcW w:w="502" w:type="pct"/>
                  <w:vMerge w:val="continue"/>
                  <w:tcBorders>
                    <w:tl2br w:val="nil"/>
                    <w:tr2bl w:val="nil"/>
                  </w:tcBorders>
                  <w:noWrap w:val="0"/>
                  <w:vAlign w:val="center"/>
                </w:tcPr>
                <w:p w14:paraId="14F4D863">
                  <w:pPr>
                    <w:jc w:val="center"/>
                    <w:rPr>
                      <w:rFonts w:hint="default" w:ascii="Times New Roman" w:hAnsi="Times New Roman" w:eastAsia="宋体" w:cs="Times New Roman"/>
                      <w:sz w:val="21"/>
                      <w:szCs w:val="21"/>
                    </w:rPr>
                  </w:pPr>
                </w:p>
              </w:tc>
              <w:tc>
                <w:tcPr>
                  <w:tcW w:w="502" w:type="pct"/>
                  <w:tcBorders>
                    <w:tl2br w:val="nil"/>
                    <w:tr2bl w:val="nil"/>
                  </w:tcBorders>
                  <w:noWrap w:val="0"/>
                  <w:vAlign w:val="center"/>
                </w:tcPr>
                <w:p w14:paraId="0311C57B">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PM</w:t>
                  </w:r>
                  <w:r>
                    <w:rPr>
                      <w:rFonts w:hint="eastAsia" w:cs="Times New Roman"/>
                      <w:sz w:val="21"/>
                      <w:szCs w:val="21"/>
                      <w:vertAlign w:val="subscript"/>
                      <w:lang w:val="en-US" w:eastAsia="zh-CN"/>
                    </w:rPr>
                    <w:t>10</w:t>
                  </w:r>
                </w:p>
              </w:tc>
              <w:tc>
                <w:tcPr>
                  <w:tcW w:w="628" w:type="pct"/>
                  <w:tcBorders>
                    <w:tl2br w:val="nil"/>
                    <w:tr2bl w:val="nil"/>
                  </w:tcBorders>
                  <w:noWrap w:val="0"/>
                  <w:vAlign w:val="center"/>
                </w:tcPr>
                <w:p w14:paraId="48560EE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p>
              </w:tc>
              <w:tc>
                <w:tcPr>
                  <w:tcW w:w="723" w:type="pct"/>
                  <w:tcBorders>
                    <w:tl2br w:val="nil"/>
                    <w:tr2bl w:val="nil"/>
                  </w:tcBorders>
                  <w:noWrap w:val="0"/>
                  <w:vAlign w:val="center"/>
                </w:tcPr>
                <w:p w14:paraId="7DF26C1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p>
              </w:tc>
              <w:tc>
                <w:tcPr>
                  <w:tcW w:w="744" w:type="pct"/>
                  <w:tcBorders>
                    <w:tl2br w:val="nil"/>
                    <w:tr2bl w:val="nil"/>
                  </w:tcBorders>
                  <w:noWrap w:val="0"/>
                  <w:vAlign w:val="center"/>
                </w:tcPr>
                <w:p w14:paraId="3EEBB19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p>
              </w:tc>
              <w:tc>
                <w:tcPr>
                  <w:tcW w:w="629" w:type="pct"/>
                  <w:tcBorders>
                    <w:tl2br w:val="nil"/>
                    <w:tr2bl w:val="nil"/>
                  </w:tcBorders>
                  <w:noWrap w:val="0"/>
                  <w:vAlign w:val="center"/>
                </w:tcPr>
                <w:p w14:paraId="5CA04CC8">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0.08</w:t>
                  </w:r>
                </w:p>
              </w:tc>
              <w:tc>
                <w:tcPr>
                  <w:tcW w:w="1270" w:type="pct"/>
                  <w:vMerge w:val="continue"/>
                  <w:tcBorders>
                    <w:tl2br w:val="nil"/>
                    <w:tr2bl w:val="nil"/>
                  </w:tcBorders>
                  <w:noWrap w:val="0"/>
                  <w:vAlign w:val="center"/>
                </w:tcPr>
                <w:p w14:paraId="1F62EB17">
                  <w:pPr>
                    <w:spacing w:after="120"/>
                    <w:rPr>
                      <w:rFonts w:hint="default" w:ascii="Times New Roman" w:hAnsi="Times New Roman" w:eastAsia="宋体" w:cs="Times New Roman"/>
                      <w:sz w:val="21"/>
                      <w:szCs w:val="21"/>
                    </w:rPr>
                  </w:pPr>
                </w:p>
              </w:tc>
            </w:tr>
            <w:tr w14:paraId="17ACC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340" w:hRule="atLeast"/>
                <w:tblHeader/>
                <w:jc w:val="center"/>
              </w:trPr>
              <w:tc>
                <w:tcPr>
                  <w:tcW w:w="502" w:type="pct"/>
                  <w:vMerge w:val="continue"/>
                  <w:tcBorders>
                    <w:tl2br w:val="nil"/>
                    <w:tr2bl w:val="nil"/>
                  </w:tcBorders>
                  <w:noWrap w:val="0"/>
                  <w:vAlign w:val="center"/>
                </w:tcPr>
                <w:p w14:paraId="03D024A5">
                  <w:pPr>
                    <w:jc w:val="center"/>
                    <w:rPr>
                      <w:rFonts w:hint="default" w:ascii="Times New Roman" w:hAnsi="Times New Roman" w:eastAsia="宋体" w:cs="Times New Roman"/>
                      <w:sz w:val="21"/>
                      <w:szCs w:val="21"/>
                    </w:rPr>
                  </w:pPr>
                </w:p>
              </w:tc>
              <w:tc>
                <w:tcPr>
                  <w:tcW w:w="502" w:type="pct"/>
                  <w:tcBorders>
                    <w:tl2br w:val="nil"/>
                    <w:tr2bl w:val="nil"/>
                  </w:tcBorders>
                  <w:noWrap w:val="0"/>
                  <w:vAlign w:val="center"/>
                </w:tcPr>
                <w:p w14:paraId="5069BFC0">
                  <w:pPr>
                    <w:jc w:val="center"/>
                    <w:rPr>
                      <w:rFonts w:hint="default" w:cs="Times New Roman"/>
                      <w:sz w:val="21"/>
                      <w:szCs w:val="21"/>
                      <w:lang w:val="en-US" w:eastAsia="zh-CN"/>
                    </w:rPr>
                  </w:pPr>
                  <w:r>
                    <w:rPr>
                      <w:rFonts w:hint="eastAsia" w:cs="Times New Roman"/>
                      <w:sz w:val="21"/>
                      <w:szCs w:val="21"/>
                      <w:lang w:val="en-US" w:eastAsia="zh-CN"/>
                    </w:rPr>
                    <w:t>氨</w:t>
                  </w:r>
                </w:p>
              </w:tc>
              <w:tc>
                <w:tcPr>
                  <w:tcW w:w="628" w:type="pct"/>
                  <w:tcBorders>
                    <w:tl2br w:val="nil"/>
                    <w:tr2bl w:val="nil"/>
                  </w:tcBorders>
                  <w:noWrap w:val="0"/>
                  <w:vAlign w:val="center"/>
                </w:tcPr>
                <w:p w14:paraId="54BAF857">
                  <w:pPr>
                    <w:jc w:val="center"/>
                    <w:rPr>
                      <w:rFonts w:hint="default" w:ascii="Times New Roman" w:hAnsi="Times New Roman" w:eastAsia="宋体" w:cs="Times New Roman"/>
                      <w:sz w:val="21"/>
                      <w:szCs w:val="21"/>
                    </w:rPr>
                  </w:pPr>
                </w:p>
              </w:tc>
              <w:tc>
                <w:tcPr>
                  <w:tcW w:w="723" w:type="pct"/>
                  <w:tcBorders>
                    <w:tl2br w:val="nil"/>
                    <w:tr2bl w:val="nil"/>
                  </w:tcBorders>
                  <w:noWrap w:val="0"/>
                  <w:vAlign w:val="center"/>
                </w:tcPr>
                <w:p w14:paraId="1B072DDD">
                  <w:pPr>
                    <w:jc w:val="center"/>
                    <w:rPr>
                      <w:rFonts w:hint="default" w:ascii="Times New Roman" w:hAnsi="Times New Roman" w:eastAsia="宋体" w:cs="Times New Roman"/>
                      <w:sz w:val="21"/>
                      <w:szCs w:val="21"/>
                    </w:rPr>
                  </w:pPr>
                </w:p>
              </w:tc>
              <w:tc>
                <w:tcPr>
                  <w:tcW w:w="744" w:type="pct"/>
                  <w:tcBorders>
                    <w:tl2br w:val="nil"/>
                    <w:tr2bl w:val="nil"/>
                  </w:tcBorders>
                  <w:noWrap w:val="0"/>
                  <w:vAlign w:val="center"/>
                </w:tcPr>
                <w:p w14:paraId="37CA66DC">
                  <w:pPr>
                    <w:jc w:val="center"/>
                    <w:rPr>
                      <w:rFonts w:hint="default" w:ascii="Times New Roman" w:hAnsi="Times New Roman" w:eastAsia="宋体" w:cs="Times New Roman"/>
                      <w:sz w:val="21"/>
                      <w:szCs w:val="21"/>
                    </w:rPr>
                  </w:pPr>
                </w:p>
              </w:tc>
              <w:tc>
                <w:tcPr>
                  <w:tcW w:w="629" w:type="pct"/>
                  <w:tcBorders>
                    <w:tl2br w:val="nil"/>
                    <w:tr2bl w:val="nil"/>
                  </w:tcBorders>
                  <w:noWrap w:val="0"/>
                  <w:vAlign w:val="center"/>
                </w:tcPr>
                <w:p w14:paraId="49B6A80A">
                  <w:pPr>
                    <w:jc w:val="center"/>
                    <w:rPr>
                      <w:rFonts w:hint="default" w:cs="Times New Roman"/>
                      <w:sz w:val="21"/>
                      <w:szCs w:val="21"/>
                      <w:lang w:val="en-US" w:eastAsia="zh-CN"/>
                    </w:rPr>
                  </w:pPr>
                  <w:r>
                    <w:rPr>
                      <w:rFonts w:hint="eastAsia" w:cs="Times New Roman"/>
                      <w:sz w:val="21"/>
                      <w:szCs w:val="21"/>
                      <w:lang w:val="en-US" w:eastAsia="zh-CN"/>
                    </w:rPr>
                    <w:t>1.5</w:t>
                  </w:r>
                </w:p>
              </w:tc>
              <w:tc>
                <w:tcPr>
                  <w:tcW w:w="1270" w:type="pct"/>
                  <w:vMerge w:val="restart"/>
                  <w:tcBorders>
                    <w:tl2br w:val="nil"/>
                    <w:tr2bl w:val="nil"/>
                  </w:tcBorders>
                  <w:noWrap w:val="0"/>
                  <w:vAlign w:val="center"/>
                </w:tcPr>
                <w:p w14:paraId="554634DA">
                  <w:pPr>
                    <w:keepNext w:val="0"/>
                    <w:keepLines w:val="0"/>
                    <w:widowControl/>
                    <w:suppressLineNumbers w:val="0"/>
                    <w:jc w:val="left"/>
                    <w:rPr>
                      <w:rFonts w:hint="default" w:ascii="Times New Roman" w:hAnsi="Times New Roman" w:eastAsia="宋体" w:cs="Times New Roman"/>
                      <w:sz w:val="21"/>
                      <w:szCs w:val="21"/>
                    </w:rPr>
                  </w:pPr>
                  <w:r>
                    <w:rPr>
                      <w:rFonts w:hint="eastAsia" w:ascii="宋体" w:hAnsi="宋体" w:eastAsia="宋体" w:cs="宋体"/>
                      <w:color w:val="000000"/>
                      <w:kern w:val="0"/>
                      <w:sz w:val="21"/>
                      <w:szCs w:val="21"/>
                      <w:lang w:val="en-US" w:eastAsia="zh-CN" w:bidi="ar"/>
                    </w:rPr>
                    <w:t>《恶臭污染物排放标准》（</w:t>
                  </w:r>
                  <w:r>
                    <w:rPr>
                      <w:rFonts w:hint="default" w:ascii="Times New Roman" w:hAnsi="Times New Roman" w:eastAsia="宋体" w:cs="Times New Roman"/>
                      <w:color w:val="000000"/>
                      <w:kern w:val="0"/>
                      <w:sz w:val="21"/>
                      <w:szCs w:val="21"/>
                      <w:lang w:val="en-US" w:eastAsia="zh-CN" w:bidi="ar"/>
                    </w:rPr>
                    <w:t>GB14544-93</w:t>
                  </w:r>
                  <w:r>
                    <w:rPr>
                      <w:rFonts w:hint="eastAsia" w:ascii="宋体" w:hAnsi="宋体" w:eastAsia="宋体" w:cs="宋体"/>
                      <w:color w:val="000000"/>
                      <w:kern w:val="0"/>
                      <w:sz w:val="21"/>
                      <w:szCs w:val="21"/>
                      <w:lang w:val="en-US" w:eastAsia="zh-CN" w:bidi="ar"/>
                    </w:rPr>
                    <w:t>）表</w:t>
                  </w:r>
                  <w:r>
                    <w:rPr>
                      <w:rFonts w:hint="default" w:ascii="Times New Roman" w:hAnsi="Times New Roman" w:eastAsia="宋体" w:cs="Times New Roman"/>
                      <w:color w:val="000000"/>
                      <w:kern w:val="0"/>
                      <w:sz w:val="21"/>
                      <w:szCs w:val="21"/>
                      <w:lang w:val="en-US" w:eastAsia="zh-CN" w:bidi="ar"/>
                    </w:rPr>
                    <w:t>1</w:t>
                  </w:r>
                </w:p>
              </w:tc>
            </w:tr>
            <w:tr w14:paraId="2C7B3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340" w:hRule="atLeast"/>
                <w:tblHeader/>
                <w:jc w:val="center"/>
              </w:trPr>
              <w:tc>
                <w:tcPr>
                  <w:tcW w:w="502" w:type="pct"/>
                  <w:vMerge w:val="continue"/>
                  <w:tcBorders>
                    <w:tl2br w:val="nil"/>
                    <w:tr2bl w:val="nil"/>
                  </w:tcBorders>
                  <w:noWrap w:val="0"/>
                  <w:vAlign w:val="center"/>
                </w:tcPr>
                <w:p w14:paraId="67FEA80D">
                  <w:pPr>
                    <w:jc w:val="center"/>
                    <w:rPr>
                      <w:rFonts w:hint="default" w:ascii="Times New Roman" w:hAnsi="Times New Roman" w:eastAsia="宋体" w:cs="Times New Roman"/>
                      <w:sz w:val="21"/>
                      <w:szCs w:val="21"/>
                    </w:rPr>
                  </w:pPr>
                </w:p>
              </w:tc>
              <w:tc>
                <w:tcPr>
                  <w:tcW w:w="502" w:type="pct"/>
                  <w:tcBorders>
                    <w:tl2br w:val="nil"/>
                    <w:tr2bl w:val="nil"/>
                  </w:tcBorders>
                  <w:noWrap w:val="0"/>
                  <w:vAlign w:val="center"/>
                </w:tcPr>
                <w:p w14:paraId="68D9A787">
                  <w:pPr>
                    <w:jc w:val="center"/>
                    <w:rPr>
                      <w:rFonts w:hint="default" w:cs="Times New Roman"/>
                      <w:sz w:val="21"/>
                      <w:szCs w:val="21"/>
                      <w:lang w:val="en-US" w:eastAsia="zh-CN"/>
                    </w:rPr>
                  </w:pPr>
                  <w:r>
                    <w:rPr>
                      <w:rFonts w:hint="eastAsia" w:cs="Times New Roman"/>
                      <w:sz w:val="21"/>
                      <w:szCs w:val="21"/>
                      <w:lang w:val="en-US" w:eastAsia="zh-CN"/>
                    </w:rPr>
                    <w:t>硫化氢</w:t>
                  </w:r>
                </w:p>
              </w:tc>
              <w:tc>
                <w:tcPr>
                  <w:tcW w:w="628" w:type="pct"/>
                  <w:tcBorders>
                    <w:tl2br w:val="nil"/>
                    <w:tr2bl w:val="nil"/>
                  </w:tcBorders>
                  <w:noWrap w:val="0"/>
                  <w:vAlign w:val="center"/>
                </w:tcPr>
                <w:p w14:paraId="0394AD8B">
                  <w:pPr>
                    <w:jc w:val="center"/>
                    <w:rPr>
                      <w:rFonts w:hint="default" w:ascii="Times New Roman" w:hAnsi="Times New Roman" w:eastAsia="宋体" w:cs="Times New Roman"/>
                      <w:sz w:val="21"/>
                      <w:szCs w:val="21"/>
                    </w:rPr>
                  </w:pPr>
                </w:p>
              </w:tc>
              <w:tc>
                <w:tcPr>
                  <w:tcW w:w="723" w:type="pct"/>
                  <w:tcBorders>
                    <w:tl2br w:val="nil"/>
                    <w:tr2bl w:val="nil"/>
                  </w:tcBorders>
                  <w:noWrap w:val="0"/>
                  <w:vAlign w:val="center"/>
                </w:tcPr>
                <w:p w14:paraId="5607F81F">
                  <w:pPr>
                    <w:jc w:val="center"/>
                    <w:rPr>
                      <w:rFonts w:hint="default" w:ascii="Times New Roman" w:hAnsi="Times New Roman" w:eastAsia="宋体" w:cs="Times New Roman"/>
                      <w:sz w:val="21"/>
                      <w:szCs w:val="21"/>
                    </w:rPr>
                  </w:pPr>
                </w:p>
              </w:tc>
              <w:tc>
                <w:tcPr>
                  <w:tcW w:w="744" w:type="pct"/>
                  <w:tcBorders>
                    <w:tl2br w:val="nil"/>
                    <w:tr2bl w:val="nil"/>
                  </w:tcBorders>
                  <w:noWrap w:val="0"/>
                  <w:vAlign w:val="center"/>
                </w:tcPr>
                <w:p w14:paraId="1DFB4B30">
                  <w:pPr>
                    <w:jc w:val="center"/>
                    <w:rPr>
                      <w:rFonts w:hint="default" w:ascii="Times New Roman" w:hAnsi="Times New Roman" w:eastAsia="宋体" w:cs="Times New Roman"/>
                      <w:sz w:val="21"/>
                      <w:szCs w:val="21"/>
                    </w:rPr>
                  </w:pPr>
                </w:p>
              </w:tc>
              <w:tc>
                <w:tcPr>
                  <w:tcW w:w="629" w:type="pct"/>
                  <w:tcBorders>
                    <w:tl2br w:val="nil"/>
                    <w:tr2bl w:val="nil"/>
                  </w:tcBorders>
                  <w:noWrap w:val="0"/>
                  <w:vAlign w:val="center"/>
                </w:tcPr>
                <w:p w14:paraId="44070825">
                  <w:pPr>
                    <w:jc w:val="center"/>
                    <w:rPr>
                      <w:rFonts w:hint="default" w:cs="Times New Roman"/>
                      <w:sz w:val="21"/>
                      <w:szCs w:val="21"/>
                      <w:lang w:val="en-US" w:eastAsia="zh-CN"/>
                    </w:rPr>
                  </w:pPr>
                  <w:r>
                    <w:rPr>
                      <w:rFonts w:hint="eastAsia" w:cs="Times New Roman"/>
                      <w:sz w:val="21"/>
                      <w:szCs w:val="21"/>
                      <w:lang w:val="en-US" w:eastAsia="zh-CN"/>
                    </w:rPr>
                    <w:t>0.06</w:t>
                  </w:r>
                </w:p>
              </w:tc>
              <w:tc>
                <w:tcPr>
                  <w:tcW w:w="1270" w:type="pct"/>
                  <w:vMerge w:val="continue"/>
                  <w:tcBorders>
                    <w:tl2br w:val="nil"/>
                    <w:tr2bl w:val="nil"/>
                  </w:tcBorders>
                  <w:noWrap w:val="0"/>
                  <w:vAlign w:val="center"/>
                </w:tcPr>
                <w:p w14:paraId="55209590">
                  <w:pPr>
                    <w:spacing w:after="120"/>
                    <w:rPr>
                      <w:rFonts w:hint="default" w:ascii="Times New Roman" w:hAnsi="Times New Roman" w:eastAsia="宋体" w:cs="Times New Roman"/>
                      <w:sz w:val="21"/>
                      <w:szCs w:val="21"/>
                    </w:rPr>
                  </w:pPr>
                </w:p>
              </w:tc>
            </w:tr>
            <w:tr w14:paraId="0EA28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340" w:hRule="atLeast"/>
                <w:tblHeader/>
                <w:jc w:val="center"/>
              </w:trPr>
              <w:tc>
                <w:tcPr>
                  <w:tcW w:w="502" w:type="pct"/>
                  <w:vMerge w:val="continue"/>
                  <w:tcBorders>
                    <w:tl2br w:val="nil"/>
                    <w:tr2bl w:val="nil"/>
                  </w:tcBorders>
                  <w:noWrap w:val="0"/>
                  <w:vAlign w:val="center"/>
                </w:tcPr>
                <w:p w14:paraId="0511F21E">
                  <w:pPr>
                    <w:jc w:val="center"/>
                    <w:rPr>
                      <w:rFonts w:hint="default" w:ascii="Times New Roman" w:hAnsi="Times New Roman" w:eastAsia="宋体" w:cs="Times New Roman"/>
                      <w:sz w:val="21"/>
                      <w:szCs w:val="21"/>
                    </w:rPr>
                  </w:pPr>
                </w:p>
              </w:tc>
              <w:tc>
                <w:tcPr>
                  <w:tcW w:w="502" w:type="pct"/>
                  <w:tcBorders>
                    <w:tl2br w:val="nil"/>
                    <w:tr2bl w:val="nil"/>
                  </w:tcBorders>
                  <w:noWrap w:val="0"/>
                  <w:vAlign w:val="center"/>
                </w:tcPr>
                <w:p w14:paraId="3C92AEF2">
                  <w:pPr>
                    <w:jc w:val="center"/>
                    <w:rPr>
                      <w:rFonts w:hint="default" w:cs="Times New Roman"/>
                      <w:sz w:val="21"/>
                      <w:szCs w:val="21"/>
                      <w:lang w:val="en-US" w:eastAsia="zh-CN"/>
                    </w:rPr>
                  </w:pPr>
                  <w:r>
                    <w:rPr>
                      <w:rFonts w:hint="eastAsia" w:cs="Times New Roman"/>
                      <w:sz w:val="21"/>
                      <w:szCs w:val="21"/>
                      <w:lang w:val="en-US" w:eastAsia="zh-CN"/>
                    </w:rPr>
                    <w:t>臭气浓度</w:t>
                  </w:r>
                </w:p>
              </w:tc>
              <w:tc>
                <w:tcPr>
                  <w:tcW w:w="628" w:type="pct"/>
                  <w:tcBorders>
                    <w:tl2br w:val="nil"/>
                    <w:tr2bl w:val="nil"/>
                  </w:tcBorders>
                  <w:noWrap w:val="0"/>
                  <w:vAlign w:val="center"/>
                </w:tcPr>
                <w:p w14:paraId="3DBD41E2">
                  <w:pPr>
                    <w:jc w:val="center"/>
                    <w:rPr>
                      <w:rFonts w:hint="default" w:ascii="Times New Roman" w:hAnsi="Times New Roman" w:eastAsia="宋体" w:cs="Times New Roman"/>
                      <w:sz w:val="21"/>
                      <w:szCs w:val="21"/>
                    </w:rPr>
                  </w:pPr>
                </w:p>
              </w:tc>
              <w:tc>
                <w:tcPr>
                  <w:tcW w:w="723" w:type="pct"/>
                  <w:tcBorders>
                    <w:tl2br w:val="nil"/>
                    <w:tr2bl w:val="nil"/>
                  </w:tcBorders>
                  <w:noWrap w:val="0"/>
                  <w:vAlign w:val="center"/>
                </w:tcPr>
                <w:p w14:paraId="5E8DD2A6">
                  <w:pPr>
                    <w:jc w:val="center"/>
                    <w:rPr>
                      <w:rFonts w:hint="default" w:ascii="Times New Roman" w:hAnsi="Times New Roman" w:eastAsia="宋体" w:cs="Times New Roman"/>
                      <w:sz w:val="21"/>
                      <w:szCs w:val="21"/>
                    </w:rPr>
                  </w:pPr>
                </w:p>
              </w:tc>
              <w:tc>
                <w:tcPr>
                  <w:tcW w:w="744" w:type="pct"/>
                  <w:tcBorders>
                    <w:tl2br w:val="nil"/>
                    <w:tr2bl w:val="nil"/>
                  </w:tcBorders>
                  <w:noWrap w:val="0"/>
                  <w:vAlign w:val="center"/>
                </w:tcPr>
                <w:p w14:paraId="60EF7C64">
                  <w:pPr>
                    <w:jc w:val="center"/>
                    <w:rPr>
                      <w:rFonts w:hint="default" w:ascii="Times New Roman" w:hAnsi="Times New Roman" w:eastAsia="宋体" w:cs="Times New Roman"/>
                      <w:sz w:val="21"/>
                      <w:szCs w:val="21"/>
                    </w:rPr>
                  </w:pPr>
                </w:p>
              </w:tc>
              <w:tc>
                <w:tcPr>
                  <w:tcW w:w="629" w:type="pct"/>
                  <w:tcBorders>
                    <w:tl2br w:val="nil"/>
                    <w:tr2bl w:val="nil"/>
                  </w:tcBorders>
                  <w:noWrap w:val="0"/>
                  <w:vAlign w:val="center"/>
                </w:tcPr>
                <w:p w14:paraId="5B08AAF6">
                  <w:pPr>
                    <w:jc w:val="center"/>
                    <w:rPr>
                      <w:rFonts w:hint="default" w:cs="Times New Roman"/>
                      <w:sz w:val="21"/>
                      <w:szCs w:val="21"/>
                      <w:lang w:val="en-US" w:eastAsia="zh-CN"/>
                    </w:rPr>
                  </w:pPr>
                  <w:r>
                    <w:rPr>
                      <w:rFonts w:hint="eastAsia" w:cs="Times New Roman"/>
                      <w:sz w:val="21"/>
                      <w:szCs w:val="21"/>
                      <w:lang w:val="en-US" w:eastAsia="zh-CN"/>
                    </w:rPr>
                    <w:t>20（无量纲）</w:t>
                  </w:r>
                </w:p>
              </w:tc>
              <w:tc>
                <w:tcPr>
                  <w:tcW w:w="1270" w:type="pct"/>
                  <w:vMerge w:val="continue"/>
                  <w:tcBorders>
                    <w:tl2br w:val="nil"/>
                    <w:tr2bl w:val="nil"/>
                  </w:tcBorders>
                  <w:noWrap w:val="0"/>
                  <w:vAlign w:val="center"/>
                </w:tcPr>
                <w:p w14:paraId="7A6D9D4A">
                  <w:pPr>
                    <w:spacing w:after="120"/>
                    <w:rPr>
                      <w:rFonts w:hint="default" w:ascii="Times New Roman" w:hAnsi="Times New Roman" w:eastAsia="宋体" w:cs="Times New Roman"/>
                      <w:sz w:val="21"/>
                      <w:szCs w:val="21"/>
                    </w:rPr>
                  </w:pPr>
                </w:p>
              </w:tc>
            </w:tr>
          </w:tbl>
          <w:p w14:paraId="3F11BA36">
            <w:pPr>
              <w:spacing w:line="480" w:lineRule="exact"/>
              <w:ind w:firstLine="482" w:firstLineChars="200"/>
              <w:rPr>
                <w:rFonts w:hint="default" w:ascii="Times New Roman" w:hAnsi="Times New Roman" w:eastAsia="宋体" w:cs="Times New Roman"/>
                <w:b/>
                <w:sz w:val="24"/>
                <w:szCs w:val="24"/>
                <w:lang w:val="en-US" w:eastAsia="zh-CN"/>
              </w:rPr>
            </w:pPr>
            <w:r>
              <w:rPr>
                <w:rFonts w:hint="eastAsia" w:cs="Times New Roman"/>
                <w:b/>
                <w:sz w:val="24"/>
                <w:szCs w:val="24"/>
                <w:lang w:val="en-US" w:eastAsia="zh-CN"/>
              </w:rPr>
              <w:t>3.6.2废</w:t>
            </w:r>
            <w:r>
              <w:rPr>
                <w:rFonts w:hint="default" w:ascii="Times New Roman" w:hAnsi="Times New Roman" w:eastAsia="宋体" w:cs="Times New Roman"/>
                <w:b/>
                <w:sz w:val="24"/>
                <w:szCs w:val="24"/>
              </w:rPr>
              <w:t>水污染物</w:t>
            </w:r>
            <w:r>
              <w:rPr>
                <w:rFonts w:hint="eastAsia" w:cs="Times New Roman"/>
                <w:b/>
                <w:sz w:val="24"/>
                <w:szCs w:val="24"/>
                <w:lang w:val="en-US" w:eastAsia="zh-CN"/>
              </w:rPr>
              <w:t>排放标准</w:t>
            </w:r>
          </w:p>
          <w:p w14:paraId="6197831E">
            <w:pPr>
              <w:spacing w:line="480" w:lineRule="exact"/>
              <w:ind w:firstLine="480" w:firstLineChars="200"/>
              <w:rPr>
                <w:rFonts w:hint="default" w:ascii="Times New Roman" w:hAnsi="Times New Roman" w:eastAsia="宋体" w:cs="Times New Roman"/>
                <w:bCs w:val="0"/>
                <w:kern w:val="0"/>
                <w:sz w:val="24"/>
                <w:szCs w:val="24"/>
                <w:lang w:val="en-US" w:eastAsia="zh-CN"/>
              </w:rPr>
            </w:pPr>
            <w:r>
              <w:rPr>
                <w:rFonts w:hint="default" w:ascii="Times New Roman" w:hAnsi="Times New Roman" w:eastAsia="宋体" w:cs="Times New Roman"/>
                <w:b w:val="0"/>
                <w:bCs w:val="0"/>
                <w:kern w:val="0"/>
                <w:sz w:val="24"/>
                <w:szCs w:val="24"/>
                <w:lang w:eastAsia="zh-CN"/>
              </w:rPr>
              <w:t>施工</w:t>
            </w:r>
            <w:r>
              <w:rPr>
                <w:rFonts w:hint="default" w:ascii="Times New Roman" w:hAnsi="Times New Roman" w:eastAsia="宋体" w:cs="Times New Roman"/>
                <w:b w:val="0"/>
                <w:bCs w:val="0"/>
                <w:kern w:val="0"/>
                <w:sz w:val="24"/>
                <w:szCs w:val="24"/>
                <w:lang w:val="en-US" w:eastAsia="zh-CN"/>
              </w:rPr>
              <w:t>期：</w:t>
            </w:r>
            <w:r>
              <w:rPr>
                <w:rFonts w:hint="default" w:ascii="Times New Roman" w:hAnsi="Times New Roman" w:eastAsia="宋体" w:cs="Times New Roman"/>
                <w:b w:val="0"/>
                <w:bCs w:val="0"/>
                <w:kern w:val="0"/>
                <w:sz w:val="24"/>
                <w:szCs w:val="24"/>
                <w:lang w:eastAsia="zh-CN"/>
              </w:rPr>
              <w:t>船舶生活污水由具备相应作业资质的污水接收船接收处理，运送到岸上集中处理；船舶含油污水由当地交通运输部门认可的有资质的单位接收处理；陆域生活污水接管市政污水管</w:t>
            </w:r>
            <w:r>
              <w:rPr>
                <w:rFonts w:hint="default" w:ascii="Times New Roman" w:hAnsi="Times New Roman" w:eastAsia="宋体" w:cs="Times New Roman"/>
                <w:b w:val="0"/>
                <w:bCs w:val="0"/>
                <w:kern w:val="0"/>
                <w:sz w:val="24"/>
                <w:szCs w:val="24"/>
                <w:lang w:val="en-US" w:eastAsia="zh-CN"/>
              </w:rPr>
              <w:t>网</w:t>
            </w:r>
            <w:r>
              <w:rPr>
                <w:rFonts w:hint="default" w:ascii="Times New Roman" w:hAnsi="Times New Roman" w:eastAsia="宋体" w:cs="Times New Roman"/>
                <w:b w:val="0"/>
                <w:bCs w:val="0"/>
                <w:kern w:val="0"/>
                <w:sz w:val="24"/>
                <w:szCs w:val="24"/>
                <w:lang w:eastAsia="zh-CN"/>
              </w:rPr>
              <w:t>。</w:t>
            </w:r>
            <w:r>
              <w:rPr>
                <w:rFonts w:hint="default" w:ascii="Times New Roman" w:hAnsi="Times New Roman" w:eastAsia="宋体" w:cs="Times New Roman"/>
                <w:bCs w:val="0"/>
                <w:kern w:val="0"/>
                <w:sz w:val="24"/>
                <w:szCs w:val="24"/>
                <w:lang w:val="en-US" w:eastAsia="zh-CN"/>
              </w:rPr>
              <w:t>运营期：</w:t>
            </w:r>
            <w:r>
              <w:rPr>
                <w:rFonts w:hint="eastAsia" w:cs="Times New Roman"/>
                <w:bCs w:val="0"/>
                <w:kern w:val="0"/>
                <w:sz w:val="24"/>
                <w:szCs w:val="24"/>
                <w:lang w:val="en-US" w:eastAsia="zh-CN"/>
              </w:rPr>
              <w:t>船舶</w:t>
            </w:r>
            <w:r>
              <w:rPr>
                <w:rFonts w:hint="default" w:ascii="Times New Roman" w:hAnsi="Times New Roman" w:eastAsia="宋体" w:cs="Times New Roman"/>
                <w:bCs w:val="0"/>
                <w:kern w:val="0"/>
                <w:sz w:val="24"/>
                <w:szCs w:val="24"/>
                <w:lang w:val="en-US" w:eastAsia="zh-CN"/>
              </w:rPr>
              <w:t>生活污水经</w:t>
            </w:r>
            <w:r>
              <w:rPr>
                <w:rFonts w:hint="default" w:ascii="Times New Roman" w:hAnsi="Times New Roman" w:eastAsia="宋体" w:cs="Times New Roman"/>
                <w:bCs w:val="0"/>
                <w:kern w:val="0"/>
                <w:sz w:val="24"/>
                <w:szCs w:val="24"/>
                <w:lang w:val="en-US" w:eastAsia="zh-CN" w:bidi="ar-SA"/>
              </w:rPr>
              <w:t>锚地后沿污水箱收集后定期外运处理</w:t>
            </w:r>
            <w:r>
              <w:rPr>
                <w:rFonts w:hint="default" w:ascii="Times New Roman" w:hAnsi="Times New Roman" w:eastAsia="宋体" w:cs="Times New Roman"/>
                <w:bCs w:val="0"/>
                <w:kern w:val="0"/>
                <w:sz w:val="24"/>
                <w:szCs w:val="24"/>
                <w:lang w:eastAsia="zh-CN"/>
              </w:rPr>
              <w:t>；</w:t>
            </w:r>
            <w:r>
              <w:rPr>
                <w:rFonts w:hint="default" w:ascii="Times New Roman" w:hAnsi="Times New Roman" w:eastAsia="宋体" w:cs="Times New Roman"/>
                <w:bCs w:val="0"/>
                <w:kern w:val="0"/>
                <w:sz w:val="24"/>
                <w:szCs w:val="24"/>
                <w:lang w:val="en-US" w:eastAsia="zh-CN"/>
              </w:rPr>
              <w:t>船舶含油污水</w:t>
            </w:r>
            <w:r>
              <w:rPr>
                <w:rFonts w:hint="default" w:ascii="Times New Roman" w:hAnsi="Times New Roman" w:eastAsia="宋体" w:cs="Times New Roman"/>
                <w:bCs w:val="0"/>
                <w:kern w:val="0"/>
                <w:sz w:val="24"/>
                <w:szCs w:val="24"/>
              </w:rPr>
              <w:t>由当地交通运输部门认可的有资质的</w:t>
            </w:r>
            <w:r>
              <w:rPr>
                <w:rFonts w:hint="default" w:ascii="Times New Roman" w:hAnsi="Times New Roman" w:eastAsia="宋体" w:cs="Times New Roman"/>
                <w:bCs w:val="0"/>
                <w:kern w:val="0"/>
                <w:sz w:val="24"/>
                <w:szCs w:val="24"/>
                <w:lang w:val="en-US" w:eastAsia="zh-CN"/>
              </w:rPr>
              <w:t>单位</w:t>
            </w:r>
            <w:r>
              <w:rPr>
                <w:rFonts w:hint="default" w:ascii="Times New Roman" w:hAnsi="Times New Roman" w:eastAsia="宋体" w:cs="Times New Roman"/>
                <w:bCs w:val="0"/>
                <w:kern w:val="0"/>
                <w:sz w:val="24"/>
                <w:szCs w:val="24"/>
              </w:rPr>
              <w:t>接收处理</w:t>
            </w:r>
            <w:r>
              <w:rPr>
                <w:rFonts w:hint="default" w:ascii="Times New Roman" w:hAnsi="Times New Roman" w:eastAsia="宋体" w:cs="Times New Roman"/>
                <w:bCs w:val="0"/>
                <w:kern w:val="0"/>
                <w:sz w:val="24"/>
                <w:szCs w:val="24"/>
                <w:lang w:eastAsia="zh-CN"/>
              </w:rPr>
              <w:t>；</w:t>
            </w:r>
            <w:r>
              <w:rPr>
                <w:rFonts w:hint="default" w:ascii="Times New Roman" w:hAnsi="Times New Roman" w:eastAsia="宋体" w:cs="Times New Roman"/>
                <w:bCs w:val="0"/>
                <w:kern w:val="0"/>
                <w:sz w:val="24"/>
                <w:szCs w:val="24"/>
                <w:lang w:val="en-US" w:eastAsia="zh-CN"/>
              </w:rPr>
              <w:t>初期雨水经收集后外运处理。</w:t>
            </w:r>
          </w:p>
          <w:p w14:paraId="422B1CAA">
            <w:pPr>
              <w:spacing w:line="480" w:lineRule="exact"/>
              <w:ind w:firstLine="480" w:firstLineChars="200"/>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 xml:space="preserve">淤泥干化场余水中 </w:t>
            </w:r>
            <w:r>
              <w:rPr>
                <w:rFonts w:hint="default" w:ascii="Times New Roman" w:hAnsi="Times New Roman" w:eastAsia="宋体" w:cs="Times New Roman"/>
                <w:b w:val="0"/>
                <w:bCs w:val="0"/>
                <w:kern w:val="0"/>
                <w:sz w:val="24"/>
                <w:szCs w:val="24"/>
                <w:lang w:val="en-US" w:eastAsia="zh-CN"/>
              </w:rPr>
              <w:t>COD</w:t>
            </w:r>
            <w:r>
              <w:rPr>
                <w:rFonts w:hint="eastAsia" w:ascii="Times New Roman" w:hAnsi="Times New Roman" w:eastAsia="宋体" w:cs="Times New Roman"/>
                <w:b w:val="0"/>
                <w:bCs w:val="0"/>
                <w:kern w:val="0"/>
                <w:sz w:val="24"/>
                <w:szCs w:val="24"/>
                <w:lang w:val="en-US" w:eastAsia="zh-CN"/>
              </w:rPr>
              <w:t>、氨氮、</w:t>
            </w:r>
            <w:r>
              <w:rPr>
                <w:rFonts w:hint="default" w:ascii="Times New Roman" w:hAnsi="Times New Roman" w:eastAsia="宋体" w:cs="Times New Roman"/>
                <w:b w:val="0"/>
                <w:bCs w:val="0"/>
                <w:kern w:val="0"/>
                <w:sz w:val="24"/>
                <w:szCs w:val="24"/>
                <w:lang w:val="en-US" w:eastAsia="zh-CN"/>
              </w:rPr>
              <w:t xml:space="preserve">TP </w:t>
            </w:r>
            <w:r>
              <w:rPr>
                <w:rFonts w:hint="eastAsia" w:ascii="Times New Roman" w:hAnsi="Times New Roman" w:eastAsia="宋体" w:cs="Times New Roman"/>
                <w:b w:val="0"/>
                <w:bCs w:val="0"/>
                <w:kern w:val="0"/>
                <w:sz w:val="24"/>
                <w:szCs w:val="24"/>
                <w:lang w:val="en-US" w:eastAsia="zh-CN"/>
              </w:rPr>
              <w:t>执行《地表水环境质量标准》 （</w:t>
            </w:r>
            <w:r>
              <w:rPr>
                <w:rFonts w:hint="default" w:ascii="Times New Roman" w:hAnsi="Times New Roman" w:eastAsia="宋体" w:cs="Times New Roman"/>
                <w:b w:val="0"/>
                <w:bCs w:val="0"/>
                <w:kern w:val="0"/>
                <w:sz w:val="24"/>
                <w:szCs w:val="24"/>
                <w:lang w:val="en-US" w:eastAsia="zh-CN"/>
              </w:rPr>
              <w:t>GB3838-2002</w:t>
            </w:r>
            <w:r>
              <w:rPr>
                <w:rFonts w:hint="eastAsia" w:ascii="Times New Roman" w:hAnsi="Times New Roman" w:eastAsia="宋体" w:cs="Times New Roman"/>
                <w:b w:val="0"/>
                <w:bCs w:val="0"/>
                <w:kern w:val="0"/>
                <w:sz w:val="24"/>
                <w:szCs w:val="24"/>
                <w:lang w:val="en-US" w:eastAsia="zh-CN"/>
              </w:rPr>
              <w:t>）中的</w:t>
            </w:r>
            <w:r>
              <w:rPr>
                <w:rFonts w:hint="default" w:ascii="Times New Roman" w:hAnsi="Times New Roman" w:eastAsia="宋体" w:cs="Times New Roman"/>
                <w:b w:val="0"/>
                <w:bCs w:val="0"/>
                <w:kern w:val="0"/>
                <w:sz w:val="24"/>
                <w:szCs w:val="24"/>
                <w:lang w:val="en-US" w:eastAsia="zh-CN"/>
              </w:rPr>
              <w:t>Ⅲ</w:t>
            </w:r>
            <w:r>
              <w:rPr>
                <w:rFonts w:hint="eastAsia" w:ascii="Times New Roman" w:hAnsi="Times New Roman" w:eastAsia="宋体" w:cs="Times New Roman"/>
                <w:b w:val="0"/>
                <w:bCs w:val="0"/>
                <w:kern w:val="0"/>
                <w:sz w:val="24"/>
                <w:szCs w:val="24"/>
                <w:lang w:val="en-US" w:eastAsia="zh-CN"/>
              </w:rPr>
              <w:t>类标准，</w:t>
            </w:r>
            <w:r>
              <w:rPr>
                <w:rFonts w:hint="default" w:ascii="Times New Roman" w:hAnsi="Times New Roman" w:eastAsia="宋体" w:cs="Times New Roman"/>
                <w:b w:val="0"/>
                <w:bCs w:val="0"/>
                <w:kern w:val="0"/>
                <w:sz w:val="24"/>
                <w:szCs w:val="24"/>
                <w:lang w:val="en-US" w:eastAsia="zh-CN"/>
              </w:rPr>
              <w:t>SS</w:t>
            </w:r>
            <w:r>
              <w:rPr>
                <w:rFonts w:hint="eastAsia" w:ascii="Times New Roman" w:hAnsi="Times New Roman" w:eastAsia="宋体" w:cs="Times New Roman"/>
                <w:b w:val="0"/>
                <w:bCs w:val="0"/>
                <w:kern w:val="0"/>
                <w:sz w:val="24"/>
                <w:szCs w:val="24"/>
                <w:lang w:val="en-US" w:eastAsia="zh-CN"/>
              </w:rPr>
              <w:t>不高于本次</w:t>
            </w:r>
            <w:r>
              <w:rPr>
                <w:rFonts w:hint="eastAsia" w:ascii="Times New Roman" w:hAnsi="Times New Roman" w:cs="Times New Roman"/>
                <w:b w:val="0"/>
                <w:bCs w:val="0"/>
                <w:kern w:val="0"/>
                <w:sz w:val="24"/>
                <w:szCs w:val="24"/>
                <w:lang w:val="en-US" w:eastAsia="zh-CN"/>
              </w:rPr>
              <w:t>京杭运河</w:t>
            </w:r>
            <w:r>
              <w:rPr>
                <w:rFonts w:hint="eastAsia" w:ascii="Times New Roman" w:hAnsi="Times New Roman" w:eastAsia="宋体" w:cs="Times New Roman"/>
                <w:b w:val="0"/>
                <w:bCs w:val="0"/>
                <w:kern w:val="0"/>
                <w:sz w:val="24"/>
                <w:szCs w:val="24"/>
                <w:lang w:val="en-US" w:eastAsia="zh-CN"/>
              </w:rPr>
              <w:t>地表水环境监测值</w:t>
            </w:r>
            <w:r>
              <w:rPr>
                <w:rFonts w:hint="eastAsia" w:ascii="Times New Roman" w:hAnsi="Times New Roman" w:cs="Times New Roman"/>
                <w:b w:val="0"/>
                <w:bCs w:val="0"/>
                <w:kern w:val="0"/>
                <w:sz w:val="24"/>
                <w:szCs w:val="24"/>
                <w:lang w:val="en-US" w:eastAsia="zh-CN"/>
              </w:rPr>
              <w:t>平均</w:t>
            </w:r>
            <w:r>
              <w:rPr>
                <w:rFonts w:hint="eastAsia" w:ascii="Times New Roman" w:hAnsi="Times New Roman" w:eastAsia="宋体" w:cs="Times New Roman"/>
                <w:b w:val="0"/>
                <w:bCs w:val="0"/>
                <w:kern w:val="0"/>
                <w:sz w:val="24"/>
                <w:szCs w:val="24"/>
                <w:lang w:val="en-US" w:eastAsia="zh-CN"/>
              </w:rPr>
              <w:t>值，具体见表</w:t>
            </w:r>
            <w:r>
              <w:rPr>
                <w:rFonts w:hint="eastAsia" w:ascii="Times New Roman" w:hAnsi="Times New Roman" w:cs="Times New Roman"/>
                <w:b w:val="0"/>
                <w:bCs w:val="0"/>
                <w:kern w:val="0"/>
                <w:sz w:val="24"/>
                <w:szCs w:val="24"/>
                <w:lang w:val="en-US" w:eastAsia="zh-CN"/>
              </w:rPr>
              <w:t>3.6-2</w:t>
            </w:r>
            <w:r>
              <w:rPr>
                <w:rFonts w:hint="eastAsia" w:ascii="Times New Roman" w:hAnsi="Times New Roman" w:eastAsia="宋体" w:cs="Times New Roman"/>
                <w:b w:val="0"/>
                <w:bCs w:val="0"/>
                <w:kern w:val="0"/>
                <w:sz w:val="24"/>
                <w:szCs w:val="24"/>
                <w:lang w:val="en-US" w:eastAsia="zh-CN"/>
              </w:rPr>
              <w:t>。</w:t>
            </w:r>
          </w:p>
          <w:p w14:paraId="2CE56E0E">
            <w:pPr>
              <w:pStyle w:val="88"/>
              <w:ind w:firstLine="2168" w:firstLineChars="900"/>
              <w:jc w:val="both"/>
              <w:rPr>
                <w:rFonts w:hint="default"/>
                <w:lang w:val="en-US" w:eastAsia="zh-CN"/>
              </w:rPr>
            </w:pPr>
            <w:r>
              <w:rPr>
                <w:rFonts w:hint="eastAsia" w:ascii="Times New Roman" w:hAnsi="Times New Roman" w:cs="Times New Roman"/>
                <w:b/>
                <w:bCs/>
                <w:kern w:val="0"/>
                <w:sz w:val="24"/>
                <w:szCs w:val="24"/>
                <w:lang w:val="en-US" w:eastAsia="zh-CN"/>
              </w:rPr>
              <w:t>表3.6-2  淤泥干化场余水排放标准</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2040"/>
              <w:gridCol w:w="2040"/>
              <w:gridCol w:w="1936"/>
              <w:gridCol w:w="1929"/>
            </w:tblGrid>
            <w:tr w14:paraId="65E24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05" w:type="pct"/>
                  <w:tcBorders>
                    <w:tl2br w:val="nil"/>
                    <w:tr2bl w:val="nil"/>
                  </w:tcBorders>
                  <w:noWrap w:val="0"/>
                  <w:vAlign w:val="center"/>
                </w:tcPr>
                <w:p w14:paraId="1C36B21D">
                  <w:pPr>
                    <w:pStyle w:val="375"/>
                    <w:widowControl w:val="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类别</w:t>
                  </w:r>
                </w:p>
              </w:tc>
              <w:tc>
                <w:tcPr>
                  <w:tcW w:w="1102" w:type="pct"/>
                  <w:tcBorders>
                    <w:tl2br w:val="nil"/>
                    <w:tr2bl w:val="nil"/>
                  </w:tcBorders>
                  <w:noWrap w:val="0"/>
                  <w:vAlign w:val="center"/>
                </w:tcPr>
                <w:p w14:paraId="609E9AF8">
                  <w:pPr>
                    <w:pStyle w:val="375"/>
                    <w:widowControl w:val="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COD</w:t>
                  </w:r>
                </w:p>
              </w:tc>
              <w:tc>
                <w:tcPr>
                  <w:tcW w:w="1102" w:type="pct"/>
                  <w:tcBorders>
                    <w:tl2br w:val="nil"/>
                    <w:tr2bl w:val="nil"/>
                  </w:tcBorders>
                  <w:noWrap w:val="0"/>
                  <w:vAlign w:val="center"/>
                </w:tcPr>
                <w:p w14:paraId="71346D05">
                  <w:pPr>
                    <w:pStyle w:val="375"/>
                    <w:widowControl w:val="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氨氮</w:t>
                  </w:r>
                </w:p>
              </w:tc>
              <w:tc>
                <w:tcPr>
                  <w:tcW w:w="1046" w:type="pct"/>
                  <w:tcBorders>
                    <w:tl2br w:val="nil"/>
                    <w:tr2bl w:val="nil"/>
                  </w:tcBorders>
                  <w:noWrap w:val="0"/>
                  <w:vAlign w:val="center"/>
                </w:tcPr>
                <w:p w14:paraId="2DB4FB68">
                  <w:pPr>
                    <w:pStyle w:val="375"/>
                    <w:widowControl w:val="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TP</w:t>
                  </w:r>
                </w:p>
              </w:tc>
              <w:tc>
                <w:tcPr>
                  <w:tcW w:w="1042" w:type="pct"/>
                  <w:tcBorders>
                    <w:tl2br w:val="nil"/>
                    <w:tr2bl w:val="nil"/>
                  </w:tcBorders>
                  <w:noWrap w:val="0"/>
                  <w:vAlign w:val="center"/>
                </w:tcPr>
                <w:p w14:paraId="0D647337">
                  <w:pPr>
                    <w:pStyle w:val="375"/>
                    <w:widowControl w:val="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SS</w:t>
                  </w:r>
                </w:p>
              </w:tc>
            </w:tr>
            <w:tr w14:paraId="39A94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05" w:type="pct"/>
                  <w:tcBorders>
                    <w:tl2br w:val="nil"/>
                    <w:tr2bl w:val="nil"/>
                  </w:tcBorders>
                  <w:noWrap w:val="0"/>
                  <w:vAlign w:val="center"/>
                </w:tcPr>
                <w:p w14:paraId="05302C42">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浓度mg/L</w:t>
                  </w:r>
                </w:p>
              </w:tc>
              <w:tc>
                <w:tcPr>
                  <w:tcW w:w="1102" w:type="pct"/>
                  <w:tcBorders>
                    <w:tl2br w:val="nil"/>
                    <w:tr2bl w:val="nil"/>
                  </w:tcBorders>
                  <w:noWrap w:val="0"/>
                  <w:vAlign w:val="center"/>
                </w:tcPr>
                <w:p w14:paraId="2C3AC150">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w:t>
                  </w:r>
                </w:p>
              </w:tc>
              <w:tc>
                <w:tcPr>
                  <w:tcW w:w="1102" w:type="pct"/>
                  <w:tcBorders>
                    <w:tl2br w:val="nil"/>
                    <w:tr2bl w:val="nil"/>
                  </w:tcBorders>
                  <w:noWrap w:val="0"/>
                  <w:vAlign w:val="center"/>
                </w:tcPr>
                <w:p w14:paraId="6392C200">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w:t>
                  </w:r>
                </w:p>
              </w:tc>
              <w:tc>
                <w:tcPr>
                  <w:tcW w:w="1046" w:type="pct"/>
                  <w:tcBorders>
                    <w:tl2br w:val="nil"/>
                    <w:tr2bl w:val="nil"/>
                  </w:tcBorders>
                  <w:noWrap w:val="0"/>
                  <w:vAlign w:val="center"/>
                </w:tcPr>
                <w:p w14:paraId="640E02E5">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0.2</w:t>
                  </w:r>
                </w:p>
              </w:tc>
              <w:tc>
                <w:tcPr>
                  <w:tcW w:w="1042" w:type="pct"/>
                  <w:tcBorders>
                    <w:tl2br w:val="nil"/>
                    <w:tr2bl w:val="nil"/>
                  </w:tcBorders>
                  <w:noWrap w:val="0"/>
                  <w:vAlign w:val="center"/>
                </w:tcPr>
                <w:p w14:paraId="18445CEB">
                  <w:pPr>
                    <w:pStyle w:val="375"/>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18.8</w:t>
                  </w:r>
                </w:p>
              </w:tc>
            </w:tr>
          </w:tbl>
          <w:p w14:paraId="752AEFB1">
            <w:pPr>
              <w:spacing w:line="480" w:lineRule="exact"/>
              <w:ind w:firstLine="482" w:firstLineChars="200"/>
              <w:rPr>
                <w:rFonts w:hint="default" w:ascii="Times New Roman" w:hAnsi="Times New Roman" w:eastAsia="宋体" w:cs="Times New Roman"/>
                <w:b/>
                <w:sz w:val="24"/>
                <w:szCs w:val="24"/>
              </w:rPr>
            </w:pPr>
            <w:r>
              <w:rPr>
                <w:rFonts w:hint="eastAsia" w:cs="Times New Roman"/>
                <w:b/>
                <w:sz w:val="24"/>
                <w:szCs w:val="24"/>
                <w:lang w:val="en-US" w:eastAsia="zh-CN"/>
              </w:rPr>
              <w:t>3.6.3</w:t>
            </w:r>
            <w:r>
              <w:rPr>
                <w:rFonts w:hint="default" w:ascii="Times New Roman" w:hAnsi="Times New Roman" w:eastAsia="宋体" w:cs="Times New Roman"/>
                <w:b/>
                <w:sz w:val="24"/>
                <w:szCs w:val="24"/>
              </w:rPr>
              <w:t>噪声排放标准</w:t>
            </w:r>
          </w:p>
          <w:p w14:paraId="513562FF">
            <w:pPr>
              <w:pStyle w:val="3341"/>
              <w:spacing w:line="48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施工场地噪声排放标准见表3.</w:t>
            </w:r>
            <w:r>
              <w:rPr>
                <w:rFonts w:hint="eastAsia" w:eastAsia="宋体" w:cs="Times New Roman"/>
                <w:sz w:val="24"/>
                <w:szCs w:val="24"/>
                <w:lang w:val="en-US" w:eastAsia="zh-CN"/>
              </w:rPr>
              <w:t>6</w:t>
            </w:r>
            <w:r>
              <w:rPr>
                <w:rFonts w:hint="default" w:ascii="Times New Roman" w:hAnsi="Times New Roman" w:eastAsia="宋体" w:cs="Times New Roman"/>
                <w:sz w:val="24"/>
                <w:szCs w:val="24"/>
              </w:rPr>
              <w:t>-</w:t>
            </w:r>
            <w:r>
              <w:rPr>
                <w:rFonts w:hint="eastAsia" w:eastAsia="宋体" w:cs="Times New Roman"/>
                <w:sz w:val="24"/>
                <w:szCs w:val="24"/>
                <w:lang w:val="en-US" w:eastAsia="zh-CN"/>
              </w:rPr>
              <w:t>3</w:t>
            </w:r>
            <w:r>
              <w:rPr>
                <w:rFonts w:hint="default" w:ascii="Times New Roman" w:hAnsi="Times New Roman" w:eastAsia="宋体" w:cs="Times New Roman"/>
                <w:sz w:val="24"/>
                <w:szCs w:val="24"/>
              </w:rPr>
              <w:t>。</w:t>
            </w:r>
          </w:p>
          <w:p w14:paraId="53EEBDBC">
            <w:pPr>
              <w:pStyle w:val="3341"/>
              <w:spacing w:line="480" w:lineRule="exact"/>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表3.</w:t>
            </w:r>
            <w:r>
              <w:rPr>
                <w:rFonts w:hint="eastAsia" w:eastAsia="宋体" w:cs="Times New Roman"/>
                <w:b/>
                <w:bCs/>
                <w:kern w:val="2"/>
                <w:sz w:val="24"/>
                <w:szCs w:val="24"/>
                <w:lang w:val="en-US" w:eastAsia="zh-CN" w:bidi="ar-SA"/>
              </w:rPr>
              <w:t>6</w:t>
            </w:r>
            <w:r>
              <w:rPr>
                <w:rFonts w:hint="default" w:ascii="Times New Roman" w:hAnsi="Times New Roman" w:eastAsia="宋体" w:cs="Times New Roman"/>
                <w:b/>
                <w:bCs/>
                <w:kern w:val="2"/>
                <w:sz w:val="24"/>
                <w:szCs w:val="24"/>
                <w:lang w:val="en-US" w:eastAsia="zh-CN" w:bidi="ar-SA"/>
              </w:rPr>
              <w:t>-</w:t>
            </w:r>
            <w:r>
              <w:rPr>
                <w:rFonts w:hint="eastAsia" w:eastAsia="宋体" w:cs="Times New Roman"/>
                <w:b/>
                <w:bCs/>
                <w:kern w:val="2"/>
                <w:sz w:val="24"/>
                <w:szCs w:val="24"/>
                <w:lang w:val="en-US" w:eastAsia="zh-CN" w:bidi="ar-SA"/>
              </w:rPr>
              <w:t>3</w:t>
            </w:r>
            <w:r>
              <w:rPr>
                <w:rFonts w:hint="default" w:ascii="Times New Roman" w:hAnsi="Times New Roman" w:eastAsia="宋体" w:cs="Times New Roman"/>
                <w:b/>
                <w:bCs/>
                <w:kern w:val="2"/>
                <w:sz w:val="24"/>
                <w:szCs w:val="24"/>
                <w:lang w:val="en-US" w:eastAsia="zh-CN" w:bidi="ar-SA"/>
              </w:rPr>
              <w:t xml:space="preserve">  建筑施工场界环境噪声排放标准</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1641"/>
              <w:gridCol w:w="2051"/>
              <w:gridCol w:w="5557"/>
            </w:tblGrid>
            <w:tr w14:paraId="49274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995" w:type="pct"/>
                  <w:gridSpan w:val="2"/>
                  <w:tcBorders>
                    <w:tl2br w:val="nil"/>
                    <w:tr2bl w:val="nil"/>
                  </w:tcBorders>
                  <w:noWrap w:val="0"/>
                  <w:vAlign w:val="center"/>
                </w:tcPr>
                <w:p w14:paraId="724B8838">
                  <w:pPr>
                    <w:pStyle w:val="375"/>
                    <w:jc w:val="center"/>
                    <w:rPr>
                      <w:rFonts w:hint="default" w:ascii="Times New Roman" w:hAnsi="Times New Roman" w:eastAsia="宋体" w:cs="Times New Roman"/>
                      <w:b/>
                      <w:bCs/>
                      <w:sz w:val="21"/>
                      <w:szCs w:val="21"/>
                      <w:lang w:val="en-US"/>
                    </w:rPr>
                  </w:pPr>
                  <w:r>
                    <w:rPr>
                      <w:rFonts w:hint="default" w:ascii="Times New Roman" w:hAnsi="Times New Roman" w:eastAsia="宋体" w:cs="Times New Roman"/>
                      <w:b/>
                      <w:bCs/>
                      <w:sz w:val="21"/>
                      <w:szCs w:val="21"/>
                      <w:lang w:val="en-US"/>
                    </w:rPr>
                    <w:t>噪声限值Leq（dB(A)）</w:t>
                  </w:r>
                </w:p>
              </w:tc>
              <w:tc>
                <w:tcPr>
                  <w:tcW w:w="3005" w:type="pct"/>
                  <w:vMerge w:val="restart"/>
                  <w:tcBorders>
                    <w:tl2br w:val="nil"/>
                    <w:tr2bl w:val="nil"/>
                  </w:tcBorders>
                  <w:noWrap w:val="0"/>
                  <w:vAlign w:val="center"/>
                </w:tcPr>
                <w:p w14:paraId="58D33391">
                  <w:pPr>
                    <w:pStyle w:val="375"/>
                    <w:jc w:val="center"/>
                    <w:rPr>
                      <w:rFonts w:hint="default" w:ascii="Times New Roman" w:hAnsi="Times New Roman" w:eastAsia="宋体" w:cs="Times New Roman"/>
                      <w:b/>
                      <w:bCs/>
                      <w:sz w:val="21"/>
                      <w:szCs w:val="21"/>
                      <w:lang w:val="en-US"/>
                    </w:rPr>
                  </w:pPr>
                  <w:r>
                    <w:rPr>
                      <w:rFonts w:hint="default" w:ascii="Times New Roman" w:hAnsi="Times New Roman" w:eastAsia="宋体" w:cs="Times New Roman"/>
                      <w:b/>
                      <w:bCs/>
                      <w:sz w:val="21"/>
                      <w:szCs w:val="21"/>
                      <w:lang w:val="en-US"/>
                    </w:rPr>
                    <w:t>标准依据</w:t>
                  </w:r>
                </w:p>
              </w:tc>
            </w:tr>
            <w:tr w14:paraId="0497F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887" w:type="pct"/>
                  <w:tcBorders>
                    <w:tl2br w:val="nil"/>
                    <w:tr2bl w:val="nil"/>
                  </w:tcBorders>
                  <w:noWrap w:val="0"/>
                  <w:vAlign w:val="center"/>
                </w:tcPr>
                <w:p w14:paraId="4A343002">
                  <w:pPr>
                    <w:pStyle w:val="375"/>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昼间</w:t>
                  </w:r>
                </w:p>
              </w:tc>
              <w:tc>
                <w:tcPr>
                  <w:tcW w:w="1109" w:type="pct"/>
                  <w:tcBorders>
                    <w:tl2br w:val="nil"/>
                    <w:tr2bl w:val="nil"/>
                  </w:tcBorders>
                  <w:noWrap w:val="0"/>
                  <w:vAlign w:val="center"/>
                </w:tcPr>
                <w:p w14:paraId="5F67A448">
                  <w:pPr>
                    <w:pStyle w:val="375"/>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夜间</w:t>
                  </w:r>
                </w:p>
              </w:tc>
              <w:tc>
                <w:tcPr>
                  <w:tcW w:w="3005" w:type="pct"/>
                  <w:vMerge w:val="continue"/>
                  <w:tcBorders>
                    <w:tl2br w:val="nil"/>
                    <w:tr2bl w:val="nil"/>
                  </w:tcBorders>
                  <w:noWrap w:val="0"/>
                  <w:vAlign w:val="center"/>
                </w:tcPr>
                <w:p w14:paraId="2FC50EB8">
                  <w:pPr>
                    <w:pStyle w:val="375"/>
                    <w:jc w:val="center"/>
                    <w:rPr>
                      <w:rFonts w:hint="default" w:ascii="Times New Roman" w:hAnsi="Times New Roman" w:eastAsia="宋体" w:cs="Times New Roman"/>
                      <w:sz w:val="21"/>
                      <w:szCs w:val="21"/>
                      <w:lang w:val="en-US"/>
                    </w:rPr>
                  </w:pPr>
                </w:p>
              </w:tc>
            </w:tr>
            <w:tr w14:paraId="6EC2C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887" w:type="pct"/>
                  <w:tcBorders>
                    <w:tl2br w:val="nil"/>
                    <w:tr2bl w:val="nil"/>
                  </w:tcBorders>
                  <w:noWrap w:val="0"/>
                  <w:vAlign w:val="center"/>
                </w:tcPr>
                <w:p w14:paraId="0E7B098F">
                  <w:pPr>
                    <w:pStyle w:val="375"/>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70</w:t>
                  </w:r>
                </w:p>
              </w:tc>
              <w:tc>
                <w:tcPr>
                  <w:tcW w:w="1109" w:type="pct"/>
                  <w:tcBorders>
                    <w:tl2br w:val="nil"/>
                    <w:tr2bl w:val="nil"/>
                  </w:tcBorders>
                  <w:noWrap w:val="0"/>
                  <w:vAlign w:val="center"/>
                </w:tcPr>
                <w:p w14:paraId="222CE0F2">
                  <w:pPr>
                    <w:pStyle w:val="375"/>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55</w:t>
                  </w:r>
                </w:p>
              </w:tc>
              <w:tc>
                <w:tcPr>
                  <w:tcW w:w="3005" w:type="pct"/>
                  <w:tcBorders>
                    <w:tl2br w:val="nil"/>
                    <w:tr2bl w:val="nil"/>
                  </w:tcBorders>
                  <w:noWrap w:val="0"/>
                  <w:vAlign w:val="center"/>
                </w:tcPr>
                <w:p w14:paraId="09E934AD">
                  <w:pPr>
                    <w:pStyle w:val="375"/>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《建筑施工场界环境噪声排放标准》（GB12523-2011）</w:t>
                  </w:r>
                </w:p>
              </w:tc>
            </w:tr>
          </w:tbl>
          <w:p w14:paraId="68CD507A">
            <w:pPr>
              <w:spacing w:line="480" w:lineRule="exact"/>
              <w:ind w:firstLine="482" w:firstLineChars="200"/>
              <w:rPr>
                <w:rFonts w:hint="default" w:ascii="Times New Roman" w:hAnsi="Times New Roman" w:eastAsia="宋体" w:cs="Times New Roman"/>
                <w:b/>
                <w:sz w:val="24"/>
                <w:szCs w:val="24"/>
              </w:rPr>
            </w:pPr>
            <w:r>
              <w:rPr>
                <w:rFonts w:hint="eastAsia" w:cs="Times New Roman"/>
                <w:b/>
                <w:sz w:val="24"/>
                <w:szCs w:val="24"/>
                <w:lang w:val="en-US" w:eastAsia="zh-CN"/>
              </w:rPr>
              <w:t>3.6.4</w:t>
            </w:r>
            <w:r>
              <w:rPr>
                <w:rFonts w:hint="default" w:ascii="Times New Roman" w:hAnsi="Times New Roman" w:eastAsia="宋体" w:cs="Times New Roman"/>
                <w:b/>
                <w:sz w:val="24"/>
                <w:szCs w:val="24"/>
              </w:rPr>
              <w:t>固体废物排放标准</w:t>
            </w:r>
          </w:p>
          <w:p w14:paraId="4F099815">
            <w:pPr>
              <w:pStyle w:val="3341"/>
              <w:spacing w:line="48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一般固体废物：《一般工业固体废物贮存和填埋污染控制标准》（GB18599-2020）。</w:t>
            </w:r>
          </w:p>
          <w:p w14:paraId="04AABB02">
            <w:pPr>
              <w:adjustRightInd w:val="0"/>
              <w:snapToGrid w:val="0"/>
              <w:spacing w:line="48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危险废物：《危险废物贮存污染控制标准》（GB 18597-2023）相应标准。</w:t>
            </w:r>
          </w:p>
          <w:p w14:paraId="1EACE3AD">
            <w:pPr>
              <w:spacing w:line="480" w:lineRule="exact"/>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船舶垃圾执行《船舶污染物排放标准》（GB3552-2018），详见表3.</w:t>
            </w:r>
            <w:r>
              <w:rPr>
                <w:rFonts w:hint="eastAsia" w:cs="Times New Roman"/>
                <w:sz w:val="24"/>
                <w:szCs w:val="24"/>
                <w:lang w:val="en-US" w:eastAsia="zh-CN"/>
              </w:rPr>
              <w:t>6</w:t>
            </w:r>
            <w:r>
              <w:rPr>
                <w:rFonts w:hint="default" w:ascii="Times New Roman" w:hAnsi="Times New Roman" w:eastAsia="宋体" w:cs="Times New Roman"/>
                <w:sz w:val="24"/>
                <w:szCs w:val="24"/>
              </w:rPr>
              <w:t>-</w:t>
            </w:r>
            <w:r>
              <w:rPr>
                <w:rFonts w:hint="eastAsia" w:cs="Times New Roman"/>
                <w:sz w:val="24"/>
                <w:szCs w:val="24"/>
                <w:lang w:val="en-US" w:eastAsia="zh-CN"/>
              </w:rPr>
              <w:t>4</w:t>
            </w:r>
            <w:r>
              <w:rPr>
                <w:rFonts w:hint="default" w:ascii="Times New Roman" w:hAnsi="Times New Roman" w:eastAsia="宋体" w:cs="Times New Roman"/>
                <w:sz w:val="24"/>
                <w:szCs w:val="24"/>
              </w:rPr>
              <w:t>。</w:t>
            </w:r>
          </w:p>
          <w:p w14:paraId="4344C779">
            <w:pPr>
              <w:pStyle w:val="3341"/>
              <w:spacing w:line="480" w:lineRule="exact"/>
              <w:ind w:left="0" w:leftChars="0" w:firstLine="0" w:firstLineChars="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表3.</w:t>
            </w:r>
            <w:r>
              <w:rPr>
                <w:rFonts w:hint="eastAsia" w:eastAsia="宋体" w:cs="Times New Roman"/>
                <w:b/>
                <w:bCs/>
                <w:kern w:val="2"/>
                <w:sz w:val="24"/>
                <w:szCs w:val="24"/>
                <w:lang w:val="en-US" w:eastAsia="zh-CN" w:bidi="ar-SA"/>
              </w:rPr>
              <w:t>6</w:t>
            </w:r>
            <w:r>
              <w:rPr>
                <w:rFonts w:hint="default" w:ascii="Times New Roman" w:hAnsi="Times New Roman" w:eastAsia="宋体" w:cs="Times New Roman"/>
                <w:b/>
                <w:bCs/>
                <w:kern w:val="2"/>
                <w:sz w:val="24"/>
                <w:szCs w:val="24"/>
                <w:lang w:val="en-US" w:eastAsia="zh-CN" w:bidi="ar-SA"/>
              </w:rPr>
              <w:t>-</w:t>
            </w:r>
            <w:r>
              <w:rPr>
                <w:rFonts w:hint="eastAsia" w:eastAsia="宋体" w:cs="Times New Roman"/>
                <w:b/>
                <w:bCs/>
                <w:kern w:val="2"/>
                <w:sz w:val="24"/>
                <w:szCs w:val="24"/>
                <w:lang w:val="en-US" w:eastAsia="zh-CN" w:bidi="ar-SA"/>
              </w:rPr>
              <w:t>4</w:t>
            </w:r>
            <w:r>
              <w:rPr>
                <w:rFonts w:hint="default" w:ascii="Times New Roman" w:hAnsi="Times New Roman" w:eastAsia="宋体" w:cs="Times New Roman"/>
                <w:b/>
                <w:bCs/>
                <w:kern w:val="2"/>
                <w:sz w:val="24"/>
                <w:szCs w:val="24"/>
                <w:lang w:val="en-US" w:eastAsia="zh-CN" w:bidi="ar-SA"/>
              </w:rPr>
              <w:t xml:space="preserve">  船舶污染物排放标准</w:t>
            </w:r>
          </w:p>
          <w:tbl>
            <w:tblPr>
              <w:tblStyle w:val="89"/>
              <w:tblW w:w="5000" w:type="pct"/>
              <w:tblInd w:w="3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6563"/>
              <w:gridCol w:w="2686"/>
            </w:tblGrid>
            <w:tr w14:paraId="0661D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3547" w:type="pct"/>
                  <w:tcBorders>
                    <w:tl2br w:val="nil"/>
                    <w:tr2bl w:val="nil"/>
                  </w:tcBorders>
                  <w:noWrap w:val="0"/>
                  <w:vAlign w:val="center"/>
                </w:tcPr>
                <w:p w14:paraId="10F9F314">
                  <w:pPr>
                    <w:pStyle w:val="3341"/>
                    <w:spacing w:line="240" w:lineRule="auto"/>
                    <w:ind w:firstLine="0" w:firstLineChars="0"/>
                    <w:jc w:val="center"/>
                    <w:rPr>
                      <w:rFonts w:hint="default" w:ascii="Times New Roman" w:hAnsi="Times New Roman" w:eastAsia="宋体" w:cs="Times New Roman"/>
                      <w:b/>
                      <w:bCs/>
                      <w:snapToGrid w:val="0"/>
                      <w:kern w:val="2"/>
                      <w:sz w:val="21"/>
                      <w:szCs w:val="21"/>
                    </w:rPr>
                  </w:pPr>
                  <w:r>
                    <w:rPr>
                      <w:rFonts w:hint="default" w:ascii="Times New Roman" w:hAnsi="Times New Roman" w:eastAsia="宋体" w:cs="Times New Roman"/>
                      <w:b/>
                      <w:bCs/>
                      <w:snapToGrid w:val="0"/>
                      <w:kern w:val="2"/>
                      <w:sz w:val="21"/>
                      <w:szCs w:val="21"/>
                    </w:rPr>
                    <w:t>排放物</w:t>
                  </w:r>
                </w:p>
              </w:tc>
              <w:tc>
                <w:tcPr>
                  <w:tcW w:w="1452" w:type="pct"/>
                  <w:tcBorders>
                    <w:tl2br w:val="nil"/>
                    <w:tr2bl w:val="nil"/>
                  </w:tcBorders>
                  <w:noWrap w:val="0"/>
                  <w:vAlign w:val="center"/>
                </w:tcPr>
                <w:p w14:paraId="0875F32A">
                  <w:pPr>
                    <w:pStyle w:val="3341"/>
                    <w:spacing w:line="240" w:lineRule="auto"/>
                    <w:ind w:firstLine="0" w:firstLineChars="0"/>
                    <w:jc w:val="center"/>
                    <w:rPr>
                      <w:rFonts w:hint="default" w:ascii="Times New Roman" w:hAnsi="Times New Roman" w:eastAsia="宋体" w:cs="Times New Roman"/>
                      <w:b/>
                      <w:bCs/>
                      <w:snapToGrid w:val="0"/>
                      <w:kern w:val="2"/>
                      <w:sz w:val="21"/>
                      <w:szCs w:val="21"/>
                    </w:rPr>
                  </w:pPr>
                  <w:r>
                    <w:rPr>
                      <w:rFonts w:hint="default" w:ascii="Times New Roman" w:hAnsi="Times New Roman" w:eastAsia="宋体" w:cs="Times New Roman"/>
                      <w:b/>
                      <w:bCs/>
                      <w:snapToGrid w:val="0"/>
                      <w:kern w:val="2"/>
                      <w:sz w:val="21"/>
                      <w:szCs w:val="21"/>
                    </w:rPr>
                    <w:t>内河</w:t>
                  </w:r>
                </w:p>
              </w:tc>
            </w:tr>
            <w:tr w14:paraId="7FDC0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3547" w:type="pct"/>
                  <w:tcBorders>
                    <w:tl2br w:val="nil"/>
                    <w:tr2bl w:val="nil"/>
                  </w:tcBorders>
                  <w:noWrap w:val="0"/>
                  <w:vAlign w:val="center"/>
                </w:tcPr>
                <w:p w14:paraId="6F155477">
                  <w:pPr>
                    <w:pStyle w:val="375"/>
                    <w:rPr>
                      <w:rFonts w:hint="default" w:ascii="Times New Roman" w:hAnsi="Times New Roman" w:eastAsia="宋体" w:cs="Times New Roman"/>
                      <w:snapToGrid w:val="0"/>
                      <w:kern w:val="2"/>
                      <w:sz w:val="21"/>
                      <w:szCs w:val="21"/>
                    </w:rPr>
                  </w:pPr>
                  <w:r>
                    <w:rPr>
                      <w:rFonts w:hint="default" w:ascii="Times New Roman" w:hAnsi="Times New Roman" w:eastAsia="宋体" w:cs="Times New Roman"/>
                      <w:snapToGrid w:val="0"/>
                      <w:kern w:val="2"/>
                      <w:sz w:val="21"/>
                      <w:szCs w:val="21"/>
                    </w:rPr>
                    <w:t>所有船舶垃圾（包括塑料废弃物、废弃食用油、生活废弃物、焚烧炉灰渣、废弃渔具、电子垃圾、食品废弃物、货物残留物、动物尸体等）</w:t>
                  </w:r>
                </w:p>
              </w:tc>
              <w:tc>
                <w:tcPr>
                  <w:tcW w:w="1452" w:type="pct"/>
                  <w:tcBorders>
                    <w:tl2br w:val="nil"/>
                    <w:tr2bl w:val="nil"/>
                  </w:tcBorders>
                  <w:noWrap w:val="0"/>
                  <w:vAlign w:val="center"/>
                </w:tcPr>
                <w:p w14:paraId="325E40F0">
                  <w:pPr>
                    <w:pStyle w:val="375"/>
                    <w:rPr>
                      <w:rFonts w:hint="default" w:ascii="Times New Roman" w:hAnsi="Times New Roman" w:eastAsia="宋体" w:cs="Times New Roman"/>
                      <w:snapToGrid w:val="0"/>
                      <w:kern w:val="2"/>
                      <w:sz w:val="21"/>
                      <w:szCs w:val="21"/>
                    </w:rPr>
                  </w:pPr>
                  <w:r>
                    <w:rPr>
                      <w:rFonts w:hint="default" w:ascii="Times New Roman" w:hAnsi="Times New Roman" w:eastAsia="宋体" w:cs="Times New Roman"/>
                      <w:snapToGrid w:val="0"/>
                      <w:kern w:val="2"/>
                      <w:sz w:val="21"/>
                      <w:szCs w:val="21"/>
                    </w:rPr>
                    <w:t>禁止投入水域</w:t>
                  </w:r>
                </w:p>
              </w:tc>
            </w:tr>
          </w:tbl>
          <w:p w14:paraId="4DBBC67D">
            <w:pPr>
              <w:spacing w:line="460" w:lineRule="exact"/>
              <w:ind w:firstLine="480" w:firstLineChars="200"/>
              <w:jc w:val="left"/>
              <w:rPr>
                <w:rFonts w:hint="default" w:ascii="Times New Roman" w:hAnsi="Times New Roman" w:eastAsia="宋体" w:cs="Times New Roman"/>
                <w:sz w:val="24"/>
                <w:szCs w:val="24"/>
              </w:rPr>
            </w:pPr>
          </w:p>
        </w:tc>
      </w:tr>
      <w:tr w14:paraId="71375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00" w:type="dxa"/>
            <w:vAlign w:val="center"/>
          </w:tcPr>
          <w:p w14:paraId="39389088">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其他</w:t>
            </w:r>
          </w:p>
        </w:tc>
        <w:tc>
          <w:tcPr>
            <w:tcW w:w="8122" w:type="dxa"/>
          </w:tcPr>
          <w:p w14:paraId="07690075">
            <w:pPr>
              <w:spacing w:line="460" w:lineRule="exact"/>
              <w:jc w:val="center"/>
              <w:rPr>
                <w:rFonts w:hint="eastAsia" w:ascii="Times New Roman" w:hAnsi="Times New Roman" w:eastAsia="宋体" w:cs="Times New Roman"/>
                <w:sz w:val="24"/>
                <w:szCs w:val="24"/>
                <w:lang w:val="en-US" w:eastAsia="zh-CN"/>
              </w:rPr>
            </w:pPr>
          </w:p>
          <w:p w14:paraId="30361CE3">
            <w:pPr>
              <w:spacing w:line="460" w:lineRule="exact"/>
              <w:jc w:val="center"/>
              <w:rPr>
                <w:rFonts w:hint="eastAsia" w:ascii="Times New Roman" w:hAnsi="Times New Roman" w:eastAsia="宋体" w:cs="Times New Roman"/>
                <w:sz w:val="24"/>
                <w:szCs w:val="24"/>
                <w:lang w:val="en-US" w:eastAsia="zh-CN"/>
              </w:rPr>
            </w:pPr>
          </w:p>
          <w:p w14:paraId="756DF598">
            <w:pPr>
              <w:spacing w:line="460" w:lineRule="exact"/>
              <w:jc w:val="center"/>
              <w:rPr>
                <w:rFonts w:hint="eastAsia" w:ascii="Times New Roman" w:hAnsi="Times New Roman" w:eastAsia="宋体" w:cs="Times New Roman"/>
                <w:sz w:val="24"/>
                <w:szCs w:val="24"/>
                <w:lang w:val="en-US" w:eastAsia="zh-CN"/>
              </w:rPr>
            </w:pPr>
          </w:p>
          <w:p w14:paraId="1B7ABD72">
            <w:pPr>
              <w:spacing w:line="460" w:lineRule="exact"/>
              <w:jc w:val="center"/>
              <w:rPr>
                <w:rFonts w:hint="eastAsia" w:ascii="Times New Roman" w:hAnsi="Times New Roman" w:eastAsia="宋体" w:cs="Times New Roman"/>
                <w:sz w:val="24"/>
                <w:szCs w:val="24"/>
                <w:lang w:val="en-US" w:eastAsia="zh-CN"/>
              </w:rPr>
            </w:pPr>
          </w:p>
          <w:p w14:paraId="5396AEFC">
            <w:pPr>
              <w:spacing w:line="460" w:lineRule="exact"/>
              <w:jc w:val="center"/>
              <w:rPr>
                <w:rFonts w:hint="eastAsia" w:ascii="Times New Roman" w:hAnsi="Times New Roman" w:eastAsia="宋体" w:cs="Times New Roman"/>
                <w:sz w:val="24"/>
                <w:szCs w:val="24"/>
                <w:lang w:val="en-US" w:eastAsia="zh-CN"/>
              </w:rPr>
            </w:pPr>
          </w:p>
          <w:p w14:paraId="705EC56F">
            <w:pPr>
              <w:spacing w:line="46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本项目无需设置总量控制指标</w:t>
            </w:r>
          </w:p>
          <w:p w14:paraId="3B5FA6AE">
            <w:pPr>
              <w:spacing w:line="460" w:lineRule="exact"/>
              <w:jc w:val="center"/>
              <w:rPr>
                <w:rFonts w:hint="eastAsia" w:ascii="Times New Roman" w:hAnsi="Times New Roman" w:eastAsia="宋体" w:cs="Times New Roman"/>
                <w:sz w:val="24"/>
                <w:szCs w:val="24"/>
                <w:lang w:val="en-US" w:eastAsia="zh-CN"/>
              </w:rPr>
            </w:pPr>
          </w:p>
          <w:p w14:paraId="69E10668">
            <w:pPr>
              <w:spacing w:line="460" w:lineRule="exact"/>
              <w:jc w:val="center"/>
              <w:rPr>
                <w:rFonts w:hint="eastAsia" w:ascii="Times New Roman" w:hAnsi="Times New Roman" w:eastAsia="宋体" w:cs="Times New Roman"/>
                <w:sz w:val="24"/>
                <w:szCs w:val="24"/>
                <w:lang w:val="en-US" w:eastAsia="zh-CN"/>
              </w:rPr>
            </w:pPr>
          </w:p>
          <w:p w14:paraId="7DE474C9">
            <w:pPr>
              <w:spacing w:line="460" w:lineRule="exact"/>
              <w:jc w:val="center"/>
              <w:rPr>
                <w:rFonts w:hint="eastAsia" w:ascii="Times New Roman" w:hAnsi="Times New Roman" w:eastAsia="宋体" w:cs="Times New Roman"/>
                <w:sz w:val="24"/>
                <w:szCs w:val="24"/>
                <w:lang w:val="en-US" w:eastAsia="zh-CN"/>
              </w:rPr>
            </w:pPr>
          </w:p>
          <w:p w14:paraId="024DEE2A">
            <w:pPr>
              <w:spacing w:line="460" w:lineRule="exact"/>
              <w:jc w:val="center"/>
              <w:rPr>
                <w:rFonts w:hint="eastAsia" w:ascii="Times New Roman" w:hAnsi="Times New Roman" w:eastAsia="宋体" w:cs="Times New Roman"/>
                <w:sz w:val="24"/>
                <w:szCs w:val="24"/>
                <w:lang w:val="en-US" w:eastAsia="zh-CN"/>
              </w:rPr>
            </w:pPr>
          </w:p>
          <w:p w14:paraId="22DFBF33">
            <w:pPr>
              <w:spacing w:line="460" w:lineRule="exact"/>
              <w:jc w:val="center"/>
              <w:rPr>
                <w:rFonts w:hint="default" w:ascii="Times New Roman" w:hAnsi="Times New Roman" w:eastAsia="宋体" w:cs="Times New Roman"/>
                <w:sz w:val="24"/>
                <w:szCs w:val="24"/>
                <w:lang w:val="en-US" w:eastAsia="zh-CN"/>
              </w:rPr>
            </w:pPr>
          </w:p>
        </w:tc>
      </w:tr>
    </w:tbl>
    <w:p w14:paraId="46C984F6">
      <w:pPr>
        <w:rPr>
          <w:rFonts w:hint="default" w:ascii="Times New Roman" w:hAnsi="Times New Roman" w:eastAsia="宋体" w:cs="Times New Roman"/>
          <w:szCs w:val="21"/>
        </w:rPr>
        <w:sectPr>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pPr>
    </w:p>
    <w:p w14:paraId="510AD4AC">
      <w:pPr>
        <w:pStyle w:val="82"/>
        <w:jc w:val="center"/>
        <w:outlineLvl w:val="0"/>
        <w:rPr>
          <w:rFonts w:hint="default" w:ascii="Times New Roman" w:hAnsi="Times New Roman" w:eastAsia="宋体" w:cs="Times New Roman"/>
          <w:b/>
          <w:snapToGrid w:val="0"/>
          <w:sz w:val="30"/>
          <w:szCs w:val="30"/>
        </w:rPr>
      </w:pPr>
      <w:bookmarkStart w:id="8" w:name="_Toc22082"/>
      <w:r>
        <w:rPr>
          <w:rFonts w:hint="default" w:ascii="Times New Roman" w:hAnsi="Times New Roman" w:eastAsia="宋体" w:cs="Times New Roman"/>
          <w:b/>
          <w:snapToGrid w:val="0"/>
          <w:sz w:val="30"/>
          <w:szCs w:val="30"/>
        </w:rPr>
        <w:t>四、生态环境影响分析</w:t>
      </w:r>
      <w:bookmarkEnd w:id="8"/>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5"/>
        <w:gridCol w:w="9351"/>
      </w:tblGrid>
      <w:tr w14:paraId="0384E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449" w:type="dxa"/>
            <w:tcMar>
              <w:left w:w="28" w:type="dxa"/>
              <w:right w:w="28" w:type="dxa"/>
            </w:tcMar>
            <w:vAlign w:val="center"/>
          </w:tcPr>
          <w:p w14:paraId="22441956">
            <w:pPr>
              <w:pStyle w:val="82"/>
              <w:adjustRightInd w:val="0"/>
              <w:snapToGrid w:val="0"/>
              <w:spacing w:before="0" w:beforeAutospacing="0" w:after="0" w:afterAutospacing="0"/>
              <w:jc w:val="center"/>
              <w:rPr>
                <w:rFonts w:hint="default" w:ascii="Times New Roman" w:hAnsi="Times New Roman" w:eastAsia="宋体" w:cs="Times New Roman"/>
                <w:bCs/>
                <w:sz w:val="24"/>
                <w:szCs w:val="24"/>
              </w:rPr>
            </w:pPr>
            <w:bookmarkStart w:id="9" w:name="_Hlk49796138"/>
            <w:r>
              <w:rPr>
                <w:rFonts w:hint="eastAsia" w:cs="宋体"/>
                <w:bCs/>
                <w:spacing w:val="10"/>
                <w:kern w:val="2"/>
                <w:sz w:val="21"/>
                <w:szCs w:val="21"/>
              </w:rPr>
              <w:t>施工期生态环境影响分析</w:t>
            </w:r>
            <w:bookmarkEnd w:id="9"/>
          </w:p>
        </w:tc>
        <w:tc>
          <w:tcPr>
            <w:tcW w:w="7993" w:type="dxa"/>
            <w:vAlign w:val="center"/>
          </w:tcPr>
          <w:p w14:paraId="0B7B85D9">
            <w:pPr>
              <w:adjustRightInd w:val="0"/>
              <w:snapToGrid w:val="0"/>
              <w:spacing w:line="480" w:lineRule="exact"/>
              <w:ind w:left="480"/>
              <w:rPr>
                <w:b/>
                <w:bCs/>
                <w:sz w:val="24"/>
                <w:szCs w:val="24"/>
              </w:rPr>
            </w:pPr>
            <w:r>
              <w:rPr>
                <w:b/>
                <w:bCs/>
                <w:sz w:val="24"/>
                <w:szCs w:val="24"/>
              </w:rPr>
              <w:t>4.1施工期生态环境影响分析</w:t>
            </w:r>
          </w:p>
          <w:p w14:paraId="65636ACE">
            <w:pPr>
              <w:adjustRightInd w:val="0"/>
              <w:snapToGrid w:val="0"/>
              <w:spacing w:line="480" w:lineRule="exact"/>
              <w:ind w:left="480"/>
              <w:rPr>
                <w:b/>
                <w:bCs/>
                <w:sz w:val="24"/>
                <w:szCs w:val="24"/>
                <w:highlight w:val="none"/>
              </w:rPr>
            </w:pPr>
            <w:r>
              <w:rPr>
                <w:b/>
                <w:bCs/>
                <w:sz w:val="24"/>
                <w:szCs w:val="24"/>
                <w:highlight w:val="none"/>
              </w:rPr>
              <w:t>4.1.1生态环境影响分析</w:t>
            </w:r>
          </w:p>
          <w:p w14:paraId="508E5C63">
            <w:pPr>
              <w:spacing w:line="480" w:lineRule="exact"/>
              <w:ind w:firstLine="480" w:firstLineChars="200"/>
              <w:rPr>
                <w:sz w:val="24"/>
                <w:szCs w:val="24"/>
                <w:highlight w:val="none"/>
              </w:rPr>
            </w:pPr>
            <w:r>
              <w:rPr>
                <w:sz w:val="24"/>
                <w:szCs w:val="24"/>
                <w:highlight w:val="none"/>
              </w:rPr>
              <w:t>1、对水生生态的影响</w:t>
            </w:r>
          </w:p>
          <w:p w14:paraId="54F7E26C">
            <w:pPr>
              <w:numPr>
                <w:ilvl w:val="0"/>
                <w:numId w:val="1"/>
              </w:numPr>
              <w:tabs>
                <w:tab w:val="left" w:pos="660"/>
                <w:tab w:val="clear" w:pos="900"/>
              </w:tabs>
              <w:spacing w:line="480" w:lineRule="exact"/>
              <w:ind w:left="0" w:firstLine="480" w:firstLineChars="200"/>
              <w:rPr>
                <w:sz w:val="24"/>
                <w:szCs w:val="24"/>
                <w:highlight w:val="none"/>
              </w:rPr>
            </w:pPr>
            <w:r>
              <w:rPr>
                <w:sz w:val="24"/>
                <w:szCs w:val="24"/>
                <w:highlight w:val="none"/>
              </w:rPr>
              <w:t>水域施工对水生生态的影响</w:t>
            </w:r>
          </w:p>
          <w:p w14:paraId="2A7570D7">
            <w:pPr>
              <w:spacing w:line="480" w:lineRule="exact"/>
              <w:ind w:firstLine="480" w:firstLineChars="200"/>
              <w:rPr>
                <w:sz w:val="24"/>
                <w:szCs w:val="24"/>
                <w:highlight w:val="none"/>
              </w:rPr>
            </w:pPr>
            <w:r>
              <w:rPr>
                <w:sz w:val="24"/>
                <w:szCs w:val="24"/>
                <w:highlight w:val="none"/>
              </w:rPr>
              <w:t>本项目</w:t>
            </w:r>
            <w:r>
              <w:rPr>
                <w:rFonts w:hint="eastAsia"/>
                <w:sz w:val="24"/>
                <w:szCs w:val="24"/>
                <w:highlight w:val="none"/>
                <w:lang w:val="en-US" w:eastAsia="zh-CN"/>
              </w:rPr>
              <w:t>锚地</w:t>
            </w:r>
            <w:r>
              <w:rPr>
                <w:sz w:val="24"/>
                <w:szCs w:val="24"/>
                <w:highlight w:val="none"/>
              </w:rPr>
              <w:t>开挖、疏浚施工对部分底泥起了搅动作用，使表层底泥发生再悬浮；施工运输过程也会有少量</w:t>
            </w:r>
            <w:r>
              <w:rPr>
                <w:rFonts w:hint="eastAsia"/>
                <w:sz w:val="24"/>
                <w:szCs w:val="24"/>
                <w:highlight w:val="none"/>
                <w:lang w:eastAsia="zh-CN"/>
              </w:rPr>
              <w:t>泥沙</w:t>
            </w:r>
            <w:r>
              <w:rPr>
                <w:sz w:val="24"/>
                <w:szCs w:val="24"/>
                <w:highlight w:val="none"/>
              </w:rPr>
              <w:t>落入水中，形成</w:t>
            </w:r>
            <w:r>
              <w:rPr>
                <w:rFonts w:hint="eastAsia"/>
                <w:sz w:val="24"/>
                <w:szCs w:val="24"/>
                <w:highlight w:val="none"/>
                <w:lang w:eastAsia="zh-CN"/>
              </w:rPr>
              <w:t>泥沙</w:t>
            </w:r>
            <w:r>
              <w:rPr>
                <w:sz w:val="24"/>
                <w:szCs w:val="24"/>
                <w:highlight w:val="none"/>
              </w:rPr>
              <w:t>悬浮。在水流扩散的影响下，会造成近岸局部水域悬浮物浓度增加，增加水体的浑浊度。</w:t>
            </w:r>
          </w:p>
          <w:p w14:paraId="11A4879E">
            <w:pPr>
              <w:spacing w:line="480" w:lineRule="exact"/>
              <w:ind w:firstLine="480" w:firstLineChars="200"/>
              <w:rPr>
                <w:sz w:val="24"/>
                <w:szCs w:val="24"/>
                <w:highlight w:val="none"/>
              </w:rPr>
            </w:pPr>
            <w:r>
              <w:rPr>
                <w:sz w:val="24"/>
                <w:szCs w:val="24"/>
                <w:highlight w:val="none"/>
              </w:rPr>
              <w:t>本项目</w:t>
            </w:r>
            <w:r>
              <w:rPr>
                <w:rFonts w:hint="eastAsia"/>
                <w:sz w:val="24"/>
                <w:szCs w:val="24"/>
                <w:highlight w:val="none"/>
                <w:lang w:val="en-US" w:eastAsia="zh-CN"/>
              </w:rPr>
              <w:t>锚地</w:t>
            </w:r>
            <w:r>
              <w:rPr>
                <w:sz w:val="24"/>
                <w:szCs w:val="24"/>
                <w:highlight w:val="none"/>
              </w:rPr>
              <w:t>施工采用</w:t>
            </w:r>
            <w:r>
              <w:rPr>
                <w:rFonts w:hint="eastAsia"/>
                <w:sz w:val="24"/>
                <w:szCs w:val="24"/>
                <w:highlight w:val="none"/>
                <w:lang w:val="en-US" w:eastAsia="zh-CN"/>
              </w:rPr>
              <w:t>围</w:t>
            </w:r>
            <w:r>
              <w:rPr>
                <w:sz w:val="24"/>
                <w:szCs w:val="24"/>
                <w:highlight w:val="none"/>
              </w:rPr>
              <w:t>堰法，施工区域与水域隔离。通过加强对施工物料和固废的管理，防止物料泄漏入河以及禁止向河中倾倒废物，</w:t>
            </w:r>
            <w:r>
              <w:rPr>
                <w:rFonts w:hint="eastAsia"/>
                <w:sz w:val="24"/>
                <w:szCs w:val="24"/>
                <w:highlight w:val="none"/>
                <w:lang w:val="en-US" w:eastAsia="zh-CN"/>
              </w:rPr>
              <w:t>锚地</w:t>
            </w:r>
            <w:r>
              <w:rPr>
                <w:sz w:val="24"/>
                <w:szCs w:val="24"/>
                <w:highlight w:val="none"/>
              </w:rPr>
              <w:t>施工对水生生态基本不产生不利影响。</w:t>
            </w:r>
          </w:p>
          <w:p w14:paraId="7CAB0102">
            <w:pPr>
              <w:numPr>
                <w:ilvl w:val="0"/>
                <w:numId w:val="1"/>
              </w:numPr>
              <w:spacing w:line="480" w:lineRule="exact"/>
              <w:rPr>
                <w:sz w:val="24"/>
                <w:szCs w:val="24"/>
                <w:highlight w:val="none"/>
              </w:rPr>
            </w:pPr>
            <w:r>
              <w:rPr>
                <w:sz w:val="24"/>
                <w:szCs w:val="24"/>
                <w:highlight w:val="none"/>
              </w:rPr>
              <w:t>施工生活污水对</w:t>
            </w:r>
            <w:r>
              <w:rPr>
                <w:rFonts w:hint="eastAsia"/>
                <w:sz w:val="24"/>
                <w:szCs w:val="24"/>
                <w:highlight w:val="none"/>
                <w:lang w:val="en-US" w:eastAsia="zh-CN"/>
              </w:rPr>
              <w:t>京杭运河</w:t>
            </w:r>
            <w:r>
              <w:rPr>
                <w:sz w:val="24"/>
                <w:szCs w:val="24"/>
                <w:highlight w:val="none"/>
              </w:rPr>
              <w:t>水质的影响</w:t>
            </w:r>
          </w:p>
          <w:p w14:paraId="286AC6E1">
            <w:pPr>
              <w:spacing w:line="480" w:lineRule="exact"/>
              <w:ind w:firstLine="480" w:firstLineChars="200"/>
              <w:rPr>
                <w:sz w:val="24"/>
                <w:szCs w:val="24"/>
                <w:highlight w:val="none"/>
              </w:rPr>
            </w:pPr>
            <w:r>
              <w:rPr>
                <w:sz w:val="24"/>
                <w:szCs w:val="24"/>
                <w:highlight w:val="none"/>
              </w:rPr>
              <w:t>施工期施工营地生活污水的主要污染因子为化学需氧量（COD）、悬浮物（SS）、氨氮、总磷等，如果施工随意排放生活污水，在其它条件如温度、微量元素浓度合适时，可能引起水域污染，破坏局部水域内的生态平衡。</w:t>
            </w:r>
          </w:p>
          <w:p w14:paraId="5BD803E7">
            <w:pPr>
              <w:spacing w:line="480" w:lineRule="exact"/>
              <w:ind w:firstLine="480" w:firstLineChars="200"/>
              <w:rPr>
                <w:rFonts w:hint="default" w:ascii="Times New Roman" w:hAnsi="Times New Roman" w:eastAsia="宋体" w:cs="Times New Roman"/>
                <w:kern w:val="0"/>
                <w:sz w:val="24"/>
                <w:szCs w:val="24"/>
                <w:highlight w:val="none"/>
              </w:rPr>
            </w:pPr>
            <w:r>
              <w:rPr>
                <w:sz w:val="24"/>
                <w:szCs w:val="24"/>
                <w:highlight w:val="none"/>
              </w:rPr>
              <w:t>本项</w:t>
            </w:r>
            <w:r>
              <w:rPr>
                <w:rFonts w:ascii="Times New Roman" w:hAnsi="Times New Roman" w:eastAsia="宋体" w:cs="Times New Roman"/>
                <w:sz w:val="24"/>
                <w:szCs w:val="24"/>
                <w:highlight w:val="none"/>
              </w:rPr>
              <w:t>目</w:t>
            </w:r>
            <w:r>
              <w:rPr>
                <w:rFonts w:hint="default" w:ascii="Times New Roman" w:hAnsi="Times New Roman" w:eastAsia="宋体" w:cs="Times New Roman"/>
                <w:sz w:val="24"/>
                <w:szCs w:val="24"/>
                <w:highlight w:val="none"/>
                <w:lang w:val="en-US" w:eastAsia="zh-CN"/>
              </w:rPr>
              <w:t>施工</w:t>
            </w:r>
            <w:r>
              <w:rPr>
                <w:rFonts w:hint="default" w:ascii="Times New Roman" w:hAnsi="Times New Roman" w:eastAsia="宋体" w:cs="Times New Roman"/>
                <w:b w:val="0"/>
                <w:bCs w:val="0"/>
                <w:sz w:val="24"/>
                <w:szCs w:val="24"/>
                <w:highlight w:val="none"/>
                <w:lang w:eastAsia="zh-CN"/>
              </w:rPr>
              <w:t>生活污水由具备相应作业资质的污水接收船接收处理，运送到岸上集中处理</w:t>
            </w:r>
            <w:r>
              <w:rPr>
                <w:rFonts w:hint="default" w:ascii="Times New Roman" w:hAnsi="Times New Roman" w:eastAsia="宋体" w:cs="Times New Roman"/>
                <w:kern w:val="2"/>
                <w:sz w:val="24"/>
                <w:szCs w:val="24"/>
                <w:highlight w:val="none"/>
              </w:rPr>
              <w:t>，不向项目所在水域排放。</w:t>
            </w:r>
          </w:p>
          <w:p w14:paraId="4CB5EA85">
            <w:pPr>
              <w:numPr>
                <w:ilvl w:val="0"/>
                <w:numId w:val="1"/>
              </w:numPr>
              <w:spacing w:line="480" w:lineRule="exact"/>
              <w:rPr>
                <w:sz w:val="24"/>
                <w:szCs w:val="24"/>
                <w:highlight w:val="none"/>
              </w:rPr>
            </w:pPr>
            <w:r>
              <w:rPr>
                <w:sz w:val="24"/>
                <w:szCs w:val="24"/>
                <w:highlight w:val="none"/>
              </w:rPr>
              <w:t>施工含油废水对</w:t>
            </w:r>
            <w:r>
              <w:rPr>
                <w:rFonts w:hint="eastAsia"/>
                <w:sz w:val="24"/>
                <w:szCs w:val="24"/>
                <w:highlight w:val="none"/>
                <w:lang w:val="en-US" w:eastAsia="zh-CN"/>
              </w:rPr>
              <w:t>京杭运河</w:t>
            </w:r>
            <w:r>
              <w:rPr>
                <w:sz w:val="24"/>
                <w:szCs w:val="24"/>
                <w:highlight w:val="none"/>
              </w:rPr>
              <w:t>水质的影响</w:t>
            </w:r>
          </w:p>
          <w:p w14:paraId="6DCAADA4">
            <w:pPr>
              <w:spacing w:line="480" w:lineRule="exact"/>
              <w:ind w:firstLine="480" w:firstLineChars="200"/>
              <w:rPr>
                <w:sz w:val="24"/>
                <w:szCs w:val="24"/>
                <w:highlight w:val="none"/>
              </w:rPr>
            </w:pPr>
            <w:r>
              <w:rPr>
                <w:sz w:val="24"/>
                <w:szCs w:val="24"/>
                <w:highlight w:val="none"/>
              </w:rPr>
              <w:t>施工机械冲洗的含油废水若随意排入水体，会引起受纳水体局部区域油浓度上升，对</w:t>
            </w:r>
            <w:r>
              <w:rPr>
                <w:rFonts w:hint="eastAsia"/>
                <w:sz w:val="24"/>
                <w:szCs w:val="24"/>
                <w:highlight w:val="none"/>
                <w:lang w:val="en-US" w:eastAsia="zh-CN"/>
              </w:rPr>
              <w:t>京杭运河</w:t>
            </w:r>
            <w:r>
              <w:rPr>
                <w:sz w:val="24"/>
                <w:szCs w:val="24"/>
                <w:highlight w:val="none"/>
              </w:rPr>
              <w:t>区域生态产生严重危害——损害浮游生物、底栖生物群落结构，鱼卵的孵化会受到危害等，并影响到水产生物的使用价值。试验表明，当20号燃料油的浓度为0.004mg/L，5天能使对虾产生油味，失去经济价值。如事故发生在鱼类繁殖的春、夏季，将对邻近区域的渔业资源产生严重影响。</w:t>
            </w:r>
          </w:p>
          <w:p w14:paraId="7E1C38E1">
            <w:pPr>
              <w:spacing w:line="480" w:lineRule="exact"/>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本项目施工期</w:t>
            </w:r>
            <w:r>
              <w:rPr>
                <w:rFonts w:hint="default" w:ascii="Times New Roman" w:hAnsi="Times New Roman" w:eastAsia="宋体" w:cs="Times New Roman"/>
                <w:b w:val="0"/>
                <w:bCs w:val="0"/>
                <w:sz w:val="24"/>
                <w:szCs w:val="24"/>
                <w:highlight w:val="none"/>
                <w:lang w:eastAsia="zh-CN"/>
              </w:rPr>
              <w:t>含油污水由当地交通运输部门认可的有资质的单位接收处理</w:t>
            </w:r>
            <w:r>
              <w:rPr>
                <w:rFonts w:hint="default" w:ascii="Times New Roman" w:hAnsi="Times New Roman" w:eastAsia="宋体" w:cs="Times New Roman"/>
                <w:kern w:val="2"/>
                <w:sz w:val="24"/>
                <w:szCs w:val="24"/>
                <w:highlight w:val="none"/>
              </w:rPr>
              <w:t>，不向项目所在水域排放。</w:t>
            </w:r>
          </w:p>
          <w:p w14:paraId="63AC2235">
            <w:pPr>
              <w:numPr>
                <w:ilvl w:val="-1"/>
                <w:numId w:val="0"/>
              </w:numPr>
              <w:spacing w:line="480" w:lineRule="exact"/>
              <w:ind w:left="0" w:firstLine="480" w:firstLineChars="200"/>
              <w:rPr>
                <w:sz w:val="24"/>
                <w:szCs w:val="24"/>
                <w:highlight w:val="none"/>
              </w:rPr>
            </w:pPr>
            <w:r>
              <w:rPr>
                <w:rFonts w:ascii="Times New Roman" w:hAnsi="Times New Roman" w:eastAsia="宋体" w:cs="Times New Roman"/>
                <w:sz w:val="24"/>
                <w:szCs w:val="24"/>
                <w:highlight w:val="none"/>
              </w:rPr>
              <w:t>施工船舶</w:t>
            </w:r>
            <w:r>
              <w:rPr>
                <w:sz w:val="24"/>
                <w:szCs w:val="24"/>
                <w:highlight w:val="none"/>
              </w:rPr>
              <w:t>废水对</w:t>
            </w:r>
            <w:r>
              <w:rPr>
                <w:rFonts w:hint="eastAsia"/>
                <w:sz w:val="24"/>
                <w:szCs w:val="24"/>
                <w:highlight w:val="none"/>
                <w:lang w:val="en-US" w:eastAsia="zh-CN"/>
              </w:rPr>
              <w:t>京杭运河</w:t>
            </w:r>
            <w:r>
              <w:rPr>
                <w:sz w:val="24"/>
                <w:szCs w:val="24"/>
                <w:highlight w:val="none"/>
              </w:rPr>
              <w:t>水质的影响</w:t>
            </w:r>
          </w:p>
          <w:p w14:paraId="700F4E85">
            <w:pPr>
              <w:spacing w:line="480" w:lineRule="exact"/>
              <w:ind w:firstLine="480" w:firstLineChars="200"/>
              <w:rPr>
                <w:sz w:val="24"/>
                <w:szCs w:val="24"/>
                <w:highlight w:val="none"/>
              </w:rPr>
            </w:pPr>
            <w:r>
              <w:rPr>
                <w:sz w:val="24"/>
                <w:szCs w:val="24"/>
                <w:highlight w:val="none"/>
              </w:rPr>
              <w:t>本项目施工船舶废水为舱底油污水，主要污染因子为COD、石油类、SS、NH</w:t>
            </w:r>
            <w:r>
              <w:rPr>
                <w:sz w:val="24"/>
                <w:szCs w:val="24"/>
                <w:highlight w:val="none"/>
                <w:vertAlign w:val="subscript"/>
              </w:rPr>
              <w:t>3</w:t>
            </w:r>
            <w:r>
              <w:rPr>
                <w:sz w:val="24"/>
                <w:szCs w:val="24"/>
                <w:highlight w:val="none"/>
              </w:rPr>
              <w:t>-N、TP。如果施工船舶任意排放污水，会造成水域污染，影响局部水域内的生态平衡。施工船舶</w:t>
            </w:r>
            <w:r>
              <w:rPr>
                <w:rFonts w:hint="default" w:ascii="Times New Roman" w:hAnsi="Times New Roman" w:eastAsia="宋体" w:cs="Times New Roman"/>
                <w:b w:val="0"/>
                <w:bCs w:val="0"/>
                <w:sz w:val="24"/>
                <w:szCs w:val="24"/>
                <w:highlight w:val="none"/>
                <w:lang w:eastAsia="zh-CN"/>
              </w:rPr>
              <w:t>油污水由当地交通运输部门认可的有资质的单位接收处理</w:t>
            </w:r>
            <w:r>
              <w:rPr>
                <w:rFonts w:hint="eastAsia"/>
                <w:sz w:val="24"/>
                <w:szCs w:val="24"/>
                <w:highlight w:val="none"/>
              </w:rPr>
              <w:t>，</w:t>
            </w:r>
            <w:r>
              <w:rPr>
                <w:sz w:val="24"/>
                <w:szCs w:val="24"/>
                <w:highlight w:val="none"/>
              </w:rPr>
              <w:t>不排入</w:t>
            </w:r>
            <w:r>
              <w:rPr>
                <w:rFonts w:hint="eastAsia"/>
                <w:sz w:val="24"/>
                <w:szCs w:val="24"/>
                <w:highlight w:val="none"/>
                <w:lang w:val="en-US" w:eastAsia="zh-CN"/>
              </w:rPr>
              <w:t>京杭运河</w:t>
            </w:r>
            <w:r>
              <w:rPr>
                <w:sz w:val="24"/>
                <w:szCs w:val="24"/>
                <w:highlight w:val="none"/>
              </w:rPr>
              <w:t>，</w:t>
            </w:r>
            <w:r>
              <w:rPr>
                <w:rFonts w:hint="eastAsia"/>
                <w:sz w:val="24"/>
                <w:szCs w:val="24"/>
                <w:highlight w:val="none"/>
              </w:rPr>
              <w:t>不会</w:t>
            </w:r>
            <w:r>
              <w:rPr>
                <w:sz w:val="24"/>
                <w:szCs w:val="24"/>
                <w:highlight w:val="none"/>
              </w:rPr>
              <w:t>对</w:t>
            </w:r>
            <w:r>
              <w:rPr>
                <w:rFonts w:hint="eastAsia"/>
                <w:sz w:val="24"/>
                <w:szCs w:val="24"/>
                <w:highlight w:val="none"/>
                <w:lang w:val="en-US" w:eastAsia="zh-CN"/>
              </w:rPr>
              <w:t>京杭运河</w:t>
            </w:r>
            <w:r>
              <w:rPr>
                <w:sz w:val="24"/>
                <w:szCs w:val="24"/>
                <w:highlight w:val="none"/>
              </w:rPr>
              <w:t>的水质</w:t>
            </w:r>
            <w:r>
              <w:rPr>
                <w:rFonts w:hint="eastAsia"/>
                <w:sz w:val="24"/>
                <w:szCs w:val="24"/>
                <w:highlight w:val="none"/>
              </w:rPr>
              <w:t>产生</w:t>
            </w:r>
            <w:r>
              <w:rPr>
                <w:sz w:val="24"/>
                <w:szCs w:val="24"/>
                <w:highlight w:val="none"/>
              </w:rPr>
              <w:t>影响。</w:t>
            </w:r>
          </w:p>
          <w:p w14:paraId="12AADECF">
            <w:pPr>
              <w:spacing w:line="480" w:lineRule="exact"/>
              <w:ind w:firstLine="480" w:firstLineChars="200"/>
              <w:rPr>
                <w:sz w:val="24"/>
                <w:szCs w:val="24"/>
                <w:highlight w:val="none"/>
              </w:rPr>
            </w:pPr>
            <w:r>
              <w:rPr>
                <w:sz w:val="24"/>
                <w:szCs w:val="24"/>
                <w:highlight w:val="none"/>
              </w:rPr>
              <w:t>2、施工对陆生生态的影响</w:t>
            </w:r>
          </w:p>
          <w:p w14:paraId="1E8ECBE7">
            <w:pPr>
              <w:numPr>
                <w:ilvl w:val="0"/>
                <w:numId w:val="1"/>
              </w:numPr>
              <w:tabs>
                <w:tab w:val="left" w:pos="660"/>
                <w:tab w:val="clear" w:pos="900"/>
              </w:tabs>
              <w:spacing w:line="480" w:lineRule="exact"/>
              <w:ind w:left="0" w:firstLine="480" w:firstLineChars="200"/>
              <w:rPr>
                <w:sz w:val="24"/>
                <w:szCs w:val="24"/>
                <w:highlight w:val="none"/>
              </w:rPr>
            </w:pPr>
            <w:r>
              <w:rPr>
                <w:sz w:val="24"/>
                <w:szCs w:val="24"/>
                <w:highlight w:val="none"/>
              </w:rPr>
              <w:t>水域施工对</w:t>
            </w:r>
            <w:r>
              <w:rPr>
                <w:rFonts w:hint="eastAsia"/>
                <w:sz w:val="24"/>
                <w:szCs w:val="24"/>
                <w:highlight w:val="none"/>
                <w:lang w:val="en-US" w:eastAsia="zh-CN"/>
              </w:rPr>
              <w:t>陆域动物</w:t>
            </w:r>
            <w:r>
              <w:rPr>
                <w:sz w:val="24"/>
                <w:szCs w:val="24"/>
                <w:highlight w:val="none"/>
              </w:rPr>
              <w:t>的影响</w:t>
            </w:r>
          </w:p>
          <w:p w14:paraId="54BA6986">
            <w:pPr>
              <w:autoSpaceDE w:val="0"/>
              <w:autoSpaceDN w:val="0"/>
              <w:adjustRightInd w:val="0"/>
              <w:spacing w:line="480" w:lineRule="exact"/>
              <w:ind w:firstLine="480" w:firstLineChars="200"/>
              <w:rPr>
                <w:rFonts w:ascii="Times New Roman" w:hAnsi="Times New Roman" w:eastAsia="宋体" w:cs="Times New Roman"/>
                <w:sz w:val="24"/>
                <w:szCs w:val="24"/>
                <w:highlight w:val="none"/>
                <w:lang w:val="zh-CN"/>
              </w:rPr>
            </w:pPr>
            <w:r>
              <w:rPr>
                <w:rFonts w:hint="eastAsia" w:ascii="Times New Roman" w:hAnsi="Times New Roman" w:eastAsia="宋体" w:cs="Times New Roman"/>
                <w:sz w:val="24"/>
                <w:szCs w:val="24"/>
                <w:highlight w:val="none"/>
                <w:lang w:val="zh-CN"/>
              </w:rPr>
              <w:t>由于长期受到人为活动的影响，评价区域内的野生动物种类和数量较少，多为鸟类、蛇类、青蛙、</w:t>
            </w:r>
            <w:r>
              <w:rPr>
                <w:rFonts w:hint="eastAsia" w:ascii="Times New Roman" w:hAnsi="Times New Roman" w:eastAsia="宋体" w:cs="Times New Roman"/>
                <w:sz w:val="24"/>
                <w:szCs w:val="24"/>
                <w:highlight w:val="none"/>
                <w:lang w:val="en-US" w:eastAsia="zh-CN"/>
              </w:rPr>
              <w:t>鼠类</w:t>
            </w:r>
            <w:r>
              <w:rPr>
                <w:rFonts w:hint="eastAsia" w:ascii="Times New Roman" w:hAnsi="Times New Roman" w:eastAsia="宋体" w:cs="Times New Roman"/>
                <w:sz w:val="24"/>
                <w:szCs w:val="24"/>
                <w:highlight w:val="none"/>
                <w:lang w:val="zh-CN"/>
              </w:rPr>
              <w:t>等常见物种，无珍稀濒危物种。工程施工会占用评价区陆生两栖动物的小部分生境，但它们会自动迁移到附近相似的生境中去，项目</w:t>
            </w:r>
            <w:r>
              <w:rPr>
                <w:rFonts w:hint="eastAsia" w:cs="Times New Roman"/>
                <w:sz w:val="24"/>
                <w:szCs w:val="24"/>
                <w:highlight w:val="none"/>
                <w:lang w:val="zh-CN"/>
              </w:rPr>
              <w:t>建设</w:t>
            </w:r>
            <w:r>
              <w:rPr>
                <w:rFonts w:hint="eastAsia" w:ascii="Times New Roman" w:hAnsi="Times New Roman" w:eastAsia="宋体" w:cs="Times New Roman"/>
                <w:sz w:val="24"/>
                <w:szCs w:val="24"/>
                <w:highlight w:val="none"/>
                <w:lang w:val="zh-CN"/>
              </w:rPr>
              <w:t>不会对陆域动物生境造成显著影响。</w:t>
            </w:r>
          </w:p>
          <w:p w14:paraId="1BEBCD2A">
            <w:pPr>
              <w:numPr>
                <w:ilvl w:val="0"/>
                <w:numId w:val="1"/>
              </w:numPr>
              <w:tabs>
                <w:tab w:val="left" w:pos="660"/>
                <w:tab w:val="clear" w:pos="900"/>
              </w:tabs>
              <w:spacing w:line="480" w:lineRule="exact"/>
              <w:ind w:left="0" w:firstLine="480" w:firstLineChars="200"/>
              <w:rPr>
                <w:sz w:val="24"/>
                <w:szCs w:val="24"/>
                <w:highlight w:val="none"/>
              </w:rPr>
            </w:pPr>
            <w:r>
              <w:rPr>
                <w:sz w:val="24"/>
                <w:szCs w:val="24"/>
                <w:highlight w:val="none"/>
              </w:rPr>
              <w:t>水域施工对</w:t>
            </w:r>
            <w:r>
              <w:rPr>
                <w:rFonts w:hint="eastAsia"/>
                <w:sz w:val="24"/>
                <w:szCs w:val="24"/>
                <w:highlight w:val="none"/>
                <w:lang w:val="en-US" w:eastAsia="zh-CN"/>
              </w:rPr>
              <w:t>陆域植物</w:t>
            </w:r>
            <w:r>
              <w:rPr>
                <w:sz w:val="24"/>
                <w:szCs w:val="24"/>
                <w:highlight w:val="none"/>
              </w:rPr>
              <w:t>的影响</w:t>
            </w:r>
          </w:p>
          <w:p w14:paraId="28F89625">
            <w:pPr>
              <w:autoSpaceDE w:val="0"/>
              <w:autoSpaceDN w:val="0"/>
              <w:adjustRightInd w:val="0"/>
              <w:spacing w:line="480" w:lineRule="exact"/>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zh-CN"/>
              </w:rPr>
              <w:t>拟建锚地主要为水域，植被类型单一，项目实施会造成区域的植被损失，但由于施工区面积较小，工程对区域陆生植物的</w:t>
            </w:r>
            <w:r>
              <w:rPr>
                <w:rFonts w:hint="eastAsia" w:ascii="Times New Roman" w:hAnsi="Times New Roman" w:eastAsia="宋体" w:cs="Times New Roman"/>
                <w:sz w:val="24"/>
                <w:szCs w:val="24"/>
                <w:highlight w:val="none"/>
                <w:lang w:val="en-US" w:eastAsia="zh-CN"/>
              </w:rPr>
              <w:t>影响不大。</w:t>
            </w:r>
          </w:p>
          <w:p w14:paraId="2554B497">
            <w:pPr>
              <w:adjustRightInd w:val="0"/>
              <w:snapToGrid w:val="0"/>
              <w:spacing w:line="480" w:lineRule="exact"/>
              <w:ind w:firstLine="482" w:firstLineChars="200"/>
              <w:rPr>
                <w:b/>
                <w:bCs/>
                <w:sz w:val="24"/>
                <w:szCs w:val="24"/>
                <w:highlight w:val="none"/>
              </w:rPr>
            </w:pPr>
            <w:r>
              <w:rPr>
                <w:rFonts w:hint="eastAsia"/>
                <w:b/>
                <w:bCs/>
                <w:sz w:val="24"/>
                <w:szCs w:val="24"/>
                <w:highlight w:val="none"/>
                <w:lang w:val="en-US" w:eastAsia="zh-CN"/>
              </w:rPr>
              <w:t>4.1.2</w:t>
            </w:r>
            <w:r>
              <w:rPr>
                <w:b/>
                <w:bCs/>
                <w:sz w:val="24"/>
                <w:szCs w:val="24"/>
                <w:highlight w:val="none"/>
                <w:lang w:val="en-US" w:eastAsia="zh-CN"/>
              </w:rPr>
              <w:t>大临工程环境影响分析</w:t>
            </w:r>
          </w:p>
          <w:p w14:paraId="07888106">
            <w:pPr>
              <w:spacing w:line="480" w:lineRule="exact"/>
              <w:ind w:firstLine="480" w:firstLineChars="200"/>
              <w:rPr>
                <w:kern w:val="24"/>
                <w:sz w:val="24"/>
                <w:highlight w:val="none"/>
              </w:rPr>
            </w:pPr>
            <w:r>
              <w:rPr>
                <w:rFonts w:hint="eastAsia" w:ascii="Times New Roman" w:hAnsi="Times New Roman" w:eastAsia="宋体" w:cs="Times New Roman"/>
                <w:sz w:val="24"/>
                <w:szCs w:val="24"/>
                <w:highlight w:val="none"/>
                <w:lang w:val="en-US" w:eastAsia="zh-CN"/>
              </w:rPr>
              <w:t>本项目</w:t>
            </w:r>
            <w:r>
              <w:rPr>
                <w:rFonts w:hint="default" w:ascii="Times New Roman" w:hAnsi="Times New Roman" w:eastAsia="宋体" w:cs="Times New Roman"/>
                <w:sz w:val="24"/>
                <w:szCs w:val="24"/>
                <w:highlight w:val="none"/>
              </w:rPr>
              <w:t>不设置施工营地，施工人员生活就近依托当地居民设施</w:t>
            </w:r>
            <w:r>
              <w:rPr>
                <w:rFonts w:hint="eastAsia" w:cs="Times New Roman"/>
                <w:sz w:val="24"/>
                <w:szCs w:val="24"/>
                <w:highlight w:val="none"/>
                <w:lang w:eastAsia="zh-CN"/>
              </w:rPr>
              <w:t>，</w:t>
            </w:r>
            <w:r>
              <w:rPr>
                <w:rFonts w:hint="eastAsia" w:cs="Times New Roman"/>
                <w:sz w:val="24"/>
                <w:szCs w:val="24"/>
                <w:highlight w:val="none"/>
                <w:lang w:val="en-US" w:eastAsia="zh-CN"/>
              </w:rPr>
              <w:t>施</w:t>
            </w:r>
            <w:r>
              <w:rPr>
                <w:kern w:val="24"/>
                <w:sz w:val="24"/>
                <w:highlight w:val="none"/>
              </w:rPr>
              <w:t>工期临时用地主要为淤泥干化场</w:t>
            </w:r>
            <w:r>
              <w:rPr>
                <w:rFonts w:hint="eastAsia"/>
                <w:kern w:val="24"/>
                <w:sz w:val="24"/>
                <w:highlight w:val="none"/>
                <w:lang w:eastAsia="zh-CN"/>
              </w:rPr>
              <w:t>。</w:t>
            </w:r>
            <w:r>
              <w:rPr>
                <w:kern w:val="24"/>
                <w:sz w:val="24"/>
                <w:highlight w:val="none"/>
              </w:rPr>
              <w:t>临时用地情况见表</w:t>
            </w:r>
            <w:r>
              <w:rPr>
                <w:rFonts w:hint="eastAsia"/>
                <w:kern w:val="24"/>
                <w:sz w:val="24"/>
                <w:highlight w:val="none"/>
                <w:lang w:val="en-US" w:eastAsia="zh-CN"/>
              </w:rPr>
              <w:t>4</w:t>
            </w:r>
            <w:r>
              <w:rPr>
                <w:kern w:val="24"/>
                <w:sz w:val="24"/>
                <w:highlight w:val="none"/>
              </w:rPr>
              <w:t>.</w:t>
            </w:r>
            <w:r>
              <w:rPr>
                <w:rFonts w:hint="eastAsia"/>
                <w:kern w:val="24"/>
                <w:sz w:val="24"/>
                <w:highlight w:val="none"/>
                <w:lang w:val="en-US" w:eastAsia="zh-CN"/>
              </w:rPr>
              <w:t>1</w:t>
            </w:r>
            <w:r>
              <w:rPr>
                <w:kern w:val="24"/>
                <w:sz w:val="24"/>
                <w:highlight w:val="none"/>
              </w:rPr>
              <w:t>-1。</w:t>
            </w:r>
          </w:p>
          <w:p w14:paraId="2C42028D">
            <w:pPr>
              <w:spacing w:line="480" w:lineRule="exact"/>
              <w:ind w:firstLine="482" w:firstLineChars="200"/>
              <w:jc w:val="center"/>
              <w:rPr>
                <w:rFonts w:hint="default" w:ascii="Times New Roman" w:hAnsi="Times New Roman" w:eastAsia="宋体" w:cs="Times New Roman"/>
                <w:b/>
                <w:bCs/>
                <w:spacing w:val="0"/>
                <w:kern w:val="2"/>
                <w:sz w:val="24"/>
                <w:szCs w:val="24"/>
                <w:highlight w:val="none"/>
                <w:lang w:val="en-US" w:eastAsia="zh-CN" w:bidi="ar-SA"/>
              </w:rPr>
            </w:pPr>
            <w:r>
              <w:rPr>
                <w:rFonts w:hint="default" w:ascii="Times New Roman" w:hAnsi="Times New Roman" w:eastAsia="宋体" w:cs="Times New Roman"/>
                <w:b/>
                <w:bCs/>
                <w:spacing w:val="0"/>
                <w:kern w:val="2"/>
                <w:sz w:val="24"/>
                <w:szCs w:val="24"/>
                <w:highlight w:val="none"/>
                <w:lang w:val="en-US" w:eastAsia="zh-CN" w:bidi="ar-SA"/>
              </w:rPr>
              <w:t>表</w:t>
            </w:r>
            <w:r>
              <w:rPr>
                <w:rFonts w:hint="eastAsia" w:ascii="Times New Roman" w:hAnsi="Times New Roman" w:eastAsia="宋体" w:cs="Times New Roman"/>
                <w:b/>
                <w:bCs/>
                <w:spacing w:val="0"/>
                <w:kern w:val="2"/>
                <w:sz w:val="24"/>
                <w:szCs w:val="24"/>
                <w:highlight w:val="none"/>
                <w:lang w:val="en-US" w:eastAsia="zh-CN" w:bidi="ar-SA"/>
              </w:rPr>
              <w:t>4</w:t>
            </w:r>
            <w:r>
              <w:rPr>
                <w:rFonts w:hint="default" w:ascii="Times New Roman" w:hAnsi="Times New Roman" w:eastAsia="宋体" w:cs="Times New Roman"/>
                <w:b/>
                <w:bCs/>
                <w:spacing w:val="0"/>
                <w:kern w:val="2"/>
                <w:sz w:val="24"/>
                <w:szCs w:val="24"/>
                <w:highlight w:val="none"/>
                <w:lang w:val="en-US" w:eastAsia="zh-CN" w:bidi="ar-SA"/>
              </w:rPr>
              <w:t>.</w:t>
            </w:r>
            <w:r>
              <w:rPr>
                <w:rFonts w:hint="eastAsia" w:ascii="Times New Roman" w:hAnsi="Times New Roman" w:eastAsia="宋体" w:cs="Times New Roman"/>
                <w:b/>
                <w:bCs/>
                <w:spacing w:val="0"/>
                <w:kern w:val="2"/>
                <w:sz w:val="24"/>
                <w:szCs w:val="24"/>
                <w:highlight w:val="none"/>
                <w:lang w:val="en-US" w:eastAsia="zh-CN" w:bidi="ar-SA"/>
              </w:rPr>
              <w:t>1</w:t>
            </w:r>
            <w:r>
              <w:rPr>
                <w:rFonts w:hint="default" w:ascii="Times New Roman" w:hAnsi="Times New Roman" w:eastAsia="宋体" w:cs="Times New Roman"/>
                <w:b/>
                <w:bCs/>
                <w:spacing w:val="0"/>
                <w:kern w:val="2"/>
                <w:sz w:val="24"/>
                <w:szCs w:val="24"/>
                <w:highlight w:val="none"/>
                <w:lang w:val="en-US" w:eastAsia="zh-CN" w:bidi="ar-SA"/>
              </w:rPr>
              <w:t>-1  临时用地数量表</w:t>
            </w:r>
          </w:p>
          <w:tbl>
            <w:tblPr>
              <w:tblStyle w:val="89"/>
              <w:tblW w:w="89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5"/>
              <w:gridCol w:w="1833"/>
              <w:gridCol w:w="3954"/>
              <w:gridCol w:w="2215"/>
            </w:tblGrid>
            <w:tr w14:paraId="7EA8F4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2" w:hRule="exact"/>
                <w:jc w:val="center"/>
              </w:trPr>
              <w:tc>
                <w:tcPr>
                  <w:tcW w:w="935" w:type="dxa"/>
                  <w:tcBorders>
                    <w:tl2br w:val="nil"/>
                    <w:tr2bl w:val="nil"/>
                  </w:tcBorders>
                  <w:noWrap/>
                  <w:vAlign w:val="center"/>
                </w:tcPr>
                <w:p w14:paraId="2B64A6D7">
                  <w:pPr>
                    <w:jc w:val="center"/>
                    <w:rPr>
                      <w:b/>
                      <w:kern w:val="0"/>
                      <w:szCs w:val="21"/>
                      <w:highlight w:val="none"/>
                    </w:rPr>
                  </w:pPr>
                  <w:r>
                    <w:rPr>
                      <w:b/>
                      <w:kern w:val="0"/>
                      <w:szCs w:val="21"/>
                      <w:highlight w:val="none"/>
                    </w:rPr>
                    <w:t>序号</w:t>
                  </w:r>
                </w:p>
              </w:tc>
              <w:tc>
                <w:tcPr>
                  <w:tcW w:w="5787" w:type="dxa"/>
                  <w:gridSpan w:val="2"/>
                  <w:tcBorders>
                    <w:tl2br w:val="nil"/>
                    <w:tr2bl w:val="nil"/>
                  </w:tcBorders>
                  <w:noWrap/>
                  <w:vAlign w:val="center"/>
                </w:tcPr>
                <w:p w14:paraId="09EFAFEB">
                  <w:pPr>
                    <w:jc w:val="center"/>
                    <w:rPr>
                      <w:b/>
                      <w:kern w:val="0"/>
                      <w:szCs w:val="21"/>
                      <w:highlight w:val="none"/>
                    </w:rPr>
                  </w:pPr>
                  <w:r>
                    <w:rPr>
                      <w:b/>
                      <w:kern w:val="0"/>
                      <w:szCs w:val="21"/>
                      <w:highlight w:val="none"/>
                    </w:rPr>
                    <w:t>项</w:t>
                  </w:r>
                  <w:r>
                    <w:rPr>
                      <w:rFonts w:hint="eastAsia"/>
                      <w:b/>
                      <w:kern w:val="0"/>
                      <w:szCs w:val="21"/>
                      <w:highlight w:val="none"/>
                      <w:lang w:val="en-US" w:eastAsia="zh-CN"/>
                    </w:rPr>
                    <w:t xml:space="preserve">  </w:t>
                  </w:r>
                  <w:r>
                    <w:rPr>
                      <w:b/>
                      <w:kern w:val="0"/>
                      <w:szCs w:val="21"/>
                      <w:highlight w:val="none"/>
                    </w:rPr>
                    <w:t>目</w:t>
                  </w:r>
                </w:p>
              </w:tc>
              <w:tc>
                <w:tcPr>
                  <w:tcW w:w="2215" w:type="dxa"/>
                  <w:tcBorders>
                    <w:tl2br w:val="nil"/>
                    <w:tr2bl w:val="nil"/>
                  </w:tcBorders>
                  <w:noWrap w:val="0"/>
                  <w:vAlign w:val="center"/>
                </w:tcPr>
                <w:p w14:paraId="2F6FE15D">
                  <w:pPr>
                    <w:jc w:val="center"/>
                    <w:rPr>
                      <w:b/>
                      <w:kern w:val="0"/>
                      <w:szCs w:val="21"/>
                      <w:highlight w:val="none"/>
                    </w:rPr>
                  </w:pPr>
                  <w:r>
                    <w:rPr>
                      <w:b/>
                      <w:kern w:val="0"/>
                      <w:szCs w:val="21"/>
                      <w:highlight w:val="none"/>
                    </w:rPr>
                    <w:t>面积（hm</w:t>
                  </w:r>
                  <w:r>
                    <w:rPr>
                      <w:b/>
                      <w:kern w:val="0"/>
                      <w:szCs w:val="21"/>
                      <w:highlight w:val="none"/>
                      <w:vertAlign w:val="superscript"/>
                    </w:rPr>
                    <w:t>2</w:t>
                  </w:r>
                  <w:r>
                    <w:rPr>
                      <w:b/>
                      <w:kern w:val="0"/>
                      <w:szCs w:val="21"/>
                      <w:highlight w:val="none"/>
                    </w:rPr>
                    <w:t>）</w:t>
                  </w:r>
                </w:p>
              </w:tc>
            </w:tr>
            <w:tr w14:paraId="78DD82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935" w:type="dxa"/>
                  <w:tcBorders>
                    <w:tl2br w:val="nil"/>
                    <w:tr2bl w:val="nil"/>
                  </w:tcBorders>
                  <w:noWrap/>
                  <w:vAlign w:val="center"/>
                </w:tcPr>
                <w:p w14:paraId="3C43EC7E">
                  <w:pPr>
                    <w:jc w:val="center"/>
                    <w:rPr>
                      <w:kern w:val="0"/>
                      <w:szCs w:val="21"/>
                      <w:highlight w:val="none"/>
                    </w:rPr>
                  </w:pPr>
                  <w:r>
                    <w:rPr>
                      <w:kern w:val="0"/>
                      <w:szCs w:val="21"/>
                      <w:highlight w:val="none"/>
                    </w:rPr>
                    <w:t>1</w:t>
                  </w:r>
                </w:p>
              </w:tc>
              <w:tc>
                <w:tcPr>
                  <w:tcW w:w="1833" w:type="dxa"/>
                  <w:tcBorders>
                    <w:tl2br w:val="nil"/>
                    <w:tr2bl w:val="nil"/>
                  </w:tcBorders>
                  <w:noWrap/>
                  <w:vAlign w:val="center"/>
                </w:tcPr>
                <w:p w14:paraId="135E3877">
                  <w:pPr>
                    <w:jc w:val="center"/>
                    <w:rPr>
                      <w:rFonts w:ascii="Times New Roman" w:hAnsi="Times New Roman" w:eastAsia="宋体" w:cs="Times New Roman"/>
                      <w:kern w:val="0"/>
                      <w:sz w:val="21"/>
                      <w:szCs w:val="21"/>
                      <w:highlight w:val="none"/>
                      <w:lang w:val="en-US" w:eastAsia="zh-CN" w:bidi="ar-SA"/>
                    </w:rPr>
                  </w:pPr>
                  <w:r>
                    <w:rPr>
                      <w:kern w:val="0"/>
                      <w:szCs w:val="21"/>
                      <w:highlight w:val="none"/>
                    </w:rPr>
                    <w:t>淤泥干化场</w:t>
                  </w:r>
                </w:p>
              </w:tc>
              <w:tc>
                <w:tcPr>
                  <w:tcW w:w="3954" w:type="dxa"/>
                  <w:tcBorders>
                    <w:tl2br w:val="nil"/>
                    <w:tr2bl w:val="nil"/>
                  </w:tcBorders>
                  <w:noWrap/>
                  <w:vAlign w:val="center"/>
                </w:tcPr>
                <w:p w14:paraId="5D32669E">
                  <w:pPr>
                    <w:jc w:val="center"/>
                    <w:rPr>
                      <w:rFonts w:ascii="Times New Roman" w:hAnsi="Times New Roman" w:eastAsia="宋体" w:cs="Times New Roman"/>
                      <w:kern w:val="0"/>
                      <w:sz w:val="21"/>
                      <w:szCs w:val="21"/>
                      <w:highlight w:val="none"/>
                      <w:lang w:val="en-US" w:eastAsia="zh-CN" w:bidi="ar-SA"/>
                    </w:rPr>
                  </w:pPr>
                  <w:r>
                    <w:rPr>
                      <w:kern w:val="0"/>
                      <w:szCs w:val="21"/>
                      <w:highlight w:val="none"/>
                    </w:rPr>
                    <w:t>淤泥干化场</w:t>
                  </w:r>
                </w:p>
              </w:tc>
              <w:tc>
                <w:tcPr>
                  <w:tcW w:w="2215" w:type="dxa"/>
                  <w:tcBorders>
                    <w:tl2br w:val="nil"/>
                    <w:tr2bl w:val="nil"/>
                  </w:tcBorders>
                  <w:noWrap w:val="0"/>
                  <w:vAlign w:val="center"/>
                </w:tcPr>
                <w:p w14:paraId="258E955C">
                  <w:pPr>
                    <w:jc w:val="center"/>
                    <w:rPr>
                      <w:rFonts w:hint="default" w:eastAsia="宋体"/>
                      <w:kern w:val="0"/>
                      <w:szCs w:val="21"/>
                      <w:highlight w:val="none"/>
                      <w:lang w:val="en-US" w:eastAsia="zh-CN"/>
                    </w:rPr>
                  </w:pPr>
                  <w:r>
                    <w:rPr>
                      <w:rFonts w:hint="eastAsia"/>
                      <w:kern w:val="0"/>
                      <w:szCs w:val="21"/>
                      <w:highlight w:val="none"/>
                      <w:lang w:val="en-US" w:eastAsia="zh-CN"/>
                    </w:rPr>
                    <w:t>7.2</w:t>
                  </w:r>
                </w:p>
              </w:tc>
            </w:tr>
            <w:tr w14:paraId="126763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935" w:type="dxa"/>
                  <w:tcBorders>
                    <w:tl2br w:val="nil"/>
                    <w:tr2bl w:val="nil"/>
                  </w:tcBorders>
                  <w:noWrap/>
                  <w:vAlign w:val="center"/>
                </w:tcPr>
                <w:p w14:paraId="7CF1A9D3">
                  <w:pPr>
                    <w:jc w:val="center"/>
                    <w:rPr>
                      <w:kern w:val="0"/>
                      <w:szCs w:val="21"/>
                      <w:highlight w:val="none"/>
                    </w:rPr>
                  </w:pPr>
                  <w:r>
                    <w:rPr>
                      <w:kern w:val="0"/>
                      <w:szCs w:val="21"/>
                      <w:highlight w:val="none"/>
                    </w:rPr>
                    <w:t>小计</w:t>
                  </w:r>
                </w:p>
              </w:tc>
              <w:tc>
                <w:tcPr>
                  <w:tcW w:w="1833" w:type="dxa"/>
                  <w:tcBorders>
                    <w:tl2br w:val="nil"/>
                    <w:tr2bl w:val="nil"/>
                  </w:tcBorders>
                  <w:noWrap/>
                  <w:vAlign w:val="center"/>
                </w:tcPr>
                <w:p w14:paraId="2D51FC00">
                  <w:pPr>
                    <w:jc w:val="center"/>
                    <w:rPr>
                      <w:rFonts w:hint="eastAsia" w:eastAsia="宋体"/>
                      <w:kern w:val="0"/>
                      <w:szCs w:val="21"/>
                      <w:highlight w:val="none"/>
                      <w:lang w:val="en-US" w:eastAsia="zh-CN"/>
                    </w:rPr>
                  </w:pPr>
                  <w:r>
                    <w:rPr>
                      <w:rFonts w:hint="eastAsia"/>
                      <w:kern w:val="0"/>
                      <w:szCs w:val="21"/>
                      <w:highlight w:val="none"/>
                      <w:lang w:val="en-US" w:eastAsia="zh-CN"/>
                    </w:rPr>
                    <w:t>/</w:t>
                  </w:r>
                </w:p>
              </w:tc>
              <w:tc>
                <w:tcPr>
                  <w:tcW w:w="3954" w:type="dxa"/>
                  <w:tcBorders>
                    <w:tl2br w:val="nil"/>
                    <w:tr2bl w:val="nil"/>
                  </w:tcBorders>
                  <w:noWrap/>
                  <w:vAlign w:val="center"/>
                </w:tcPr>
                <w:p w14:paraId="2E2C70F9">
                  <w:pPr>
                    <w:jc w:val="center"/>
                    <w:rPr>
                      <w:rFonts w:hint="eastAsia" w:eastAsia="宋体"/>
                      <w:kern w:val="0"/>
                      <w:szCs w:val="21"/>
                      <w:highlight w:val="none"/>
                      <w:lang w:val="en-US" w:eastAsia="zh-CN"/>
                    </w:rPr>
                  </w:pPr>
                  <w:r>
                    <w:rPr>
                      <w:rFonts w:hint="eastAsia"/>
                      <w:kern w:val="0"/>
                      <w:szCs w:val="21"/>
                      <w:highlight w:val="none"/>
                      <w:lang w:val="en-US" w:eastAsia="zh-CN"/>
                    </w:rPr>
                    <w:t>/</w:t>
                  </w:r>
                </w:p>
              </w:tc>
              <w:tc>
                <w:tcPr>
                  <w:tcW w:w="2215" w:type="dxa"/>
                  <w:tcBorders>
                    <w:tl2br w:val="nil"/>
                    <w:tr2bl w:val="nil"/>
                  </w:tcBorders>
                  <w:noWrap w:val="0"/>
                  <w:vAlign w:val="center"/>
                </w:tcPr>
                <w:p w14:paraId="1536B232">
                  <w:pPr>
                    <w:jc w:val="center"/>
                    <w:rPr>
                      <w:rFonts w:hint="default" w:eastAsia="宋体"/>
                      <w:kern w:val="0"/>
                      <w:szCs w:val="21"/>
                      <w:highlight w:val="none"/>
                      <w:lang w:val="en-US" w:eastAsia="zh-CN"/>
                    </w:rPr>
                  </w:pPr>
                  <w:r>
                    <w:rPr>
                      <w:rFonts w:hint="eastAsia"/>
                      <w:kern w:val="0"/>
                      <w:szCs w:val="21"/>
                      <w:highlight w:val="none"/>
                      <w:lang w:val="en-US" w:eastAsia="zh-CN"/>
                    </w:rPr>
                    <w:t>7.2</w:t>
                  </w:r>
                </w:p>
              </w:tc>
            </w:tr>
          </w:tbl>
          <w:p w14:paraId="2505B55B">
            <w:pPr>
              <w:spacing w:line="480" w:lineRule="exact"/>
              <w:ind w:firstLine="480" w:firstLineChars="200"/>
              <w:rPr>
                <w:sz w:val="24"/>
                <w:highlight w:val="cyan"/>
              </w:rPr>
            </w:pPr>
            <w:r>
              <w:rPr>
                <w:sz w:val="24"/>
                <w:highlight w:val="none"/>
              </w:rPr>
              <w:t>疏浚产生的水下方（按弃方处理）在淤泥干化场干化</w:t>
            </w:r>
            <w:r>
              <w:rPr>
                <w:rFonts w:hint="eastAsia"/>
                <w:sz w:val="24"/>
                <w:highlight w:val="none"/>
                <w:lang w:val="en-US" w:eastAsia="zh-CN"/>
              </w:rPr>
              <w:t>，淤泥运输路线见附图8</w:t>
            </w:r>
            <w:r>
              <w:rPr>
                <w:sz w:val="24"/>
                <w:highlight w:val="none"/>
              </w:rPr>
              <w:t>。根据同类工程底泥清淤堆场的调查结果，距离整治河道或底泥堆放场50m时臭气浓度达到20，可认为达到恶臭污染物厂界标准值，在50m以内的环境保护目标将受到影响。本项目拟定的淤泥干化场与最近的村庄敏感点保持50m以上的距离，最近距离</w:t>
            </w:r>
            <w:r>
              <w:rPr>
                <w:rFonts w:hint="eastAsia"/>
                <w:sz w:val="24"/>
                <w:highlight w:val="none"/>
                <w:lang w:val="en-US" w:eastAsia="zh-CN"/>
              </w:rPr>
              <w:t>134</w:t>
            </w:r>
            <w:r>
              <w:rPr>
                <w:sz w:val="24"/>
                <w:highlight w:val="none"/>
              </w:rPr>
              <w:t>m，施工期间干化场周边居民基本不会嗅到明显臭味，干化场恶臭对周围居民的影响较小。本项目淤泥干化场设置围堰、复合土工膜、沉淀池，淤泥不会漫流至场外，</w:t>
            </w:r>
            <w:r>
              <w:rPr>
                <w:rFonts w:hint="eastAsia"/>
                <w:sz w:val="24"/>
                <w:highlight w:val="none"/>
                <w:lang w:eastAsia="zh-CN"/>
              </w:rPr>
              <w:t>出水水质</w:t>
            </w:r>
            <w:r>
              <w:rPr>
                <w:sz w:val="24"/>
                <w:highlight w:val="none"/>
              </w:rPr>
              <w:t>满足《地表水环境质量标准》（GB3838-2002）Ⅲ类标准，不会对场外环境造成不利影响。淤泥干化场占用</w:t>
            </w:r>
            <w:r>
              <w:rPr>
                <w:rFonts w:hint="eastAsia"/>
                <w:sz w:val="24"/>
                <w:highlight w:val="none"/>
                <w:lang w:val="en-US" w:eastAsia="zh-CN"/>
              </w:rPr>
              <w:t>现状建设用地</w:t>
            </w:r>
            <w:r>
              <w:rPr>
                <w:sz w:val="24"/>
                <w:highlight w:val="none"/>
              </w:rPr>
              <w:t>，淤泥干化后</w:t>
            </w:r>
            <w:r>
              <w:rPr>
                <w:rFonts w:hint="eastAsia"/>
                <w:sz w:val="24"/>
                <w:highlight w:val="none"/>
                <w:lang w:val="en-US" w:eastAsia="zh-CN"/>
              </w:rPr>
              <w:t>进行回填</w:t>
            </w:r>
            <w:r>
              <w:rPr>
                <w:sz w:val="24"/>
                <w:highlight w:val="none"/>
              </w:rPr>
              <w:t>。</w:t>
            </w:r>
          </w:p>
          <w:p w14:paraId="547475E9">
            <w:pPr>
              <w:adjustRightInd w:val="0"/>
              <w:snapToGrid w:val="0"/>
              <w:spacing w:line="480" w:lineRule="exact"/>
              <w:ind w:firstLine="482" w:firstLineChars="200"/>
              <w:rPr>
                <w:b/>
                <w:bCs/>
                <w:sz w:val="24"/>
                <w:szCs w:val="24"/>
                <w:highlight w:val="none"/>
              </w:rPr>
            </w:pPr>
            <w:r>
              <w:rPr>
                <w:b/>
                <w:bCs/>
                <w:sz w:val="24"/>
                <w:szCs w:val="24"/>
                <w:highlight w:val="none"/>
              </w:rPr>
              <w:t>4.1.</w:t>
            </w:r>
            <w:r>
              <w:rPr>
                <w:rFonts w:hint="eastAsia"/>
                <w:b/>
                <w:bCs/>
                <w:sz w:val="24"/>
                <w:szCs w:val="24"/>
                <w:highlight w:val="none"/>
                <w:lang w:val="en-US" w:eastAsia="zh-CN"/>
              </w:rPr>
              <w:t>3</w:t>
            </w:r>
            <w:r>
              <w:rPr>
                <w:b/>
                <w:bCs/>
                <w:sz w:val="24"/>
                <w:szCs w:val="24"/>
                <w:highlight w:val="none"/>
              </w:rPr>
              <w:t>大气环境影响分析</w:t>
            </w:r>
          </w:p>
          <w:p w14:paraId="0160C259">
            <w:pPr>
              <w:adjustRightInd w:val="0"/>
              <w:snapToGrid w:val="0"/>
              <w:spacing w:line="480" w:lineRule="exact"/>
              <w:ind w:firstLine="482" w:firstLineChars="200"/>
              <w:rPr>
                <w:b/>
                <w:bCs/>
                <w:sz w:val="24"/>
                <w:szCs w:val="24"/>
                <w:highlight w:val="none"/>
              </w:rPr>
            </w:pPr>
            <w:r>
              <w:rPr>
                <w:rFonts w:hint="eastAsia"/>
                <w:b/>
                <w:bCs/>
                <w:sz w:val="24"/>
                <w:szCs w:val="24"/>
                <w:highlight w:val="none"/>
                <w:lang w:val="en-US" w:eastAsia="zh-CN"/>
              </w:rPr>
              <w:t>4.1.3.1船舶废气</w:t>
            </w:r>
            <w:r>
              <w:rPr>
                <w:b/>
                <w:bCs/>
                <w:sz w:val="24"/>
                <w:szCs w:val="24"/>
                <w:highlight w:val="none"/>
              </w:rPr>
              <w:t>影响分析</w:t>
            </w:r>
          </w:p>
          <w:p w14:paraId="264FA254">
            <w:pPr>
              <w:spacing w:line="480" w:lineRule="exact"/>
              <w:ind w:firstLine="480" w:firstLineChars="20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施工时使用的船舶一般都以柴油为燃料，柴油燃烧产生的尾气中主要含有颗粒物、氮氧化物和碳氢化合物等废气，其产生量与施工机械数量、密度、耗油量、燃料品质及机械设备状况有关。在常规气象条件下废气污染影响范围最大不超过排气孔下风向轴线几十米远的距离。项目施工场地开阔，均有利于污染物的流动扩散</w:t>
            </w:r>
            <w:r>
              <w:rPr>
                <w:rFonts w:hint="eastAsia" w:cs="Times New Roman"/>
                <w:sz w:val="24"/>
                <w:szCs w:val="24"/>
                <w:highlight w:val="none"/>
                <w:lang w:eastAsia="zh-CN"/>
              </w:rPr>
              <w:t>；</w:t>
            </w:r>
            <w:r>
              <w:rPr>
                <w:rFonts w:hint="eastAsia" w:ascii="Times New Roman" w:hAnsi="Times New Roman" w:eastAsia="宋体" w:cs="Times New Roman"/>
                <w:sz w:val="24"/>
                <w:szCs w:val="24"/>
                <w:highlight w:val="none"/>
              </w:rPr>
              <w:t>在使用合规油品和船舶的情况下，污染强度不大</w:t>
            </w:r>
            <w:r>
              <w:rPr>
                <w:rFonts w:hint="eastAsia" w:cs="Times New Roman"/>
                <w:sz w:val="24"/>
                <w:szCs w:val="24"/>
                <w:highlight w:val="none"/>
                <w:lang w:eastAsia="zh-CN"/>
              </w:rPr>
              <w:t>，</w:t>
            </w:r>
            <w:r>
              <w:rPr>
                <w:rFonts w:hint="eastAsia" w:ascii="Times New Roman" w:hAnsi="Times New Roman" w:eastAsia="宋体" w:cs="Times New Roman"/>
                <w:sz w:val="24"/>
                <w:szCs w:val="24"/>
                <w:highlight w:val="none"/>
              </w:rPr>
              <w:t>因此燃油废气排放强度十分有限，达标排放的施工机械燃油废气通过大气稀释与扩散后，对周围大气环境影响不大。</w:t>
            </w:r>
          </w:p>
          <w:p w14:paraId="475068C7">
            <w:pPr>
              <w:adjustRightInd w:val="0"/>
              <w:snapToGrid w:val="0"/>
              <w:spacing w:line="480" w:lineRule="exact"/>
              <w:ind w:firstLine="482" w:firstLineChars="200"/>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4.1.</w:t>
            </w:r>
            <w:r>
              <w:rPr>
                <w:rFonts w:hint="eastAsia" w:cs="Times New Roman"/>
                <w:b/>
                <w:bCs/>
                <w:sz w:val="24"/>
                <w:szCs w:val="24"/>
                <w:highlight w:val="none"/>
                <w:lang w:val="en-US" w:eastAsia="zh-CN"/>
              </w:rPr>
              <w:t>3</w:t>
            </w:r>
            <w:r>
              <w:rPr>
                <w:rFonts w:hint="eastAsia" w:ascii="Times New Roman" w:hAnsi="Times New Roman" w:cs="Times New Roman"/>
                <w:b/>
                <w:bCs/>
                <w:sz w:val="24"/>
                <w:szCs w:val="24"/>
                <w:highlight w:val="none"/>
                <w:lang w:val="en-US" w:eastAsia="zh-CN"/>
              </w:rPr>
              <w:t>.2淤泥干化场恶臭影响分析</w:t>
            </w:r>
          </w:p>
          <w:p w14:paraId="264AD41B">
            <w:pPr>
              <w:spacing w:line="480" w:lineRule="exact"/>
              <w:ind w:firstLine="480" w:firstLineChars="200"/>
              <w:rPr>
                <w:sz w:val="24"/>
                <w:highlight w:val="none"/>
              </w:rPr>
            </w:pPr>
            <w:r>
              <w:rPr>
                <w:sz w:val="24"/>
                <w:highlight w:val="none"/>
              </w:rPr>
              <w:t>施工期河道疏浚产生的湿土方由于其中的有机物质在河道底部厌氧分解会产生一些具有臭味的物质（H</w:t>
            </w:r>
            <w:r>
              <w:rPr>
                <w:sz w:val="24"/>
                <w:highlight w:val="none"/>
                <w:vertAlign w:val="subscript"/>
              </w:rPr>
              <w:t>2</w:t>
            </w:r>
            <w:r>
              <w:rPr>
                <w:sz w:val="24"/>
                <w:highlight w:val="none"/>
              </w:rPr>
              <w:t>S、NH</w:t>
            </w:r>
            <w:r>
              <w:rPr>
                <w:sz w:val="24"/>
                <w:highlight w:val="none"/>
                <w:vertAlign w:val="subscript"/>
              </w:rPr>
              <w:t>3、</w:t>
            </w:r>
            <w:r>
              <w:rPr>
                <w:sz w:val="24"/>
                <w:highlight w:val="none"/>
              </w:rPr>
              <w:t>臭气浓度等），当底泥被清出以后，这些具有恶臭的物质会进入空气，影响空气质量。本项目的恶臭影响主要来自淤泥干化场临时堆存的疏浚水下方。</w:t>
            </w:r>
          </w:p>
          <w:p w14:paraId="09CB41EE">
            <w:pPr>
              <w:spacing w:line="348" w:lineRule="auto"/>
              <w:ind w:firstLine="480" w:firstLineChars="200"/>
              <w:rPr>
                <w:sz w:val="24"/>
                <w:szCs w:val="20"/>
                <w:highlight w:val="none"/>
              </w:rPr>
            </w:pPr>
            <w:r>
              <w:rPr>
                <w:sz w:val="24"/>
                <w:szCs w:val="20"/>
                <w:highlight w:val="none"/>
              </w:rPr>
              <w:t>在南京市秦淮河综合整治一期工程施工中，曾对秦淮河清淤段、天生桥河清淤段以及南河底泥堆放场附近的H</w:t>
            </w:r>
            <w:r>
              <w:rPr>
                <w:sz w:val="24"/>
                <w:szCs w:val="20"/>
                <w:highlight w:val="none"/>
                <w:vertAlign w:val="subscript"/>
              </w:rPr>
              <w:t>2</w:t>
            </w:r>
            <w:r>
              <w:rPr>
                <w:sz w:val="24"/>
                <w:szCs w:val="20"/>
                <w:highlight w:val="none"/>
              </w:rPr>
              <w:t>S、NH</w:t>
            </w:r>
            <w:r>
              <w:rPr>
                <w:sz w:val="24"/>
                <w:szCs w:val="20"/>
                <w:highlight w:val="none"/>
                <w:vertAlign w:val="subscript"/>
              </w:rPr>
              <w:t>3</w:t>
            </w:r>
            <w:r>
              <w:rPr>
                <w:sz w:val="24"/>
                <w:szCs w:val="20"/>
                <w:highlight w:val="none"/>
              </w:rPr>
              <w:t>、臭气浓度进行现场监测，监测结果见表</w:t>
            </w:r>
            <w:r>
              <w:rPr>
                <w:rFonts w:hint="eastAsia"/>
                <w:sz w:val="24"/>
                <w:szCs w:val="20"/>
                <w:highlight w:val="none"/>
                <w:lang w:val="en-US" w:eastAsia="zh-CN"/>
              </w:rPr>
              <w:t>4</w:t>
            </w:r>
            <w:r>
              <w:rPr>
                <w:sz w:val="24"/>
                <w:szCs w:val="20"/>
                <w:highlight w:val="none"/>
              </w:rPr>
              <w:t>.</w:t>
            </w:r>
            <w:r>
              <w:rPr>
                <w:rFonts w:hint="eastAsia"/>
                <w:sz w:val="24"/>
                <w:szCs w:val="20"/>
                <w:highlight w:val="none"/>
                <w:lang w:val="en-US" w:eastAsia="zh-CN"/>
              </w:rPr>
              <w:t>1</w:t>
            </w:r>
            <w:r>
              <w:rPr>
                <w:sz w:val="24"/>
                <w:szCs w:val="20"/>
                <w:highlight w:val="none"/>
              </w:rPr>
              <w:t>-</w:t>
            </w:r>
            <w:r>
              <w:rPr>
                <w:rFonts w:hint="eastAsia"/>
                <w:sz w:val="24"/>
                <w:szCs w:val="20"/>
                <w:highlight w:val="none"/>
                <w:lang w:val="en-US" w:eastAsia="zh-CN"/>
              </w:rPr>
              <w:t>3</w:t>
            </w:r>
            <w:r>
              <w:rPr>
                <w:sz w:val="24"/>
                <w:szCs w:val="20"/>
                <w:highlight w:val="none"/>
              </w:rPr>
              <w:t>（引自《秦淮河环境综合整治（一期）环境影响报告书》。</w:t>
            </w:r>
          </w:p>
          <w:p w14:paraId="16144A4A">
            <w:pPr>
              <w:spacing w:line="480" w:lineRule="exact"/>
              <w:ind w:firstLine="482" w:firstLineChars="200"/>
              <w:jc w:val="center"/>
              <w:rPr>
                <w:rFonts w:hint="default" w:ascii="Times New Roman" w:hAnsi="Times New Roman" w:eastAsia="宋体" w:cs="Times New Roman"/>
                <w:b/>
                <w:bCs/>
                <w:spacing w:val="0"/>
                <w:kern w:val="2"/>
                <w:sz w:val="24"/>
                <w:szCs w:val="24"/>
                <w:highlight w:val="none"/>
                <w:lang w:val="en-US" w:eastAsia="zh-CN" w:bidi="ar-SA"/>
              </w:rPr>
            </w:pPr>
            <w:r>
              <w:rPr>
                <w:rFonts w:hint="default" w:ascii="Times New Roman" w:hAnsi="Times New Roman" w:eastAsia="宋体" w:cs="Times New Roman"/>
                <w:b/>
                <w:bCs/>
                <w:spacing w:val="0"/>
                <w:kern w:val="2"/>
                <w:sz w:val="24"/>
                <w:szCs w:val="24"/>
                <w:highlight w:val="none"/>
                <w:lang w:val="en-US" w:eastAsia="zh-CN" w:bidi="ar-SA"/>
              </w:rPr>
              <w:t>表</w:t>
            </w:r>
            <w:r>
              <w:rPr>
                <w:rFonts w:hint="eastAsia" w:ascii="Times New Roman" w:hAnsi="Times New Roman" w:eastAsia="宋体" w:cs="Times New Roman"/>
                <w:b/>
                <w:bCs/>
                <w:spacing w:val="0"/>
                <w:kern w:val="2"/>
                <w:sz w:val="24"/>
                <w:szCs w:val="24"/>
                <w:highlight w:val="none"/>
                <w:lang w:val="en-US" w:eastAsia="zh-CN" w:bidi="ar-SA"/>
              </w:rPr>
              <w:t>4</w:t>
            </w:r>
            <w:r>
              <w:rPr>
                <w:rFonts w:hint="default" w:ascii="Times New Roman" w:hAnsi="Times New Roman" w:eastAsia="宋体" w:cs="Times New Roman"/>
                <w:b/>
                <w:bCs/>
                <w:spacing w:val="0"/>
                <w:kern w:val="2"/>
                <w:sz w:val="24"/>
                <w:szCs w:val="24"/>
                <w:highlight w:val="none"/>
                <w:lang w:val="en-US" w:eastAsia="zh-CN" w:bidi="ar-SA"/>
              </w:rPr>
              <w:t>.</w:t>
            </w:r>
            <w:r>
              <w:rPr>
                <w:rFonts w:hint="eastAsia" w:ascii="Times New Roman" w:hAnsi="Times New Roman" w:eastAsia="宋体" w:cs="Times New Roman"/>
                <w:b/>
                <w:bCs/>
                <w:spacing w:val="0"/>
                <w:kern w:val="2"/>
                <w:sz w:val="24"/>
                <w:szCs w:val="24"/>
                <w:highlight w:val="none"/>
                <w:lang w:val="en-US" w:eastAsia="zh-CN" w:bidi="ar-SA"/>
              </w:rPr>
              <w:t>1</w:t>
            </w:r>
            <w:r>
              <w:rPr>
                <w:rFonts w:hint="default" w:ascii="Times New Roman" w:hAnsi="Times New Roman" w:eastAsia="宋体" w:cs="Times New Roman"/>
                <w:b/>
                <w:bCs/>
                <w:spacing w:val="0"/>
                <w:kern w:val="2"/>
                <w:sz w:val="24"/>
                <w:szCs w:val="24"/>
                <w:highlight w:val="none"/>
                <w:lang w:val="en-US" w:eastAsia="zh-CN" w:bidi="ar-SA"/>
              </w:rPr>
              <w:t>-</w:t>
            </w:r>
            <w:r>
              <w:rPr>
                <w:rFonts w:hint="eastAsia" w:cs="Times New Roman"/>
                <w:b/>
                <w:bCs/>
                <w:spacing w:val="0"/>
                <w:kern w:val="2"/>
                <w:sz w:val="24"/>
                <w:szCs w:val="24"/>
                <w:highlight w:val="none"/>
                <w:lang w:val="en-US" w:eastAsia="zh-CN" w:bidi="ar-SA"/>
              </w:rPr>
              <w:t>3</w:t>
            </w:r>
            <w:r>
              <w:rPr>
                <w:rFonts w:hint="default" w:ascii="Times New Roman" w:hAnsi="Times New Roman" w:eastAsia="宋体" w:cs="Times New Roman"/>
                <w:b/>
                <w:bCs/>
                <w:spacing w:val="0"/>
                <w:kern w:val="2"/>
                <w:sz w:val="24"/>
                <w:szCs w:val="24"/>
                <w:highlight w:val="none"/>
                <w:lang w:val="en-US" w:eastAsia="zh-CN" w:bidi="ar-SA"/>
              </w:rPr>
              <w:t xml:space="preserve">  清淤段H</w:t>
            </w:r>
            <w:r>
              <w:rPr>
                <w:rFonts w:hint="default" w:ascii="Times New Roman" w:hAnsi="Times New Roman" w:eastAsia="宋体" w:cs="Times New Roman"/>
                <w:b/>
                <w:bCs/>
                <w:spacing w:val="0"/>
                <w:kern w:val="2"/>
                <w:sz w:val="24"/>
                <w:szCs w:val="24"/>
                <w:highlight w:val="none"/>
                <w:vertAlign w:val="subscript"/>
                <w:lang w:val="en-US" w:eastAsia="zh-CN" w:bidi="ar-SA"/>
              </w:rPr>
              <w:t>2</w:t>
            </w:r>
            <w:r>
              <w:rPr>
                <w:rFonts w:hint="default" w:ascii="Times New Roman" w:hAnsi="Times New Roman" w:eastAsia="宋体" w:cs="Times New Roman"/>
                <w:b/>
                <w:bCs/>
                <w:spacing w:val="0"/>
                <w:kern w:val="2"/>
                <w:sz w:val="24"/>
                <w:szCs w:val="24"/>
                <w:highlight w:val="none"/>
                <w:lang w:val="en-US" w:eastAsia="zh-CN" w:bidi="ar-SA"/>
              </w:rPr>
              <w:t>S、NH</w:t>
            </w:r>
            <w:r>
              <w:rPr>
                <w:rFonts w:hint="default" w:ascii="Times New Roman" w:hAnsi="Times New Roman" w:eastAsia="宋体" w:cs="Times New Roman"/>
                <w:b/>
                <w:bCs/>
                <w:spacing w:val="0"/>
                <w:kern w:val="2"/>
                <w:sz w:val="24"/>
                <w:szCs w:val="24"/>
                <w:highlight w:val="none"/>
                <w:vertAlign w:val="subscript"/>
                <w:lang w:val="en-US" w:eastAsia="zh-CN" w:bidi="ar-SA"/>
              </w:rPr>
              <w:t>3</w:t>
            </w:r>
            <w:r>
              <w:rPr>
                <w:rFonts w:hint="default" w:ascii="Times New Roman" w:hAnsi="Times New Roman" w:eastAsia="宋体" w:cs="Times New Roman"/>
                <w:b/>
                <w:bCs/>
                <w:spacing w:val="0"/>
                <w:kern w:val="2"/>
                <w:sz w:val="24"/>
                <w:szCs w:val="24"/>
                <w:highlight w:val="none"/>
                <w:lang w:val="en-US" w:eastAsia="zh-CN" w:bidi="ar-SA"/>
              </w:rPr>
              <w:t>、臭气浓度监测结果</w:t>
            </w:r>
          </w:p>
          <w:tbl>
            <w:tblPr>
              <w:tblStyle w:val="89"/>
              <w:tblW w:w="0" w:type="auto"/>
              <w:tblInd w:w="3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50"/>
              <w:gridCol w:w="1542"/>
              <w:gridCol w:w="1734"/>
              <w:gridCol w:w="1332"/>
              <w:gridCol w:w="1332"/>
              <w:gridCol w:w="1331"/>
            </w:tblGrid>
            <w:tr w14:paraId="5E9F95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392" w:type="dxa"/>
                  <w:gridSpan w:val="2"/>
                  <w:tcBorders>
                    <w:tl2br w:val="nil"/>
                    <w:tr2bl w:val="nil"/>
                  </w:tcBorders>
                  <w:noWrap w:val="0"/>
                  <w:vAlign w:val="center"/>
                </w:tcPr>
                <w:p w14:paraId="357D560D">
                  <w:pPr>
                    <w:jc w:val="center"/>
                    <w:rPr>
                      <w:szCs w:val="21"/>
                      <w:highlight w:val="none"/>
                    </w:rPr>
                  </w:pPr>
                  <w:r>
                    <w:rPr>
                      <w:szCs w:val="21"/>
                      <w:highlight w:val="none"/>
                    </w:rPr>
                    <w:t>位置</w:t>
                  </w:r>
                </w:p>
              </w:tc>
              <w:tc>
                <w:tcPr>
                  <w:tcW w:w="1734" w:type="dxa"/>
                  <w:tcBorders>
                    <w:tl2br w:val="nil"/>
                    <w:tr2bl w:val="nil"/>
                  </w:tcBorders>
                  <w:noWrap w:val="0"/>
                  <w:vAlign w:val="center"/>
                </w:tcPr>
                <w:p w14:paraId="3AC62A8E">
                  <w:pPr>
                    <w:jc w:val="center"/>
                    <w:rPr>
                      <w:szCs w:val="21"/>
                      <w:highlight w:val="none"/>
                    </w:rPr>
                  </w:pPr>
                  <w:r>
                    <w:rPr>
                      <w:szCs w:val="21"/>
                      <w:highlight w:val="none"/>
                    </w:rPr>
                    <w:t>测点距清淤河段距离（m）</w:t>
                  </w:r>
                </w:p>
              </w:tc>
              <w:tc>
                <w:tcPr>
                  <w:tcW w:w="1332" w:type="dxa"/>
                  <w:tcBorders>
                    <w:tl2br w:val="nil"/>
                    <w:tr2bl w:val="nil"/>
                  </w:tcBorders>
                  <w:noWrap w:val="0"/>
                  <w:vAlign w:val="center"/>
                </w:tcPr>
                <w:p w14:paraId="19DC6B76">
                  <w:pPr>
                    <w:jc w:val="center"/>
                    <w:rPr>
                      <w:szCs w:val="21"/>
                      <w:highlight w:val="none"/>
                      <w:vertAlign w:val="subscript"/>
                    </w:rPr>
                  </w:pPr>
                  <w:r>
                    <w:rPr>
                      <w:szCs w:val="21"/>
                      <w:highlight w:val="none"/>
                    </w:rPr>
                    <w:t>NH</w:t>
                  </w:r>
                  <w:r>
                    <w:rPr>
                      <w:szCs w:val="21"/>
                      <w:highlight w:val="none"/>
                      <w:vertAlign w:val="subscript"/>
                    </w:rPr>
                    <w:t>3</w:t>
                  </w:r>
                </w:p>
                <w:p w14:paraId="02E488DC">
                  <w:pPr>
                    <w:jc w:val="center"/>
                    <w:rPr>
                      <w:szCs w:val="21"/>
                      <w:highlight w:val="none"/>
                    </w:rPr>
                  </w:pPr>
                  <w:r>
                    <w:rPr>
                      <w:szCs w:val="21"/>
                      <w:highlight w:val="none"/>
                    </w:rPr>
                    <w:t>mg/m</w:t>
                  </w:r>
                  <w:r>
                    <w:rPr>
                      <w:szCs w:val="21"/>
                      <w:highlight w:val="none"/>
                      <w:vertAlign w:val="superscript"/>
                    </w:rPr>
                    <w:t>3</w:t>
                  </w:r>
                </w:p>
              </w:tc>
              <w:tc>
                <w:tcPr>
                  <w:tcW w:w="1332" w:type="dxa"/>
                  <w:tcBorders>
                    <w:tl2br w:val="nil"/>
                    <w:tr2bl w:val="nil"/>
                  </w:tcBorders>
                  <w:noWrap w:val="0"/>
                  <w:vAlign w:val="center"/>
                </w:tcPr>
                <w:p w14:paraId="2C133243">
                  <w:pPr>
                    <w:jc w:val="center"/>
                    <w:rPr>
                      <w:szCs w:val="21"/>
                      <w:highlight w:val="none"/>
                    </w:rPr>
                  </w:pPr>
                  <w:r>
                    <w:rPr>
                      <w:szCs w:val="21"/>
                      <w:highlight w:val="none"/>
                    </w:rPr>
                    <w:t>H</w:t>
                  </w:r>
                  <w:r>
                    <w:rPr>
                      <w:szCs w:val="21"/>
                      <w:highlight w:val="none"/>
                      <w:vertAlign w:val="subscript"/>
                    </w:rPr>
                    <w:t>2</w:t>
                  </w:r>
                  <w:r>
                    <w:rPr>
                      <w:szCs w:val="21"/>
                      <w:highlight w:val="none"/>
                    </w:rPr>
                    <w:t xml:space="preserve">S </w:t>
                  </w:r>
                </w:p>
                <w:p w14:paraId="3AB31962">
                  <w:pPr>
                    <w:jc w:val="center"/>
                    <w:rPr>
                      <w:szCs w:val="21"/>
                      <w:highlight w:val="none"/>
                    </w:rPr>
                  </w:pPr>
                  <w:r>
                    <w:rPr>
                      <w:szCs w:val="21"/>
                      <w:highlight w:val="none"/>
                    </w:rPr>
                    <w:t>mg/m</w:t>
                  </w:r>
                  <w:r>
                    <w:rPr>
                      <w:szCs w:val="21"/>
                      <w:highlight w:val="none"/>
                      <w:vertAlign w:val="superscript"/>
                    </w:rPr>
                    <w:t>3</w:t>
                  </w:r>
                </w:p>
              </w:tc>
              <w:tc>
                <w:tcPr>
                  <w:tcW w:w="1331" w:type="dxa"/>
                  <w:tcBorders>
                    <w:tl2br w:val="nil"/>
                    <w:tr2bl w:val="nil"/>
                  </w:tcBorders>
                  <w:noWrap w:val="0"/>
                  <w:vAlign w:val="center"/>
                </w:tcPr>
                <w:p w14:paraId="41CC2DA3">
                  <w:pPr>
                    <w:jc w:val="center"/>
                    <w:rPr>
                      <w:szCs w:val="21"/>
                      <w:highlight w:val="none"/>
                    </w:rPr>
                  </w:pPr>
                  <w:r>
                    <w:rPr>
                      <w:szCs w:val="21"/>
                      <w:highlight w:val="none"/>
                    </w:rPr>
                    <w:t>臭气浓度</w:t>
                  </w:r>
                </w:p>
                <w:p w14:paraId="05ADD9A2">
                  <w:pPr>
                    <w:jc w:val="center"/>
                    <w:rPr>
                      <w:szCs w:val="21"/>
                      <w:highlight w:val="none"/>
                    </w:rPr>
                  </w:pPr>
                  <w:r>
                    <w:rPr>
                      <w:szCs w:val="21"/>
                      <w:highlight w:val="none"/>
                    </w:rPr>
                    <w:t>（无量纲）</w:t>
                  </w:r>
                </w:p>
              </w:tc>
            </w:tr>
            <w:tr w14:paraId="1D8CB6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850" w:type="dxa"/>
                  <w:tcBorders>
                    <w:tl2br w:val="nil"/>
                    <w:tr2bl w:val="nil"/>
                  </w:tcBorders>
                  <w:noWrap w:val="0"/>
                  <w:vAlign w:val="center"/>
                </w:tcPr>
                <w:p w14:paraId="0A0CE39E">
                  <w:pPr>
                    <w:jc w:val="center"/>
                    <w:rPr>
                      <w:szCs w:val="21"/>
                      <w:highlight w:val="none"/>
                    </w:rPr>
                  </w:pPr>
                  <w:r>
                    <w:rPr>
                      <w:szCs w:val="21"/>
                      <w:highlight w:val="none"/>
                    </w:rPr>
                    <w:t>秦淮河清淤段</w:t>
                  </w:r>
                </w:p>
              </w:tc>
              <w:tc>
                <w:tcPr>
                  <w:tcW w:w="1542" w:type="dxa"/>
                  <w:tcBorders>
                    <w:tl2br w:val="nil"/>
                    <w:tr2bl w:val="nil"/>
                  </w:tcBorders>
                  <w:noWrap w:val="0"/>
                  <w:vAlign w:val="center"/>
                </w:tcPr>
                <w:p w14:paraId="6D8A1643">
                  <w:pPr>
                    <w:jc w:val="center"/>
                    <w:rPr>
                      <w:szCs w:val="21"/>
                      <w:highlight w:val="none"/>
                    </w:rPr>
                  </w:pPr>
                  <w:r>
                    <w:rPr>
                      <w:szCs w:val="21"/>
                      <w:highlight w:val="none"/>
                    </w:rPr>
                    <w:t>清凉门大桥</w:t>
                  </w:r>
                </w:p>
              </w:tc>
              <w:tc>
                <w:tcPr>
                  <w:tcW w:w="1734" w:type="dxa"/>
                  <w:tcBorders>
                    <w:tl2br w:val="nil"/>
                    <w:tr2bl w:val="nil"/>
                  </w:tcBorders>
                  <w:noWrap w:val="0"/>
                  <w:vAlign w:val="center"/>
                </w:tcPr>
                <w:p w14:paraId="7B1E0B20">
                  <w:pPr>
                    <w:jc w:val="center"/>
                    <w:rPr>
                      <w:szCs w:val="21"/>
                      <w:highlight w:val="none"/>
                    </w:rPr>
                  </w:pPr>
                  <w:r>
                    <w:rPr>
                      <w:szCs w:val="21"/>
                      <w:highlight w:val="none"/>
                    </w:rPr>
                    <w:t>15</w:t>
                  </w:r>
                </w:p>
              </w:tc>
              <w:tc>
                <w:tcPr>
                  <w:tcW w:w="1332" w:type="dxa"/>
                  <w:tcBorders>
                    <w:tl2br w:val="nil"/>
                    <w:tr2bl w:val="nil"/>
                  </w:tcBorders>
                  <w:noWrap w:val="0"/>
                  <w:vAlign w:val="center"/>
                </w:tcPr>
                <w:p w14:paraId="28424EB6">
                  <w:pPr>
                    <w:jc w:val="center"/>
                    <w:rPr>
                      <w:szCs w:val="21"/>
                      <w:highlight w:val="none"/>
                    </w:rPr>
                  </w:pPr>
                  <w:r>
                    <w:rPr>
                      <w:szCs w:val="21"/>
                      <w:highlight w:val="none"/>
                    </w:rPr>
                    <w:t>0.05~0.13</w:t>
                  </w:r>
                </w:p>
              </w:tc>
              <w:tc>
                <w:tcPr>
                  <w:tcW w:w="1332" w:type="dxa"/>
                  <w:tcBorders>
                    <w:tl2br w:val="nil"/>
                    <w:tr2bl w:val="nil"/>
                  </w:tcBorders>
                  <w:noWrap w:val="0"/>
                  <w:vAlign w:val="center"/>
                </w:tcPr>
                <w:p w14:paraId="288C7CF5">
                  <w:pPr>
                    <w:jc w:val="center"/>
                    <w:rPr>
                      <w:szCs w:val="21"/>
                      <w:highlight w:val="none"/>
                    </w:rPr>
                  </w:pPr>
                  <w:r>
                    <w:rPr>
                      <w:szCs w:val="21"/>
                      <w:highlight w:val="none"/>
                    </w:rPr>
                    <w:t>0.007L</w:t>
                  </w:r>
                </w:p>
              </w:tc>
              <w:tc>
                <w:tcPr>
                  <w:tcW w:w="1331" w:type="dxa"/>
                  <w:tcBorders>
                    <w:tl2br w:val="nil"/>
                    <w:tr2bl w:val="nil"/>
                  </w:tcBorders>
                  <w:noWrap w:val="0"/>
                  <w:vAlign w:val="center"/>
                </w:tcPr>
                <w:p w14:paraId="67268482">
                  <w:pPr>
                    <w:jc w:val="center"/>
                    <w:rPr>
                      <w:szCs w:val="21"/>
                      <w:highlight w:val="none"/>
                    </w:rPr>
                  </w:pPr>
                  <w:r>
                    <w:rPr>
                      <w:szCs w:val="21"/>
                      <w:highlight w:val="none"/>
                    </w:rPr>
                    <w:t>10~14</w:t>
                  </w:r>
                </w:p>
              </w:tc>
            </w:tr>
            <w:tr w14:paraId="099C6D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850" w:type="dxa"/>
                  <w:tcBorders>
                    <w:tl2br w:val="nil"/>
                    <w:tr2bl w:val="nil"/>
                  </w:tcBorders>
                  <w:noWrap w:val="0"/>
                  <w:vAlign w:val="center"/>
                </w:tcPr>
                <w:p w14:paraId="54120421">
                  <w:pPr>
                    <w:jc w:val="center"/>
                    <w:rPr>
                      <w:szCs w:val="21"/>
                      <w:highlight w:val="none"/>
                    </w:rPr>
                  </w:pPr>
                  <w:r>
                    <w:rPr>
                      <w:szCs w:val="21"/>
                      <w:highlight w:val="none"/>
                    </w:rPr>
                    <w:t>天生桥河清淤段</w:t>
                  </w:r>
                </w:p>
              </w:tc>
              <w:tc>
                <w:tcPr>
                  <w:tcW w:w="1542" w:type="dxa"/>
                  <w:tcBorders>
                    <w:tl2br w:val="nil"/>
                    <w:tr2bl w:val="nil"/>
                  </w:tcBorders>
                  <w:noWrap w:val="0"/>
                  <w:vAlign w:val="center"/>
                </w:tcPr>
                <w:p w14:paraId="7B3058B2">
                  <w:pPr>
                    <w:jc w:val="center"/>
                    <w:rPr>
                      <w:szCs w:val="21"/>
                      <w:highlight w:val="none"/>
                    </w:rPr>
                  </w:pPr>
                  <w:r>
                    <w:rPr>
                      <w:szCs w:val="21"/>
                      <w:highlight w:val="none"/>
                    </w:rPr>
                    <w:t>沙洲</w:t>
                  </w:r>
                </w:p>
              </w:tc>
              <w:tc>
                <w:tcPr>
                  <w:tcW w:w="1734" w:type="dxa"/>
                  <w:tcBorders>
                    <w:tl2br w:val="nil"/>
                    <w:tr2bl w:val="nil"/>
                  </w:tcBorders>
                  <w:noWrap w:val="0"/>
                  <w:vAlign w:val="center"/>
                </w:tcPr>
                <w:p w14:paraId="22723F1F">
                  <w:pPr>
                    <w:jc w:val="center"/>
                    <w:rPr>
                      <w:szCs w:val="21"/>
                      <w:highlight w:val="none"/>
                    </w:rPr>
                  </w:pPr>
                  <w:r>
                    <w:rPr>
                      <w:szCs w:val="21"/>
                      <w:highlight w:val="none"/>
                    </w:rPr>
                    <w:t>50</w:t>
                  </w:r>
                </w:p>
              </w:tc>
              <w:tc>
                <w:tcPr>
                  <w:tcW w:w="1332" w:type="dxa"/>
                  <w:tcBorders>
                    <w:tl2br w:val="nil"/>
                    <w:tr2bl w:val="nil"/>
                  </w:tcBorders>
                  <w:noWrap w:val="0"/>
                  <w:vAlign w:val="center"/>
                </w:tcPr>
                <w:p w14:paraId="4B15ADDC">
                  <w:pPr>
                    <w:jc w:val="center"/>
                    <w:rPr>
                      <w:szCs w:val="21"/>
                      <w:highlight w:val="none"/>
                    </w:rPr>
                  </w:pPr>
                  <w:r>
                    <w:rPr>
                      <w:szCs w:val="21"/>
                      <w:highlight w:val="none"/>
                    </w:rPr>
                    <w:t>0.03~0.15</w:t>
                  </w:r>
                </w:p>
              </w:tc>
              <w:tc>
                <w:tcPr>
                  <w:tcW w:w="1332" w:type="dxa"/>
                  <w:tcBorders>
                    <w:tl2br w:val="nil"/>
                    <w:tr2bl w:val="nil"/>
                  </w:tcBorders>
                  <w:noWrap w:val="0"/>
                  <w:vAlign w:val="center"/>
                </w:tcPr>
                <w:p w14:paraId="42FA9BBF">
                  <w:pPr>
                    <w:jc w:val="center"/>
                    <w:rPr>
                      <w:szCs w:val="21"/>
                      <w:highlight w:val="none"/>
                    </w:rPr>
                  </w:pPr>
                  <w:r>
                    <w:rPr>
                      <w:szCs w:val="21"/>
                      <w:highlight w:val="none"/>
                    </w:rPr>
                    <w:t>0.007L</w:t>
                  </w:r>
                </w:p>
              </w:tc>
              <w:tc>
                <w:tcPr>
                  <w:tcW w:w="1331" w:type="dxa"/>
                  <w:tcBorders>
                    <w:tl2br w:val="nil"/>
                    <w:tr2bl w:val="nil"/>
                  </w:tcBorders>
                  <w:noWrap w:val="0"/>
                  <w:vAlign w:val="center"/>
                </w:tcPr>
                <w:p w14:paraId="72A4D9AC">
                  <w:pPr>
                    <w:jc w:val="center"/>
                    <w:rPr>
                      <w:szCs w:val="21"/>
                      <w:highlight w:val="none"/>
                    </w:rPr>
                  </w:pPr>
                  <w:r>
                    <w:rPr>
                      <w:szCs w:val="21"/>
                      <w:highlight w:val="none"/>
                    </w:rPr>
                    <w:t>10~20</w:t>
                  </w:r>
                </w:p>
              </w:tc>
            </w:tr>
            <w:tr w14:paraId="5AF50C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850" w:type="dxa"/>
                  <w:tcBorders>
                    <w:tl2br w:val="nil"/>
                    <w:tr2bl w:val="nil"/>
                  </w:tcBorders>
                  <w:noWrap w:val="0"/>
                  <w:vAlign w:val="center"/>
                </w:tcPr>
                <w:p w14:paraId="6DB98DD0">
                  <w:pPr>
                    <w:jc w:val="center"/>
                    <w:rPr>
                      <w:szCs w:val="21"/>
                      <w:highlight w:val="none"/>
                    </w:rPr>
                  </w:pPr>
                  <w:r>
                    <w:rPr>
                      <w:szCs w:val="21"/>
                      <w:highlight w:val="none"/>
                    </w:rPr>
                    <w:t>南河底泥堆放场</w:t>
                  </w:r>
                </w:p>
              </w:tc>
              <w:tc>
                <w:tcPr>
                  <w:tcW w:w="1542" w:type="dxa"/>
                  <w:tcBorders>
                    <w:tl2br w:val="nil"/>
                    <w:tr2bl w:val="nil"/>
                  </w:tcBorders>
                  <w:noWrap w:val="0"/>
                  <w:vAlign w:val="center"/>
                </w:tcPr>
                <w:p w14:paraId="6C1A1307">
                  <w:pPr>
                    <w:jc w:val="center"/>
                    <w:rPr>
                      <w:szCs w:val="21"/>
                      <w:highlight w:val="none"/>
                    </w:rPr>
                  </w:pPr>
                  <w:r>
                    <w:rPr>
                      <w:szCs w:val="21"/>
                      <w:highlight w:val="none"/>
                    </w:rPr>
                    <w:t>洪蓝桥</w:t>
                  </w:r>
                </w:p>
              </w:tc>
              <w:tc>
                <w:tcPr>
                  <w:tcW w:w="1734" w:type="dxa"/>
                  <w:tcBorders>
                    <w:tl2br w:val="nil"/>
                    <w:tr2bl w:val="nil"/>
                  </w:tcBorders>
                  <w:noWrap w:val="0"/>
                  <w:vAlign w:val="center"/>
                </w:tcPr>
                <w:p w14:paraId="42A739A7">
                  <w:pPr>
                    <w:jc w:val="center"/>
                    <w:rPr>
                      <w:szCs w:val="21"/>
                      <w:highlight w:val="none"/>
                    </w:rPr>
                  </w:pPr>
                  <w:r>
                    <w:rPr>
                      <w:szCs w:val="21"/>
                      <w:highlight w:val="none"/>
                    </w:rPr>
                    <w:t>15</w:t>
                  </w:r>
                </w:p>
              </w:tc>
              <w:tc>
                <w:tcPr>
                  <w:tcW w:w="1332" w:type="dxa"/>
                  <w:tcBorders>
                    <w:tl2br w:val="nil"/>
                    <w:tr2bl w:val="nil"/>
                  </w:tcBorders>
                  <w:noWrap w:val="0"/>
                  <w:vAlign w:val="center"/>
                </w:tcPr>
                <w:p w14:paraId="4CF5F8F2">
                  <w:pPr>
                    <w:jc w:val="center"/>
                    <w:rPr>
                      <w:szCs w:val="21"/>
                      <w:highlight w:val="none"/>
                    </w:rPr>
                  </w:pPr>
                  <w:r>
                    <w:rPr>
                      <w:szCs w:val="21"/>
                      <w:highlight w:val="none"/>
                    </w:rPr>
                    <w:t>0.04~0.10</w:t>
                  </w:r>
                </w:p>
              </w:tc>
              <w:tc>
                <w:tcPr>
                  <w:tcW w:w="1332" w:type="dxa"/>
                  <w:tcBorders>
                    <w:tl2br w:val="nil"/>
                    <w:tr2bl w:val="nil"/>
                  </w:tcBorders>
                  <w:noWrap w:val="0"/>
                  <w:vAlign w:val="center"/>
                </w:tcPr>
                <w:p w14:paraId="43D9795D">
                  <w:pPr>
                    <w:jc w:val="center"/>
                    <w:rPr>
                      <w:szCs w:val="21"/>
                      <w:highlight w:val="none"/>
                    </w:rPr>
                  </w:pPr>
                  <w:r>
                    <w:rPr>
                      <w:szCs w:val="21"/>
                      <w:highlight w:val="none"/>
                    </w:rPr>
                    <w:t>0.007L</w:t>
                  </w:r>
                </w:p>
              </w:tc>
              <w:tc>
                <w:tcPr>
                  <w:tcW w:w="1331" w:type="dxa"/>
                  <w:tcBorders>
                    <w:tl2br w:val="nil"/>
                    <w:tr2bl w:val="nil"/>
                  </w:tcBorders>
                  <w:noWrap w:val="0"/>
                  <w:vAlign w:val="center"/>
                </w:tcPr>
                <w:p w14:paraId="64779B6F">
                  <w:pPr>
                    <w:jc w:val="center"/>
                    <w:rPr>
                      <w:szCs w:val="21"/>
                      <w:highlight w:val="none"/>
                    </w:rPr>
                  </w:pPr>
                  <w:r>
                    <w:rPr>
                      <w:szCs w:val="21"/>
                      <w:highlight w:val="none"/>
                    </w:rPr>
                    <w:t>10~20</w:t>
                  </w:r>
                </w:p>
              </w:tc>
            </w:tr>
          </w:tbl>
          <w:p w14:paraId="6648CB73">
            <w:pPr>
              <w:spacing w:line="480" w:lineRule="exact"/>
              <w:ind w:firstLine="480" w:firstLineChars="200"/>
              <w:rPr>
                <w:sz w:val="24"/>
                <w:highlight w:val="none"/>
              </w:rPr>
            </w:pPr>
            <w:r>
              <w:rPr>
                <w:sz w:val="24"/>
                <w:highlight w:val="none"/>
              </w:rPr>
              <w:t>从上表中可知，距底泥堆放场50m处的H</w:t>
            </w:r>
            <w:r>
              <w:rPr>
                <w:sz w:val="24"/>
                <w:highlight w:val="none"/>
                <w:vertAlign w:val="subscript"/>
              </w:rPr>
              <w:t>2</w:t>
            </w:r>
            <w:r>
              <w:rPr>
                <w:sz w:val="24"/>
                <w:highlight w:val="none"/>
              </w:rPr>
              <w:t>S、NH</w:t>
            </w:r>
            <w:r>
              <w:rPr>
                <w:sz w:val="24"/>
                <w:highlight w:val="none"/>
                <w:vertAlign w:val="subscript"/>
              </w:rPr>
              <w:t>3</w:t>
            </w:r>
            <w:r>
              <w:rPr>
                <w:sz w:val="24"/>
                <w:highlight w:val="none"/>
              </w:rPr>
              <w:t>、臭气浓度均未超过评价标准。以3个测点中最不利的数据预测淤泥臭气对周围环境的影响，即：距离整治河道或底泥堆放场50m时臭气浓度达到20，可认为满足恶臭污染物厂界标准值，在50m以内的环境保护目标将受到影响。</w:t>
            </w:r>
          </w:p>
          <w:p w14:paraId="1A8A5766">
            <w:pPr>
              <w:spacing w:line="480" w:lineRule="exact"/>
              <w:ind w:firstLine="480" w:firstLineChars="200"/>
              <w:rPr>
                <w:sz w:val="24"/>
                <w:highlight w:val="none"/>
              </w:rPr>
            </w:pPr>
            <w:r>
              <w:rPr>
                <w:sz w:val="24"/>
                <w:highlight w:val="none"/>
              </w:rPr>
              <w:t>本项目拟定的</w:t>
            </w:r>
            <w:r>
              <w:rPr>
                <w:rFonts w:hint="eastAsia"/>
                <w:sz w:val="24"/>
                <w:highlight w:val="none"/>
                <w:lang w:val="en-US" w:eastAsia="zh-CN"/>
              </w:rPr>
              <w:t>1</w:t>
            </w:r>
            <w:r>
              <w:rPr>
                <w:sz w:val="24"/>
                <w:highlight w:val="none"/>
              </w:rPr>
              <w:t>处淤泥干化场与最近的村庄敏感点保持50m以上的距离，施工期间干化场周边居民基本不会嗅到明显臭味，干化场恶臭对周围居民的影响较小。</w:t>
            </w:r>
          </w:p>
          <w:p w14:paraId="299E36E8">
            <w:pPr>
              <w:spacing w:line="480" w:lineRule="exact"/>
              <w:ind w:firstLine="480" w:firstLineChars="200"/>
              <w:rPr>
                <w:sz w:val="24"/>
                <w:highlight w:val="none"/>
              </w:rPr>
            </w:pPr>
            <w:r>
              <w:rPr>
                <w:sz w:val="24"/>
                <w:highlight w:val="none"/>
              </w:rPr>
              <w:t>因此，在合理选址的情况下，淤泥干化场恶臭影响较小。</w:t>
            </w:r>
          </w:p>
          <w:p w14:paraId="62A721BD">
            <w:pPr>
              <w:adjustRightInd w:val="0"/>
              <w:snapToGrid w:val="0"/>
              <w:spacing w:line="480" w:lineRule="exact"/>
              <w:ind w:firstLine="482" w:firstLineChars="200"/>
              <w:rPr>
                <w:b/>
                <w:bCs/>
                <w:sz w:val="24"/>
                <w:szCs w:val="24"/>
                <w:highlight w:val="none"/>
              </w:rPr>
            </w:pPr>
            <w:r>
              <w:rPr>
                <w:b/>
                <w:bCs/>
                <w:sz w:val="24"/>
                <w:szCs w:val="24"/>
                <w:highlight w:val="none"/>
              </w:rPr>
              <w:t>4.1.</w:t>
            </w:r>
            <w:r>
              <w:rPr>
                <w:rFonts w:hint="eastAsia"/>
                <w:b/>
                <w:bCs/>
                <w:sz w:val="24"/>
                <w:szCs w:val="24"/>
                <w:highlight w:val="none"/>
                <w:lang w:val="en-US" w:eastAsia="zh-CN"/>
              </w:rPr>
              <w:t>4</w:t>
            </w:r>
            <w:r>
              <w:rPr>
                <w:b/>
                <w:bCs/>
                <w:sz w:val="24"/>
                <w:szCs w:val="24"/>
                <w:highlight w:val="none"/>
              </w:rPr>
              <w:t>地表水环境影响</w:t>
            </w:r>
          </w:p>
          <w:p w14:paraId="26A1B7C0">
            <w:pPr>
              <w:spacing w:line="480" w:lineRule="exact"/>
              <w:ind w:firstLine="482" w:firstLineChars="200"/>
              <w:rPr>
                <w:b/>
                <w:bCs/>
                <w:sz w:val="24"/>
                <w:szCs w:val="24"/>
                <w:highlight w:val="none"/>
              </w:rPr>
            </w:pPr>
            <w:r>
              <w:rPr>
                <w:b/>
                <w:bCs/>
                <w:sz w:val="24"/>
                <w:szCs w:val="24"/>
                <w:highlight w:val="none"/>
              </w:rPr>
              <w:t>4.1.</w:t>
            </w:r>
            <w:r>
              <w:rPr>
                <w:rFonts w:hint="eastAsia"/>
                <w:b/>
                <w:bCs/>
                <w:sz w:val="24"/>
                <w:szCs w:val="24"/>
                <w:highlight w:val="none"/>
                <w:lang w:val="en-US" w:eastAsia="zh-CN"/>
              </w:rPr>
              <w:t>4</w:t>
            </w:r>
            <w:r>
              <w:rPr>
                <w:b/>
                <w:bCs/>
                <w:sz w:val="24"/>
                <w:szCs w:val="24"/>
                <w:highlight w:val="none"/>
              </w:rPr>
              <w:t>.</w:t>
            </w:r>
            <w:r>
              <w:rPr>
                <w:rFonts w:hint="eastAsia"/>
                <w:b/>
                <w:bCs/>
                <w:sz w:val="24"/>
                <w:szCs w:val="24"/>
                <w:highlight w:val="none"/>
                <w:lang w:val="en-US" w:eastAsia="zh-CN"/>
              </w:rPr>
              <w:t>1</w:t>
            </w:r>
            <w:r>
              <w:rPr>
                <w:b/>
                <w:bCs/>
                <w:sz w:val="24"/>
                <w:szCs w:val="24"/>
                <w:highlight w:val="none"/>
              </w:rPr>
              <w:t>地表水污染影响分析</w:t>
            </w:r>
          </w:p>
          <w:p w14:paraId="58349584">
            <w:pPr>
              <w:spacing w:line="480" w:lineRule="exact"/>
              <w:ind w:firstLine="480" w:firstLineChars="200"/>
              <w:rPr>
                <w:rFonts w:hint="default" w:eastAsia="宋体"/>
                <w:color w:val="auto"/>
                <w:sz w:val="24"/>
                <w:szCs w:val="24"/>
                <w:highlight w:val="none"/>
                <w:lang w:val="en-US" w:eastAsia="zh-CN"/>
              </w:rPr>
            </w:pPr>
            <w:r>
              <w:rPr>
                <w:color w:val="auto"/>
                <w:sz w:val="24"/>
                <w:szCs w:val="24"/>
                <w:highlight w:val="none"/>
              </w:rPr>
              <w:t>1、</w:t>
            </w:r>
            <w:r>
              <w:rPr>
                <w:rFonts w:hint="eastAsia"/>
                <w:color w:val="auto"/>
                <w:sz w:val="24"/>
                <w:szCs w:val="24"/>
                <w:highlight w:val="none"/>
                <w:lang w:val="en-US" w:eastAsia="zh-CN"/>
              </w:rPr>
              <w:t>疏浚施工</w:t>
            </w:r>
          </w:p>
          <w:p w14:paraId="73B31B93">
            <w:pPr>
              <w:spacing w:line="480" w:lineRule="exact"/>
              <w:ind w:firstLine="480" w:firstLineChars="200"/>
              <w:jc w:val="both"/>
              <w:rPr>
                <w:color w:val="auto"/>
                <w:sz w:val="24"/>
                <w:highlight w:val="none"/>
              </w:rPr>
            </w:pPr>
            <w:r>
              <w:rPr>
                <w:color w:val="auto"/>
                <w:sz w:val="24"/>
                <w:highlight w:val="none"/>
              </w:rPr>
              <w:t>本</w:t>
            </w:r>
            <w:r>
              <w:rPr>
                <w:rFonts w:hint="eastAsia"/>
                <w:color w:val="auto"/>
                <w:sz w:val="24"/>
                <w:highlight w:val="none"/>
                <w:lang w:val="en-US" w:eastAsia="zh-CN"/>
              </w:rPr>
              <w:t>项目</w:t>
            </w:r>
            <w:r>
              <w:rPr>
                <w:color w:val="auto"/>
                <w:sz w:val="24"/>
                <w:highlight w:val="none"/>
              </w:rPr>
              <w:t>疏浚挖方量共计</w:t>
            </w:r>
            <w:r>
              <w:rPr>
                <w:rFonts w:hint="eastAsia"/>
                <w:color w:val="auto"/>
                <w:sz w:val="24"/>
                <w:highlight w:val="none"/>
                <w:lang w:val="en-US" w:eastAsia="zh-CN"/>
              </w:rPr>
              <w:t>26</w:t>
            </w:r>
            <w:r>
              <w:rPr>
                <w:color w:val="auto"/>
                <w:sz w:val="24"/>
                <w:highlight w:val="none"/>
              </w:rPr>
              <w:t>万m</w:t>
            </w:r>
            <w:r>
              <w:rPr>
                <w:color w:val="auto"/>
                <w:sz w:val="24"/>
                <w:highlight w:val="none"/>
                <w:vertAlign w:val="superscript"/>
              </w:rPr>
              <w:t>3</w:t>
            </w:r>
            <w:r>
              <w:rPr>
                <w:color w:val="auto"/>
                <w:sz w:val="24"/>
                <w:highlight w:val="none"/>
              </w:rPr>
              <w:t>，主要采用抓斗式挖泥船进行水下挖方。挖泥船挖泥过程中导致水体悬浮物浓度增加。</w:t>
            </w:r>
          </w:p>
          <w:p w14:paraId="2FF763EC">
            <w:pPr>
              <w:spacing w:line="480" w:lineRule="exact"/>
              <w:ind w:firstLine="480" w:firstLineChars="200"/>
              <w:jc w:val="both"/>
              <w:rPr>
                <w:color w:val="auto"/>
                <w:sz w:val="24"/>
                <w:highlight w:val="none"/>
              </w:rPr>
            </w:pPr>
            <w:r>
              <w:rPr>
                <w:color w:val="auto"/>
                <w:sz w:val="24"/>
                <w:highlight w:val="none"/>
              </w:rPr>
              <w:t>疏浚施工时基本上是定点作业，悬浮疏浚物的扩散机理类似于点源扩散。施工时由于引起水底扰动造成底泥悬浮并随流扩散，在施工区水域形成条状浑浊水体。</w:t>
            </w:r>
          </w:p>
          <w:p w14:paraId="06A47620">
            <w:pPr>
              <w:numPr>
                <w:ilvl w:val="0"/>
                <w:numId w:val="2"/>
              </w:numPr>
              <w:spacing w:line="480" w:lineRule="exact"/>
              <w:ind w:firstLine="480" w:firstLineChars="200"/>
              <w:jc w:val="both"/>
              <w:rPr>
                <w:rFonts w:hint="eastAsia"/>
                <w:color w:val="auto"/>
                <w:sz w:val="24"/>
                <w:highlight w:val="none"/>
                <w:lang w:val="en-US" w:eastAsia="zh-CN"/>
              </w:rPr>
            </w:pPr>
            <w:r>
              <w:rPr>
                <w:rFonts w:hint="eastAsia"/>
                <w:color w:val="auto"/>
                <w:sz w:val="24"/>
                <w:highlight w:val="none"/>
                <w:lang w:val="en-US" w:eastAsia="zh-CN"/>
              </w:rPr>
              <w:t>源强计算</w:t>
            </w:r>
          </w:p>
          <w:p w14:paraId="3488526F">
            <w:pPr>
              <w:spacing w:line="480" w:lineRule="exact"/>
              <w:ind w:firstLine="480" w:firstLineChars="200"/>
              <w:rPr>
                <w:color w:val="auto"/>
                <w:sz w:val="24"/>
                <w:highlight w:val="none"/>
              </w:rPr>
            </w:pPr>
            <w:r>
              <w:rPr>
                <w:color w:val="auto"/>
                <w:sz w:val="24"/>
                <w:highlight w:val="none"/>
              </w:rPr>
              <w:t>航道疏浚时，水下方主要采用抓斗式挖泥船疏浚，主要污染物为悬浮物，疏浚作业对河道底泥的扰动将造成施工水域悬浮物浓度增加。</w:t>
            </w:r>
          </w:p>
          <w:p w14:paraId="70B70102">
            <w:pPr>
              <w:spacing w:line="480" w:lineRule="exact"/>
              <w:ind w:firstLine="480" w:firstLineChars="200"/>
              <w:rPr>
                <w:color w:val="auto"/>
                <w:sz w:val="24"/>
                <w:highlight w:val="none"/>
              </w:rPr>
            </w:pPr>
            <w:r>
              <w:rPr>
                <w:color w:val="auto"/>
                <w:sz w:val="24"/>
                <w:highlight w:val="none"/>
              </w:rPr>
              <w:t>航道疏浚挖泥作业产生的悬浮物发生量按《水运工程建设项目环境影响评价指南》（JTS/T105—2021）中推荐的公式进行测算：</w:t>
            </w:r>
          </w:p>
          <w:p w14:paraId="494B8357">
            <w:pPr>
              <w:ind w:firstLine="420" w:firstLineChars="200"/>
              <w:jc w:val="center"/>
              <w:rPr>
                <w:color w:val="auto"/>
                <w:kern w:val="24"/>
                <w:sz w:val="24"/>
                <w:highlight w:val="none"/>
              </w:rPr>
            </w:pPr>
            <w:r>
              <w:rPr>
                <w:color w:val="auto"/>
                <w:position w:val="-30"/>
                <w:highlight w:val="none"/>
              </w:rPr>
              <w:drawing>
                <wp:inline distT="0" distB="0" distL="114300" distR="114300">
                  <wp:extent cx="1095375" cy="523875"/>
                  <wp:effectExtent l="0" t="0" r="952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1095375" cy="523875"/>
                          </a:xfrm>
                          <a:prstGeom prst="rect">
                            <a:avLst/>
                          </a:prstGeom>
                          <a:noFill/>
                          <a:ln>
                            <a:noFill/>
                          </a:ln>
                        </pic:spPr>
                      </pic:pic>
                    </a:graphicData>
                  </a:graphic>
                </wp:inline>
              </w:drawing>
            </w:r>
          </w:p>
          <w:p w14:paraId="7A25304A">
            <w:pPr>
              <w:spacing w:line="480" w:lineRule="exact"/>
              <w:ind w:firstLine="200"/>
              <w:rPr>
                <w:color w:val="auto"/>
                <w:kern w:val="24"/>
                <w:sz w:val="24"/>
                <w:highlight w:val="none"/>
              </w:rPr>
            </w:pPr>
            <w:r>
              <w:rPr>
                <w:color w:val="auto"/>
                <w:kern w:val="24"/>
                <w:sz w:val="24"/>
                <w:highlight w:val="none"/>
              </w:rPr>
              <w:t>式中：Q——疏浚作业悬浮物发生量（t/h）；</w:t>
            </w:r>
          </w:p>
          <w:p w14:paraId="4C767E75">
            <w:pPr>
              <w:spacing w:line="480" w:lineRule="exact"/>
              <w:ind w:firstLine="480" w:firstLineChars="200"/>
              <w:rPr>
                <w:color w:val="auto"/>
                <w:kern w:val="24"/>
                <w:sz w:val="24"/>
                <w:highlight w:val="none"/>
              </w:rPr>
            </w:pPr>
            <w:r>
              <w:rPr>
                <w:color w:val="auto"/>
                <w:kern w:val="24"/>
                <w:sz w:val="24"/>
                <w:highlight w:val="none"/>
              </w:rPr>
              <w:t>R——现场流速悬浮物临界离子累计百分比（%），取89.2；</w:t>
            </w:r>
          </w:p>
          <w:p w14:paraId="63E88E3A">
            <w:pPr>
              <w:spacing w:line="480" w:lineRule="exact"/>
              <w:ind w:firstLine="480" w:firstLineChars="200"/>
              <w:rPr>
                <w:color w:val="auto"/>
                <w:kern w:val="24"/>
                <w:sz w:val="24"/>
                <w:highlight w:val="none"/>
              </w:rPr>
            </w:pPr>
            <w:r>
              <w:rPr>
                <w:color w:val="auto"/>
                <w:kern w:val="24"/>
                <w:sz w:val="24"/>
                <w:highlight w:val="none"/>
              </w:rPr>
              <w:t>R</w:t>
            </w:r>
            <w:r>
              <w:rPr>
                <w:color w:val="auto"/>
                <w:kern w:val="24"/>
                <w:sz w:val="24"/>
                <w:highlight w:val="none"/>
                <w:vertAlign w:val="subscript"/>
              </w:rPr>
              <w:t>0</w:t>
            </w:r>
            <w:r>
              <w:rPr>
                <w:color w:val="auto"/>
                <w:kern w:val="24"/>
                <w:sz w:val="24"/>
                <w:highlight w:val="none"/>
              </w:rPr>
              <w:t>——发生系数为W</w:t>
            </w:r>
            <w:r>
              <w:rPr>
                <w:color w:val="auto"/>
                <w:kern w:val="24"/>
                <w:sz w:val="24"/>
                <w:highlight w:val="none"/>
                <w:vertAlign w:val="subscript"/>
              </w:rPr>
              <w:t>0</w:t>
            </w:r>
            <w:r>
              <w:rPr>
                <w:color w:val="auto"/>
                <w:kern w:val="24"/>
                <w:sz w:val="24"/>
                <w:highlight w:val="none"/>
              </w:rPr>
              <w:t>时的悬浮物粒径累计百分比（%），根据规范取80.2；</w:t>
            </w:r>
          </w:p>
          <w:p w14:paraId="616D15FC">
            <w:pPr>
              <w:spacing w:line="480" w:lineRule="exact"/>
              <w:ind w:firstLine="480" w:firstLineChars="200"/>
              <w:rPr>
                <w:color w:val="auto"/>
                <w:sz w:val="24"/>
                <w:highlight w:val="none"/>
              </w:rPr>
            </w:pPr>
            <w:r>
              <w:rPr>
                <w:color w:val="auto"/>
                <w:kern w:val="24"/>
                <w:sz w:val="24"/>
                <w:highlight w:val="none"/>
              </w:rPr>
              <w:t>T——挖泥船疏浚效率（m</w:t>
            </w:r>
            <w:r>
              <w:rPr>
                <w:color w:val="auto"/>
                <w:kern w:val="24"/>
                <w:sz w:val="24"/>
                <w:highlight w:val="none"/>
                <w:vertAlign w:val="superscript"/>
              </w:rPr>
              <w:t>3</w:t>
            </w:r>
            <w:r>
              <w:rPr>
                <w:color w:val="auto"/>
                <w:kern w:val="24"/>
                <w:sz w:val="24"/>
                <w:highlight w:val="none"/>
              </w:rPr>
              <w:t>/h），</w:t>
            </w:r>
            <w:r>
              <w:rPr>
                <w:color w:val="auto"/>
                <w:sz w:val="24"/>
                <w:highlight w:val="none"/>
              </w:rPr>
              <w:t>根据本项目疏浚工程量和施工计划，本项目主要采用抓斗式挖泥船挖淤泥，单艘挖泥船疏浚</w:t>
            </w:r>
            <w:r>
              <w:rPr>
                <w:rFonts w:hint="eastAsia"/>
                <w:color w:val="auto"/>
                <w:sz w:val="24"/>
                <w:highlight w:val="none"/>
                <w:lang w:eastAsia="zh-CN"/>
              </w:rPr>
              <w:t>效率</w:t>
            </w:r>
            <w:r>
              <w:rPr>
                <w:color w:val="auto"/>
                <w:sz w:val="24"/>
                <w:highlight w:val="none"/>
              </w:rPr>
              <w:t>为150m</w:t>
            </w:r>
            <w:r>
              <w:rPr>
                <w:color w:val="auto"/>
                <w:sz w:val="24"/>
                <w:highlight w:val="none"/>
                <w:vertAlign w:val="superscript"/>
              </w:rPr>
              <w:t>3</w:t>
            </w:r>
            <w:r>
              <w:rPr>
                <w:color w:val="auto"/>
                <w:sz w:val="24"/>
                <w:highlight w:val="none"/>
              </w:rPr>
              <w:t>/h</w:t>
            </w:r>
            <w:r>
              <w:rPr>
                <w:color w:val="auto"/>
                <w:kern w:val="24"/>
                <w:sz w:val="24"/>
                <w:highlight w:val="none"/>
              </w:rPr>
              <w:t>；</w:t>
            </w:r>
          </w:p>
          <w:p w14:paraId="1835D4E0">
            <w:pPr>
              <w:spacing w:line="480" w:lineRule="exact"/>
              <w:ind w:firstLine="480" w:firstLineChars="200"/>
              <w:rPr>
                <w:color w:val="auto"/>
                <w:kern w:val="24"/>
                <w:sz w:val="24"/>
                <w:highlight w:val="none"/>
              </w:rPr>
            </w:pPr>
            <w:r>
              <w:rPr>
                <w:color w:val="auto"/>
                <w:kern w:val="24"/>
                <w:sz w:val="24"/>
                <w:highlight w:val="none"/>
              </w:rPr>
              <w:t>W</w:t>
            </w:r>
            <w:r>
              <w:rPr>
                <w:color w:val="auto"/>
                <w:kern w:val="24"/>
                <w:sz w:val="24"/>
                <w:highlight w:val="none"/>
                <w:vertAlign w:val="subscript"/>
              </w:rPr>
              <w:t>0</w:t>
            </w:r>
            <w:r>
              <w:rPr>
                <w:color w:val="auto"/>
                <w:kern w:val="24"/>
                <w:sz w:val="24"/>
                <w:highlight w:val="none"/>
              </w:rPr>
              <w:t>——悬浮物发生系数（t/m</w:t>
            </w:r>
            <w:r>
              <w:rPr>
                <w:color w:val="auto"/>
                <w:kern w:val="24"/>
                <w:sz w:val="24"/>
                <w:highlight w:val="none"/>
                <w:vertAlign w:val="superscript"/>
              </w:rPr>
              <w:t>3）</w:t>
            </w:r>
            <w:r>
              <w:rPr>
                <w:color w:val="auto"/>
                <w:kern w:val="24"/>
                <w:sz w:val="24"/>
                <w:highlight w:val="none"/>
              </w:rPr>
              <w:t>，根据规范</w:t>
            </w:r>
            <w:r>
              <w:rPr>
                <w:color w:val="auto"/>
                <w:sz w:val="24"/>
                <w:highlight w:val="none"/>
              </w:rPr>
              <w:t>取0.038t/m</w:t>
            </w:r>
            <w:r>
              <w:rPr>
                <w:color w:val="auto"/>
                <w:sz w:val="24"/>
                <w:highlight w:val="none"/>
                <w:vertAlign w:val="superscript"/>
              </w:rPr>
              <w:t>3</w:t>
            </w:r>
            <w:r>
              <w:rPr>
                <w:color w:val="auto"/>
                <w:kern w:val="24"/>
                <w:sz w:val="24"/>
                <w:highlight w:val="none"/>
              </w:rPr>
              <w:t>。</w:t>
            </w:r>
          </w:p>
          <w:p w14:paraId="52CBCBD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color w:val="auto"/>
                <w:sz w:val="24"/>
                <w:highlight w:val="none"/>
                <w:lang w:val="en-US" w:eastAsia="zh-CN"/>
              </w:rPr>
            </w:pPr>
            <w:r>
              <w:rPr>
                <w:rFonts w:hint="eastAsia"/>
                <w:color w:val="auto"/>
                <w:sz w:val="24"/>
                <w:highlight w:val="none"/>
              </w:rPr>
              <w:t>综上，</w:t>
            </w:r>
            <w:r>
              <w:rPr>
                <w:color w:val="auto"/>
                <w:sz w:val="24"/>
                <w:highlight w:val="none"/>
              </w:rPr>
              <w:t>本项目航道挖泥船疏浚悬浮物源强分别为6.34t/h，即1.76kg/s。</w:t>
            </w:r>
          </w:p>
          <w:p w14:paraId="75C780BA">
            <w:pPr>
              <w:spacing w:line="480" w:lineRule="exact"/>
              <w:ind w:firstLine="480" w:firstLineChars="200"/>
              <w:rPr>
                <w:color w:val="auto"/>
                <w:sz w:val="24"/>
                <w:highlight w:val="none"/>
              </w:rPr>
            </w:pPr>
            <w:r>
              <w:rPr>
                <w:rFonts w:hint="eastAsia"/>
                <w:color w:val="auto"/>
                <w:sz w:val="24"/>
                <w:highlight w:val="none"/>
                <w:lang w:val="en-US" w:eastAsia="zh-CN"/>
              </w:rPr>
              <w:t>b</w:t>
            </w:r>
            <w:r>
              <w:rPr>
                <w:color w:val="auto"/>
                <w:sz w:val="24"/>
                <w:highlight w:val="none"/>
              </w:rPr>
              <w:t>、预测模型</w:t>
            </w:r>
          </w:p>
          <w:p w14:paraId="4B37A618">
            <w:pPr>
              <w:spacing w:line="480" w:lineRule="exact"/>
              <w:ind w:firstLine="480" w:firstLineChars="200"/>
              <w:rPr>
                <w:color w:val="auto"/>
                <w:kern w:val="0"/>
                <w:sz w:val="7"/>
                <w:highlight w:val="none"/>
              </w:rPr>
            </w:pPr>
            <w:r>
              <w:rPr>
                <w:color w:val="auto"/>
                <w:sz w:val="24"/>
                <w:highlight w:val="none"/>
              </w:rPr>
              <w:t>根据导则，选取瞬时排放，离岸点源排放二维数学模型进行预测：</w:t>
            </w:r>
          </w:p>
          <w:p w14:paraId="22B844A1">
            <w:pPr>
              <w:widowControl w:val="0"/>
              <w:autoSpaceDE w:val="0"/>
              <w:autoSpaceDN w:val="0"/>
              <w:ind w:firstLine="800" w:firstLineChars="400"/>
              <w:rPr>
                <w:color w:val="auto"/>
                <w:kern w:val="0"/>
                <w:sz w:val="20"/>
                <w:highlight w:val="none"/>
              </w:rPr>
            </w:pPr>
            <w:r>
              <w:rPr>
                <w:color w:val="auto"/>
                <w:kern w:val="0"/>
                <w:sz w:val="20"/>
                <w:highlight w:val="none"/>
              </w:rPr>
              <w:drawing>
                <wp:inline distT="0" distB="0" distL="114300" distR="114300">
                  <wp:extent cx="4600575" cy="1038225"/>
                  <wp:effectExtent l="0" t="0" r="9525" b="9525"/>
                  <wp:docPr id="2" name="图片 3" descr="企业微信截图_1704436099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企业微信截图_17044360995616"/>
                          <pic:cNvPicPr>
                            <a:picLocks noChangeAspect="1"/>
                          </pic:cNvPicPr>
                        </pic:nvPicPr>
                        <pic:blipFill>
                          <a:blip r:embed="rId26"/>
                          <a:stretch>
                            <a:fillRect/>
                          </a:stretch>
                        </pic:blipFill>
                        <pic:spPr>
                          <a:xfrm>
                            <a:off x="0" y="0"/>
                            <a:ext cx="4600575" cy="1038225"/>
                          </a:xfrm>
                          <a:prstGeom prst="rect">
                            <a:avLst/>
                          </a:prstGeom>
                          <a:noFill/>
                          <a:ln>
                            <a:noFill/>
                          </a:ln>
                        </pic:spPr>
                      </pic:pic>
                    </a:graphicData>
                  </a:graphic>
                </wp:inline>
              </w:drawing>
            </w:r>
          </w:p>
          <w:p w14:paraId="529506B6">
            <w:pPr>
              <w:widowControl w:val="0"/>
              <w:autoSpaceDE w:val="0"/>
              <w:autoSpaceDN w:val="0"/>
              <w:spacing w:before="3"/>
              <w:rPr>
                <w:color w:val="auto"/>
                <w:kern w:val="0"/>
                <w:sz w:val="15"/>
                <w:highlight w:val="none"/>
              </w:rPr>
            </w:pPr>
          </w:p>
          <w:p w14:paraId="7D7C56E8">
            <w:pPr>
              <w:widowControl w:val="0"/>
              <w:autoSpaceDE w:val="0"/>
              <w:autoSpaceDN w:val="0"/>
              <w:spacing w:before="66"/>
              <w:ind w:left="540"/>
              <w:rPr>
                <w:color w:val="auto"/>
                <w:kern w:val="0"/>
                <w:sz w:val="24"/>
                <w:highlight w:val="none"/>
              </w:rPr>
            </w:pPr>
            <w:r>
              <w:rPr>
                <w:color w:val="auto"/>
                <w:kern w:val="0"/>
                <w:sz w:val="24"/>
                <w:highlight w:val="none"/>
              </w:rPr>
              <w:t>上式中：</w:t>
            </w:r>
          </w:p>
          <w:p w14:paraId="356BC56D">
            <w:pPr>
              <w:widowControl w:val="0"/>
              <w:autoSpaceDE w:val="0"/>
              <w:autoSpaceDN w:val="0"/>
              <w:spacing w:line="480" w:lineRule="exact"/>
              <w:ind w:firstLine="566" w:firstLineChars="236"/>
              <w:rPr>
                <w:color w:val="auto"/>
                <w:spacing w:val="-4"/>
                <w:kern w:val="0"/>
                <w:sz w:val="24"/>
                <w:highlight w:val="none"/>
              </w:rPr>
            </w:pPr>
            <w:r>
              <w:rPr>
                <w:rFonts w:eastAsia="Times New Roman"/>
                <w:i/>
                <w:color w:val="auto"/>
                <w:kern w:val="0"/>
                <w:sz w:val="24"/>
                <w:highlight w:val="none"/>
              </w:rPr>
              <w:t>C</w:t>
            </w:r>
            <w:r>
              <w:rPr>
                <w:rFonts w:eastAsia="Times New Roman"/>
                <w:b/>
                <w:color w:val="auto"/>
                <w:kern w:val="0"/>
                <w:sz w:val="24"/>
                <w:highlight w:val="none"/>
              </w:rPr>
              <w:t>--</w:t>
            </w:r>
            <w:r>
              <w:rPr>
                <w:color w:val="auto"/>
                <w:kern w:val="0"/>
                <w:sz w:val="24"/>
                <w:highlight w:val="none"/>
              </w:rPr>
              <w:t>预测点</w:t>
            </w:r>
            <w:r>
              <w:rPr>
                <w:rFonts w:hint="eastAsia"/>
                <w:color w:val="auto"/>
                <w:kern w:val="0"/>
                <w:sz w:val="24"/>
                <w:highlight w:val="none"/>
                <w:lang w:eastAsia="zh-CN"/>
              </w:rPr>
              <w:t>（</w:t>
            </w:r>
            <w:r>
              <w:rPr>
                <w:rFonts w:eastAsia="Times New Roman"/>
                <w:color w:val="auto"/>
                <w:kern w:val="0"/>
                <w:sz w:val="24"/>
                <w:highlight w:val="none"/>
              </w:rPr>
              <w:t>x</w:t>
            </w:r>
            <w:r>
              <w:rPr>
                <w:color w:val="auto"/>
                <w:kern w:val="0"/>
                <w:sz w:val="24"/>
                <w:highlight w:val="none"/>
              </w:rPr>
              <w:t>,y,t</w:t>
            </w:r>
            <w:r>
              <w:rPr>
                <w:rFonts w:hint="eastAsia"/>
                <w:color w:val="auto"/>
                <w:kern w:val="0"/>
                <w:sz w:val="24"/>
                <w:highlight w:val="none"/>
                <w:lang w:eastAsia="zh-CN"/>
              </w:rPr>
              <w:t>）</w:t>
            </w:r>
            <w:r>
              <w:rPr>
                <w:color w:val="auto"/>
                <w:spacing w:val="-1"/>
                <w:kern w:val="0"/>
                <w:sz w:val="24"/>
                <w:highlight w:val="none"/>
              </w:rPr>
              <w:t>处污染物的浓度，</w:t>
            </w:r>
            <w:r>
              <w:rPr>
                <w:rFonts w:eastAsia="Times New Roman"/>
                <w:color w:val="auto"/>
                <w:spacing w:val="-4"/>
                <w:kern w:val="0"/>
                <w:sz w:val="24"/>
                <w:highlight w:val="none"/>
              </w:rPr>
              <w:t>mg/l</w:t>
            </w:r>
            <w:r>
              <w:rPr>
                <w:color w:val="auto"/>
                <w:spacing w:val="-4"/>
                <w:kern w:val="0"/>
                <w:sz w:val="24"/>
                <w:highlight w:val="none"/>
              </w:rPr>
              <w:t>；</w:t>
            </w:r>
          </w:p>
          <w:p w14:paraId="0511C3C2">
            <w:pPr>
              <w:widowControl w:val="0"/>
              <w:autoSpaceDE w:val="0"/>
              <w:autoSpaceDN w:val="0"/>
              <w:spacing w:line="480" w:lineRule="exact"/>
              <w:ind w:firstLine="566" w:firstLineChars="236"/>
              <w:rPr>
                <w:color w:val="auto"/>
                <w:kern w:val="0"/>
                <w:sz w:val="24"/>
                <w:szCs w:val="22"/>
                <w:highlight w:val="none"/>
              </w:rPr>
            </w:pPr>
            <w:r>
              <w:rPr>
                <w:rFonts w:eastAsia="Times New Roman"/>
                <w:i/>
                <w:color w:val="auto"/>
                <w:kern w:val="0"/>
                <w:sz w:val="24"/>
                <w:szCs w:val="22"/>
                <w:highlight w:val="none"/>
              </w:rPr>
              <w:t>x</w:t>
            </w:r>
            <w:r>
              <w:rPr>
                <w:rFonts w:eastAsia="Times New Roman"/>
                <w:b/>
                <w:color w:val="auto"/>
                <w:kern w:val="0"/>
                <w:sz w:val="24"/>
                <w:szCs w:val="22"/>
                <w:highlight w:val="none"/>
              </w:rPr>
              <w:t>--</w:t>
            </w:r>
            <w:r>
              <w:rPr>
                <w:color w:val="auto"/>
                <w:kern w:val="0"/>
                <w:sz w:val="24"/>
                <w:szCs w:val="22"/>
                <w:highlight w:val="none"/>
              </w:rPr>
              <w:t>预测点离排放点的距离，</w:t>
            </w:r>
            <w:r>
              <w:rPr>
                <w:rFonts w:eastAsia="Times New Roman"/>
                <w:color w:val="auto"/>
                <w:kern w:val="0"/>
                <w:sz w:val="24"/>
                <w:szCs w:val="22"/>
                <w:highlight w:val="none"/>
              </w:rPr>
              <w:t>m</w:t>
            </w:r>
            <w:r>
              <w:rPr>
                <w:color w:val="auto"/>
                <w:kern w:val="0"/>
                <w:sz w:val="24"/>
                <w:szCs w:val="22"/>
                <w:highlight w:val="none"/>
              </w:rPr>
              <w:t>；</w:t>
            </w:r>
          </w:p>
          <w:p w14:paraId="693B3CC6">
            <w:pPr>
              <w:widowControl w:val="0"/>
              <w:autoSpaceDE w:val="0"/>
              <w:autoSpaceDN w:val="0"/>
              <w:spacing w:line="480" w:lineRule="exact"/>
              <w:ind w:firstLine="566" w:firstLineChars="236"/>
              <w:rPr>
                <w:color w:val="auto"/>
                <w:kern w:val="0"/>
                <w:sz w:val="24"/>
                <w:highlight w:val="none"/>
              </w:rPr>
            </w:pPr>
            <w:r>
              <w:rPr>
                <w:rFonts w:eastAsia="Times New Roman"/>
                <w:i/>
                <w:color w:val="auto"/>
                <w:kern w:val="0"/>
                <w:sz w:val="24"/>
                <w:highlight w:val="none"/>
              </w:rPr>
              <w:t>y</w:t>
            </w:r>
            <w:r>
              <w:rPr>
                <w:rFonts w:eastAsia="Times New Roman"/>
                <w:b/>
                <w:color w:val="auto"/>
                <w:spacing w:val="-1"/>
                <w:kern w:val="0"/>
                <w:sz w:val="24"/>
                <w:highlight w:val="none"/>
              </w:rPr>
              <w:t>--</w:t>
            </w:r>
            <w:r>
              <w:rPr>
                <w:color w:val="auto"/>
                <w:kern w:val="0"/>
                <w:sz w:val="24"/>
                <w:highlight w:val="none"/>
              </w:rPr>
              <w:t>预测点离排放口的横向距离（不是离岸距离），</w:t>
            </w:r>
            <w:r>
              <w:rPr>
                <w:rFonts w:eastAsia="Times New Roman"/>
                <w:color w:val="auto"/>
                <w:kern w:val="0"/>
                <w:sz w:val="24"/>
                <w:highlight w:val="none"/>
              </w:rPr>
              <w:t>m</w:t>
            </w:r>
            <w:r>
              <w:rPr>
                <w:color w:val="auto"/>
                <w:kern w:val="0"/>
                <w:sz w:val="24"/>
                <w:highlight w:val="none"/>
              </w:rPr>
              <w:t>；</w:t>
            </w:r>
          </w:p>
          <w:p w14:paraId="7C330D80">
            <w:pPr>
              <w:widowControl w:val="0"/>
              <w:autoSpaceDE w:val="0"/>
              <w:autoSpaceDN w:val="0"/>
              <w:spacing w:line="480" w:lineRule="exact"/>
              <w:ind w:firstLine="566" w:firstLineChars="236"/>
              <w:rPr>
                <w:color w:val="auto"/>
                <w:kern w:val="0"/>
                <w:sz w:val="24"/>
                <w:highlight w:val="none"/>
              </w:rPr>
            </w:pPr>
            <w:r>
              <w:rPr>
                <w:color w:val="auto"/>
                <w:kern w:val="0"/>
                <w:sz w:val="24"/>
                <w:highlight w:val="none"/>
              </w:rPr>
              <w:t>t--时间，s；</w:t>
            </w:r>
          </w:p>
          <w:p w14:paraId="57DD6BF0">
            <w:pPr>
              <w:widowControl w:val="0"/>
              <w:autoSpaceDE w:val="0"/>
              <w:autoSpaceDN w:val="0"/>
              <w:spacing w:line="480" w:lineRule="exact"/>
              <w:ind w:firstLine="566" w:firstLineChars="236"/>
              <w:rPr>
                <w:color w:val="auto"/>
                <w:kern w:val="0"/>
                <w:sz w:val="24"/>
                <w:highlight w:val="none"/>
              </w:rPr>
            </w:pPr>
            <w:r>
              <w:rPr>
                <w:rFonts w:eastAsia="Times New Roman"/>
                <w:i/>
                <w:color w:val="auto"/>
                <w:kern w:val="0"/>
                <w:position w:val="2"/>
                <w:sz w:val="24"/>
                <w:szCs w:val="22"/>
                <w:highlight w:val="none"/>
              </w:rPr>
              <w:t>C</w:t>
            </w:r>
            <w:r>
              <w:rPr>
                <w:rFonts w:eastAsia="Times New Roman"/>
                <w:i/>
                <w:color w:val="auto"/>
                <w:kern w:val="0"/>
                <w:sz w:val="16"/>
                <w:szCs w:val="22"/>
                <w:highlight w:val="none"/>
              </w:rPr>
              <w:t>h</w:t>
            </w:r>
            <w:r>
              <w:rPr>
                <w:rFonts w:eastAsia="Times New Roman"/>
                <w:i/>
                <w:color w:val="auto"/>
                <w:kern w:val="0"/>
                <w:position w:val="2"/>
                <w:sz w:val="24"/>
                <w:szCs w:val="22"/>
                <w:highlight w:val="none"/>
              </w:rPr>
              <w:t>--</w:t>
            </w:r>
            <w:r>
              <w:rPr>
                <w:color w:val="auto"/>
                <w:kern w:val="0"/>
                <w:position w:val="2"/>
                <w:sz w:val="24"/>
                <w:szCs w:val="22"/>
                <w:highlight w:val="none"/>
              </w:rPr>
              <w:t>河流中污染物的本底浓度，</w:t>
            </w:r>
            <w:r>
              <w:rPr>
                <w:rFonts w:eastAsia="Times New Roman"/>
                <w:color w:val="auto"/>
                <w:kern w:val="0"/>
                <w:position w:val="2"/>
                <w:sz w:val="24"/>
                <w:szCs w:val="22"/>
                <w:highlight w:val="none"/>
              </w:rPr>
              <w:t>mg/L</w:t>
            </w:r>
          </w:p>
          <w:p w14:paraId="29BA036E">
            <w:pPr>
              <w:widowControl w:val="0"/>
              <w:autoSpaceDE w:val="0"/>
              <w:autoSpaceDN w:val="0"/>
              <w:spacing w:line="480" w:lineRule="exact"/>
              <w:ind w:firstLine="566" w:firstLineChars="236"/>
              <w:rPr>
                <w:color w:val="auto"/>
                <w:kern w:val="0"/>
                <w:sz w:val="24"/>
                <w:highlight w:val="none"/>
              </w:rPr>
            </w:pPr>
            <w:r>
              <w:rPr>
                <w:i/>
                <w:color w:val="auto"/>
                <w:kern w:val="0"/>
                <w:sz w:val="24"/>
                <w:highlight w:val="none"/>
              </w:rPr>
              <w:t>M</w:t>
            </w:r>
            <w:r>
              <w:rPr>
                <w:rFonts w:eastAsia="Times New Roman"/>
                <w:i/>
                <w:color w:val="auto"/>
                <w:kern w:val="0"/>
                <w:sz w:val="24"/>
                <w:highlight w:val="none"/>
              </w:rPr>
              <w:t>--</w:t>
            </w:r>
            <w:r>
              <w:rPr>
                <w:color w:val="auto"/>
                <w:kern w:val="0"/>
                <w:sz w:val="24"/>
                <w:highlight w:val="none"/>
              </w:rPr>
              <w:t>污染物的瞬时排放总质量，</w:t>
            </w:r>
            <w:r>
              <w:rPr>
                <w:rFonts w:eastAsia="Times New Roman"/>
                <w:color w:val="auto"/>
                <w:kern w:val="0"/>
                <w:sz w:val="24"/>
                <w:highlight w:val="none"/>
              </w:rPr>
              <w:t>g</w:t>
            </w:r>
            <w:r>
              <w:rPr>
                <w:color w:val="auto"/>
                <w:kern w:val="0"/>
                <w:sz w:val="24"/>
                <w:highlight w:val="none"/>
              </w:rPr>
              <w:t>；</w:t>
            </w:r>
          </w:p>
          <w:p w14:paraId="4061FC57">
            <w:pPr>
              <w:widowControl w:val="0"/>
              <w:autoSpaceDE w:val="0"/>
              <w:autoSpaceDN w:val="0"/>
              <w:spacing w:line="480" w:lineRule="exact"/>
              <w:ind w:firstLine="566" w:firstLineChars="236"/>
              <w:rPr>
                <w:color w:val="auto"/>
                <w:kern w:val="0"/>
                <w:sz w:val="24"/>
                <w:highlight w:val="none"/>
              </w:rPr>
            </w:pPr>
            <w:r>
              <w:rPr>
                <w:i/>
                <w:color w:val="auto"/>
                <w:kern w:val="0"/>
                <w:sz w:val="24"/>
                <w:highlight w:val="none"/>
              </w:rPr>
              <w:t>h</w:t>
            </w:r>
            <w:r>
              <w:rPr>
                <w:rFonts w:eastAsia="Times New Roman"/>
                <w:b/>
                <w:color w:val="auto"/>
                <w:kern w:val="0"/>
                <w:sz w:val="24"/>
                <w:highlight w:val="none"/>
              </w:rPr>
              <w:t>--</w:t>
            </w:r>
            <w:r>
              <w:rPr>
                <w:color w:val="auto"/>
                <w:kern w:val="0"/>
                <w:sz w:val="24"/>
                <w:highlight w:val="none"/>
              </w:rPr>
              <w:t>断面水深，</w:t>
            </w:r>
            <w:r>
              <w:rPr>
                <w:rFonts w:eastAsia="Times New Roman"/>
                <w:color w:val="auto"/>
                <w:kern w:val="0"/>
                <w:sz w:val="24"/>
                <w:highlight w:val="none"/>
              </w:rPr>
              <w:t>m</w:t>
            </w:r>
            <w:r>
              <w:rPr>
                <w:color w:val="auto"/>
                <w:kern w:val="0"/>
                <w:sz w:val="24"/>
                <w:highlight w:val="none"/>
              </w:rPr>
              <w:t>；</w:t>
            </w:r>
          </w:p>
          <w:p w14:paraId="0F10835C">
            <w:pPr>
              <w:widowControl w:val="0"/>
              <w:autoSpaceDE w:val="0"/>
              <w:autoSpaceDN w:val="0"/>
              <w:spacing w:line="480" w:lineRule="exact"/>
              <w:ind w:firstLine="566" w:firstLineChars="236"/>
              <w:rPr>
                <w:rFonts w:eastAsia="Times New Roman"/>
                <w:i/>
                <w:color w:val="auto"/>
                <w:kern w:val="0"/>
                <w:position w:val="2"/>
                <w:sz w:val="24"/>
                <w:szCs w:val="22"/>
                <w:highlight w:val="none"/>
              </w:rPr>
            </w:pPr>
            <w:r>
              <w:rPr>
                <w:rFonts w:eastAsia="Times New Roman"/>
                <w:i/>
                <w:color w:val="auto"/>
                <w:kern w:val="0"/>
                <w:position w:val="2"/>
                <w:sz w:val="24"/>
                <w:szCs w:val="22"/>
                <w:highlight w:val="none"/>
              </w:rPr>
              <w:t>E</w:t>
            </w:r>
            <w:r>
              <w:rPr>
                <w:i/>
                <w:color w:val="auto"/>
                <w:kern w:val="0"/>
                <w:position w:val="2"/>
                <w:sz w:val="24"/>
                <w:szCs w:val="22"/>
                <w:highlight w:val="none"/>
                <w:vertAlign w:val="subscript"/>
              </w:rPr>
              <w:t>X</w:t>
            </w:r>
            <w:r>
              <w:rPr>
                <w:rFonts w:eastAsia="Times New Roman"/>
                <w:b/>
                <w:color w:val="auto"/>
                <w:kern w:val="0"/>
                <w:position w:val="2"/>
                <w:sz w:val="24"/>
                <w:szCs w:val="22"/>
                <w:highlight w:val="none"/>
              </w:rPr>
              <w:t>–</w:t>
            </w:r>
            <w:r>
              <w:rPr>
                <w:color w:val="auto"/>
                <w:kern w:val="0"/>
                <w:position w:val="2"/>
                <w:sz w:val="24"/>
                <w:szCs w:val="22"/>
                <w:highlight w:val="none"/>
              </w:rPr>
              <w:t>污染物纵向扩散系数，</w:t>
            </w:r>
            <w:r>
              <w:rPr>
                <w:rFonts w:eastAsia="Times New Roman"/>
                <w:color w:val="auto"/>
                <w:kern w:val="0"/>
                <w:position w:val="2"/>
                <w:sz w:val="24"/>
                <w:szCs w:val="22"/>
                <w:highlight w:val="none"/>
              </w:rPr>
              <w:t>m</w:t>
            </w:r>
            <w:r>
              <w:rPr>
                <w:rFonts w:eastAsia="Times New Roman"/>
                <w:color w:val="auto"/>
                <w:kern w:val="0"/>
                <w:position w:val="2"/>
                <w:sz w:val="24"/>
                <w:szCs w:val="22"/>
                <w:highlight w:val="none"/>
                <w:vertAlign w:val="superscript"/>
              </w:rPr>
              <w:t>2</w:t>
            </w:r>
            <w:r>
              <w:rPr>
                <w:rFonts w:eastAsia="Times New Roman"/>
                <w:color w:val="auto"/>
                <w:kern w:val="0"/>
                <w:position w:val="2"/>
                <w:sz w:val="24"/>
                <w:szCs w:val="22"/>
                <w:highlight w:val="none"/>
              </w:rPr>
              <w:t>/s</w:t>
            </w:r>
            <w:r>
              <w:rPr>
                <w:color w:val="auto"/>
                <w:kern w:val="0"/>
                <w:position w:val="2"/>
                <w:sz w:val="24"/>
                <w:szCs w:val="22"/>
                <w:highlight w:val="none"/>
              </w:rPr>
              <w:t>；</w:t>
            </w:r>
          </w:p>
          <w:p w14:paraId="301135B8">
            <w:pPr>
              <w:widowControl w:val="0"/>
              <w:autoSpaceDE w:val="0"/>
              <w:autoSpaceDN w:val="0"/>
              <w:spacing w:line="480" w:lineRule="exact"/>
              <w:ind w:firstLine="566" w:firstLineChars="236"/>
              <w:rPr>
                <w:color w:val="auto"/>
                <w:kern w:val="0"/>
                <w:sz w:val="24"/>
                <w:szCs w:val="22"/>
                <w:highlight w:val="none"/>
              </w:rPr>
            </w:pPr>
            <w:r>
              <w:rPr>
                <w:rFonts w:eastAsia="Times New Roman"/>
                <w:i/>
                <w:color w:val="auto"/>
                <w:kern w:val="0"/>
                <w:position w:val="2"/>
                <w:sz w:val="24"/>
                <w:szCs w:val="22"/>
                <w:highlight w:val="none"/>
              </w:rPr>
              <w:t>E</w:t>
            </w:r>
            <w:r>
              <w:rPr>
                <w:i/>
                <w:color w:val="auto"/>
                <w:kern w:val="0"/>
                <w:sz w:val="16"/>
                <w:szCs w:val="22"/>
                <w:highlight w:val="none"/>
              </w:rPr>
              <w:t>y</w:t>
            </w:r>
            <w:r>
              <w:rPr>
                <w:rFonts w:eastAsia="Times New Roman"/>
                <w:b/>
                <w:color w:val="auto"/>
                <w:kern w:val="0"/>
                <w:position w:val="2"/>
                <w:sz w:val="24"/>
                <w:szCs w:val="22"/>
                <w:highlight w:val="none"/>
              </w:rPr>
              <w:t>–</w:t>
            </w:r>
            <w:r>
              <w:rPr>
                <w:color w:val="auto"/>
                <w:kern w:val="0"/>
                <w:position w:val="2"/>
                <w:sz w:val="24"/>
                <w:szCs w:val="22"/>
                <w:highlight w:val="none"/>
              </w:rPr>
              <w:t>污染物横向扩散系数，</w:t>
            </w:r>
            <w:r>
              <w:rPr>
                <w:rFonts w:eastAsia="Times New Roman"/>
                <w:color w:val="auto"/>
                <w:kern w:val="0"/>
                <w:position w:val="2"/>
                <w:sz w:val="24"/>
                <w:szCs w:val="22"/>
                <w:highlight w:val="none"/>
              </w:rPr>
              <w:t>m</w:t>
            </w:r>
            <w:r>
              <w:rPr>
                <w:rFonts w:eastAsia="Times New Roman"/>
                <w:color w:val="auto"/>
                <w:kern w:val="0"/>
                <w:position w:val="2"/>
                <w:sz w:val="24"/>
                <w:szCs w:val="22"/>
                <w:highlight w:val="none"/>
                <w:vertAlign w:val="superscript"/>
              </w:rPr>
              <w:t>2</w:t>
            </w:r>
            <w:r>
              <w:rPr>
                <w:rFonts w:eastAsia="Times New Roman"/>
                <w:color w:val="auto"/>
                <w:kern w:val="0"/>
                <w:position w:val="2"/>
                <w:sz w:val="24"/>
                <w:szCs w:val="22"/>
                <w:highlight w:val="none"/>
              </w:rPr>
              <w:t>/s</w:t>
            </w:r>
            <w:r>
              <w:rPr>
                <w:color w:val="auto"/>
                <w:kern w:val="0"/>
                <w:position w:val="2"/>
                <w:sz w:val="24"/>
                <w:szCs w:val="22"/>
                <w:highlight w:val="none"/>
              </w:rPr>
              <w:t>；</w:t>
            </w:r>
          </w:p>
          <w:p w14:paraId="2E16DFF9">
            <w:pPr>
              <w:widowControl w:val="0"/>
              <w:autoSpaceDE w:val="0"/>
              <w:autoSpaceDN w:val="0"/>
              <w:spacing w:line="480" w:lineRule="exact"/>
              <w:ind w:firstLine="566" w:firstLineChars="236"/>
              <w:rPr>
                <w:color w:val="auto"/>
                <w:kern w:val="0"/>
                <w:sz w:val="24"/>
                <w:szCs w:val="22"/>
                <w:highlight w:val="none"/>
              </w:rPr>
            </w:pPr>
            <w:r>
              <w:rPr>
                <w:rFonts w:eastAsia="Times New Roman"/>
                <w:i/>
                <w:color w:val="auto"/>
                <w:kern w:val="0"/>
                <w:sz w:val="24"/>
                <w:szCs w:val="22"/>
                <w:highlight w:val="none"/>
              </w:rPr>
              <w:t>u</w:t>
            </w:r>
            <w:r>
              <w:rPr>
                <w:rFonts w:eastAsia="Times New Roman"/>
                <w:b/>
                <w:color w:val="auto"/>
                <w:kern w:val="0"/>
                <w:sz w:val="24"/>
                <w:szCs w:val="22"/>
                <w:highlight w:val="none"/>
              </w:rPr>
              <w:t>--</w:t>
            </w:r>
            <w:r>
              <w:rPr>
                <w:color w:val="auto"/>
                <w:kern w:val="0"/>
                <w:sz w:val="24"/>
                <w:szCs w:val="22"/>
                <w:highlight w:val="none"/>
              </w:rPr>
              <w:t>河流断面平均流速，</w:t>
            </w:r>
            <w:r>
              <w:rPr>
                <w:rFonts w:eastAsia="Times New Roman"/>
                <w:color w:val="auto"/>
                <w:kern w:val="0"/>
                <w:sz w:val="24"/>
                <w:szCs w:val="22"/>
                <w:highlight w:val="none"/>
              </w:rPr>
              <w:t>m/s</w:t>
            </w:r>
            <w:r>
              <w:rPr>
                <w:color w:val="auto"/>
                <w:kern w:val="0"/>
                <w:sz w:val="24"/>
                <w:szCs w:val="22"/>
                <w:highlight w:val="none"/>
              </w:rPr>
              <w:t>；</w:t>
            </w:r>
          </w:p>
          <w:p w14:paraId="5F02684B">
            <w:pPr>
              <w:widowControl w:val="0"/>
              <w:autoSpaceDE w:val="0"/>
              <w:autoSpaceDN w:val="0"/>
              <w:spacing w:line="480" w:lineRule="exact"/>
              <w:ind w:firstLine="566" w:firstLineChars="236"/>
              <w:rPr>
                <w:color w:val="auto"/>
                <w:kern w:val="0"/>
                <w:position w:val="2"/>
                <w:sz w:val="24"/>
                <w:szCs w:val="22"/>
                <w:highlight w:val="none"/>
              </w:rPr>
            </w:pPr>
            <w:r>
              <w:rPr>
                <w:color w:val="auto"/>
                <w:kern w:val="0"/>
                <w:sz w:val="24"/>
                <w:szCs w:val="22"/>
                <w:highlight w:val="none"/>
              </w:rPr>
              <w:t>B--</w:t>
            </w:r>
            <w:r>
              <w:rPr>
                <w:color w:val="auto"/>
                <w:kern w:val="0"/>
                <w:position w:val="2"/>
                <w:sz w:val="24"/>
                <w:szCs w:val="22"/>
                <w:highlight w:val="none"/>
              </w:rPr>
              <w:t>水面宽度，m；</w:t>
            </w:r>
          </w:p>
          <w:p w14:paraId="40124F5C">
            <w:pPr>
              <w:widowControl w:val="0"/>
              <w:autoSpaceDE w:val="0"/>
              <w:autoSpaceDN w:val="0"/>
              <w:spacing w:line="480" w:lineRule="exact"/>
              <w:ind w:firstLine="566" w:firstLineChars="236"/>
              <w:rPr>
                <w:color w:val="auto"/>
                <w:kern w:val="0"/>
                <w:sz w:val="24"/>
                <w:szCs w:val="22"/>
                <w:highlight w:val="none"/>
              </w:rPr>
            </w:pPr>
            <w:r>
              <w:rPr>
                <w:color w:val="auto"/>
                <w:kern w:val="0"/>
                <w:sz w:val="24"/>
                <w:szCs w:val="22"/>
                <w:highlight w:val="none"/>
              </w:rPr>
              <w:t>a--排放口到岸边的距离，m；</w:t>
            </w:r>
          </w:p>
          <w:p w14:paraId="567313C1">
            <w:pPr>
              <w:widowControl w:val="0"/>
              <w:autoSpaceDE w:val="0"/>
              <w:autoSpaceDN w:val="0"/>
              <w:spacing w:line="480" w:lineRule="exact"/>
              <w:ind w:firstLine="566" w:firstLineChars="236"/>
              <w:rPr>
                <w:color w:val="auto"/>
                <w:kern w:val="0"/>
                <w:position w:val="2"/>
                <w:sz w:val="24"/>
                <w:szCs w:val="22"/>
                <w:highlight w:val="none"/>
              </w:rPr>
            </w:pPr>
            <w:r>
              <w:rPr>
                <w:color w:val="auto"/>
                <w:kern w:val="0"/>
                <w:sz w:val="24"/>
                <w:szCs w:val="22"/>
                <w:highlight w:val="none"/>
              </w:rPr>
              <w:t>k--污染物综合衰减系数，s</w:t>
            </w:r>
            <w:r>
              <w:rPr>
                <w:color w:val="auto"/>
                <w:kern w:val="0"/>
                <w:sz w:val="24"/>
                <w:szCs w:val="22"/>
                <w:highlight w:val="none"/>
                <w:vertAlign w:val="superscript"/>
              </w:rPr>
              <w:t>-1</w:t>
            </w:r>
            <w:r>
              <w:rPr>
                <w:color w:val="auto"/>
                <w:kern w:val="0"/>
                <w:position w:val="2"/>
                <w:sz w:val="24"/>
                <w:szCs w:val="22"/>
                <w:highlight w:val="none"/>
              </w:rPr>
              <w:t>；</w:t>
            </w:r>
          </w:p>
          <w:p w14:paraId="0B2F1690">
            <w:pPr>
              <w:widowControl w:val="0"/>
              <w:autoSpaceDE w:val="0"/>
              <w:autoSpaceDN w:val="0"/>
              <w:spacing w:line="480" w:lineRule="exact"/>
              <w:ind w:firstLine="566" w:firstLineChars="236"/>
              <w:rPr>
                <w:color w:val="auto"/>
                <w:kern w:val="0"/>
                <w:position w:val="2"/>
                <w:sz w:val="24"/>
                <w:szCs w:val="22"/>
                <w:highlight w:val="none"/>
              </w:rPr>
            </w:pPr>
            <w:r>
              <w:rPr>
                <w:color w:val="auto"/>
                <w:kern w:val="0"/>
                <w:position w:val="2"/>
                <w:sz w:val="24"/>
                <w:szCs w:val="22"/>
                <w:highlight w:val="none"/>
              </w:rPr>
              <w:t>n--河道糙率，量纲一；</w:t>
            </w:r>
          </w:p>
          <w:p w14:paraId="3A2D4BE7">
            <w:pPr>
              <w:widowControl w:val="0"/>
              <w:autoSpaceDE w:val="0"/>
              <w:autoSpaceDN w:val="0"/>
              <w:spacing w:line="480" w:lineRule="exact"/>
              <w:ind w:firstLine="566" w:firstLineChars="236"/>
              <w:rPr>
                <w:color w:val="auto"/>
                <w:kern w:val="0"/>
                <w:sz w:val="24"/>
                <w:szCs w:val="22"/>
                <w:highlight w:val="none"/>
              </w:rPr>
            </w:pPr>
            <w:r>
              <w:rPr>
                <w:rFonts w:eastAsia="Times New Roman"/>
                <w:i/>
                <w:color w:val="auto"/>
                <w:kern w:val="0"/>
                <w:sz w:val="24"/>
                <w:szCs w:val="22"/>
                <w:highlight w:val="none"/>
              </w:rPr>
              <w:t>π</w:t>
            </w:r>
            <w:r>
              <w:rPr>
                <w:rFonts w:eastAsia="Times New Roman"/>
                <w:b/>
                <w:color w:val="auto"/>
                <w:kern w:val="0"/>
                <w:sz w:val="24"/>
                <w:szCs w:val="22"/>
                <w:highlight w:val="none"/>
              </w:rPr>
              <w:t>--</w:t>
            </w:r>
            <w:r>
              <w:rPr>
                <w:color w:val="auto"/>
                <w:kern w:val="0"/>
                <w:sz w:val="24"/>
                <w:szCs w:val="22"/>
                <w:highlight w:val="none"/>
              </w:rPr>
              <w:t>圆周率。</w:t>
            </w:r>
          </w:p>
          <w:p w14:paraId="73620DEB">
            <w:pPr>
              <w:spacing w:line="480" w:lineRule="exact"/>
              <w:ind w:firstLine="480" w:firstLineChars="200"/>
              <w:jc w:val="both"/>
              <w:rPr>
                <w:color w:val="auto"/>
                <w:sz w:val="24"/>
                <w:highlight w:val="none"/>
              </w:rPr>
            </w:pPr>
            <w:r>
              <w:rPr>
                <w:color w:val="auto"/>
                <w:sz w:val="24"/>
                <w:highlight w:val="none"/>
              </w:rPr>
              <w:t>根据</w:t>
            </w:r>
            <w:r>
              <w:rPr>
                <w:rFonts w:hint="eastAsia"/>
                <w:color w:val="auto"/>
                <w:sz w:val="24"/>
                <w:highlight w:val="none"/>
                <w:lang w:val="en-US" w:eastAsia="zh-CN"/>
              </w:rPr>
              <w:t>源强</w:t>
            </w:r>
            <w:r>
              <w:rPr>
                <w:color w:val="auto"/>
                <w:sz w:val="24"/>
                <w:highlight w:val="none"/>
              </w:rPr>
              <w:t>计算</w:t>
            </w:r>
            <w:r>
              <w:rPr>
                <w:rFonts w:hint="eastAsia"/>
                <w:color w:val="auto"/>
                <w:sz w:val="24"/>
                <w:highlight w:val="none"/>
                <w:lang w:val="en-US" w:eastAsia="zh-CN"/>
              </w:rPr>
              <w:t>可知</w:t>
            </w:r>
            <w:r>
              <w:rPr>
                <w:color w:val="auto"/>
                <w:sz w:val="24"/>
                <w:highlight w:val="none"/>
              </w:rPr>
              <w:t>，</w:t>
            </w:r>
            <w:r>
              <w:rPr>
                <w:rFonts w:hint="eastAsia"/>
                <w:color w:val="auto"/>
                <w:sz w:val="24"/>
                <w:highlight w:val="none"/>
              </w:rPr>
              <w:t>本项目航道挖泥船疏浚悬浮物源强为6.34t/h，即1.76kg/s。</w:t>
            </w:r>
            <w:r>
              <w:rPr>
                <w:color w:val="auto"/>
                <w:sz w:val="24"/>
                <w:highlight w:val="none"/>
              </w:rPr>
              <w:t>水下施工作业对下游悬浮物增量的预测结果见表</w:t>
            </w:r>
            <w:r>
              <w:rPr>
                <w:rFonts w:hint="eastAsia"/>
                <w:color w:val="auto"/>
                <w:sz w:val="24"/>
                <w:highlight w:val="none"/>
                <w:lang w:val="en-US" w:eastAsia="zh-CN"/>
              </w:rPr>
              <w:t>4.1-4</w:t>
            </w:r>
            <w:r>
              <w:rPr>
                <w:color w:val="auto"/>
                <w:sz w:val="24"/>
                <w:highlight w:val="none"/>
              </w:rPr>
              <w:t>所示。</w:t>
            </w:r>
          </w:p>
          <w:p w14:paraId="4C8380AF">
            <w:pPr>
              <w:spacing w:line="480" w:lineRule="exact"/>
              <w:ind w:firstLine="482" w:firstLineChars="200"/>
              <w:jc w:val="center"/>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表</w:t>
            </w:r>
            <w:r>
              <w:rPr>
                <w:rFonts w:hint="eastAsia" w:ascii="Times New Roman" w:hAnsi="Times New Roman" w:eastAsia="宋体" w:cs="Times New Roman"/>
                <w:b/>
                <w:bCs/>
                <w:color w:val="auto"/>
                <w:spacing w:val="0"/>
                <w:kern w:val="2"/>
                <w:sz w:val="24"/>
                <w:szCs w:val="24"/>
                <w:highlight w:val="none"/>
                <w:lang w:val="en-US" w:eastAsia="zh-CN" w:bidi="ar-SA"/>
              </w:rPr>
              <w:t>4.1-4</w:t>
            </w:r>
            <w:r>
              <w:rPr>
                <w:rFonts w:hint="default" w:ascii="Times New Roman" w:hAnsi="Times New Roman" w:eastAsia="宋体" w:cs="Times New Roman"/>
                <w:b/>
                <w:bCs/>
                <w:color w:val="auto"/>
                <w:spacing w:val="0"/>
                <w:kern w:val="2"/>
                <w:sz w:val="24"/>
                <w:szCs w:val="24"/>
                <w:highlight w:val="none"/>
                <w:lang w:val="en-US" w:eastAsia="zh-CN" w:bidi="ar-SA"/>
              </w:rPr>
              <w:t xml:space="preserve">  水下施工作业引起SS浓度增量预测值：mg/L</w:t>
            </w:r>
          </w:p>
          <w:tbl>
            <w:tblPr>
              <w:tblStyle w:val="89"/>
              <w:tblW w:w="89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388"/>
              <w:gridCol w:w="1221"/>
              <w:gridCol w:w="1219"/>
              <w:gridCol w:w="1221"/>
              <w:gridCol w:w="1222"/>
              <w:gridCol w:w="1216"/>
            </w:tblGrid>
            <w:tr w14:paraId="47F96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788DD5C6">
                  <w:pPr>
                    <w:jc w:val="center"/>
                    <w:rPr>
                      <w:b/>
                      <w:color w:val="auto"/>
                      <w:kern w:val="0"/>
                      <w:szCs w:val="21"/>
                      <w:highlight w:val="none"/>
                    </w:rPr>
                  </w:pPr>
                  <w:r>
                    <w:rPr>
                      <w:b/>
                      <w:color w:val="auto"/>
                      <w:kern w:val="0"/>
                      <w:szCs w:val="21"/>
                      <w:highlight w:val="none"/>
                    </w:rPr>
                    <w:t>X\C\Y</w:t>
                  </w:r>
                </w:p>
              </w:tc>
              <w:tc>
                <w:tcPr>
                  <w:tcW w:w="1388" w:type="dxa"/>
                  <w:tcBorders>
                    <w:tl2br w:val="nil"/>
                    <w:tr2bl w:val="nil"/>
                  </w:tcBorders>
                  <w:noWrap w:val="0"/>
                  <w:vAlign w:val="top"/>
                </w:tcPr>
                <w:p w14:paraId="4E32CC2A">
                  <w:pPr>
                    <w:jc w:val="center"/>
                    <w:rPr>
                      <w:b/>
                      <w:color w:val="auto"/>
                      <w:kern w:val="0"/>
                      <w:szCs w:val="21"/>
                      <w:highlight w:val="none"/>
                    </w:rPr>
                  </w:pPr>
                  <w:r>
                    <w:rPr>
                      <w:b/>
                      <w:color w:val="auto"/>
                      <w:kern w:val="0"/>
                      <w:szCs w:val="21"/>
                      <w:highlight w:val="none"/>
                    </w:rPr>
                    <w:t>0</w:t>
                  </w:r>
                </w:p>
              </w:tc>
              <w:tc>
                <w:tcPr>
                  <w:tcW w:w="1221" w:type="dxa"/>
                  <w:tcBorders>
                    <w:tl2br w:val="nil"/>
                    <w:tr2bl w:val="nil"/>
                  </w:tcBorders>
                  <w:noWrap w:val="0"/>
                  <w:vAlign w:val="top"/>
                </w:tcPr>
                <w:p w14:paraId="49084791">
                  <w:pPr>
                    <w:jc w:val="center"/>
                    <w:rPr>
                      <w:b/>
                      <w:color w:val="auto"/>
                      <w:kern w:val="0"/>
                      <w:szCs w:val="21"/>
                      <w:highlight w:val="none"/>
                    </w:rPr>
                  </w:pPr>
                  <w:r>
                    <w:rPr>
                      <w:b/>
                      <w:color w:val="auto"/>
                      <w:kern w:val="0"/>
                      <w:szCs w:val="21"/>
                      <w:highlight w:val="none"/>
                    </w:rPr>
                    <w:t>20</w:t>
                  </w:r>
                </w:p>
              </w:tc>
              <w:tc>
                <w:tcPr>
                  <w:tcW w:w="1219" w:type="dxa"/>
                  <w:tcBorders>
                    <w:tl2br w:val="nil"/>
                    <w:tr2bl w:val="nil"/>
                  </w:tcBorders>
                  <w:noWrap w:val="0"/>
                  <w:vAlign w:val="top"/>
                </w:tcPr>
                <w:p w14:paraId="7602C404">
                  <w:pPr>
                    <w:jc w:val="center"/>
                    <w:rPr>
                      <w:b/>
                      <w:color w:val="auto"/>
                      <w:kern w:val="0"/>
                      <w:szCs w:val="21"/>
                      <w:highlight w:val="none"/>
                    </w:rPr>
                  </w:pPr>
                  <w:r>
                    <w:rPr>
                      <w:b/>
                      <w:color w:val="auto"/>
                      <w:kern w:val="0"/>
                      <w:szCs w:val="21"/>
                      <w:highlight w:val="none"/>
                    </w:rPr>
                    <w:t>40</w:t>
                  </w:r>
                </w:p>
              </w:tc>
              <w:tc>
                <w:tcPr>
                  <w:tcW w:w="1221" w:type="dxa"/>
                  <w:tcBorders>
                    <w:tl2br w:val="nil"/>
                    <w:tr2bl w:val="nil"/>
                  </w:tcBorders>
                  <w:noWrap w:val="0"/>
                  <w:vAlign w:val="top"/>
                </w:tcPr>
                <w:p w14:paraId="3F829C55">
                  <w:pPr>
                    <w:jc w:val="center"/>
                    <w:rPr>
                      <w:b/>
                      <w:color w:val="auto"/>
                      <w:kern w:val="0"/>
                      <w:szCs w:val="21"/>
                      <w:highlight w:val="none"/>
                    </w:rPr>
                  </w:pPr>
                  <w:r>
                    <w:rPr>
                      <w:b/>
                      <w:color w:val="auto"/>
                      <w:kern w:val="0"/>
                      <w:szCs w:val="21"/>
                      <w:highlight w:val="none"/>
                    </w:rPr>
                    <w:t>60</w:t>
                  </w:r>
                </w:p>
              </w:tc>
              <w:tc>
                <w:tcPr>
                  <w:tcW w:w="1222" w:type="dxa"/>
                  <w:tcBorders>
                    <w:tl2br w:val="nil"/>
                    <w:tr2bl w:val="nil"/>
                  </w:tcBorders>
                  <w:noWrap w:val="0"/>
                  <w:vAlign w:val="top"/>
                </w:tcPr>
                <w:p w14:paraId="73DAD06A">
                  <w:pPr>
                    <w:jc w:val="center"/>
                    <w:rPr>
                      <w:b/>
                      <w:color w:val="auto"/>
                      <w:kern w:val="0"/>
                      <w:szCs w:val="21"/>
                      <w:highlight w:val="none"/>
                    </w:rPr>
                  </w:pPr>
                  <w:r>
                    <w:rPr>
                      <w:b/>
                      <w:color w:val="auto"/>
                      <w:kern w:val="0"/>
                      <w:szCs w:val="21"/>
                      <w:highlight w:val="none"/>
                    </w:rPr>
                    <w:t>80</w:t>
                  </w:r>
                </w:p>
              </w:tc>
              <w:tc>
                <w:tcPr>
                  <w:tcW w:w="1216" w:type="dxa"/>
                  <w:tcBorders>
                    <w:tl2br w:val="nil"/>
                    <w:tr2bl w:val="nil"/>
                  </w:tcBorders>
                  <w:noWrap w:val="0"/>
                  <w:vAlign w:val="top"/>
                </w:tcPr>
                <w:p w14:paraId="0B1B1B60">
                  <w:pPr>
                    <w:jc w:val="center"/>
                    <w:rPr>
                      <w:b/>
                      <w:color w:val="auto"/>
                      <w:kern w:val="0"/>
                      <w:szCs w:val="21"/>
                      <w:highlight w:val="none"/>
                    </w:rPr>
                  </w:pPr>
                  <w:r>
                    <w:rPr>
                      <w:b/>
                      <w:color w:val="auto"/>
                      <w:kern w:val="0"/>
                      <w:szCs w:val="21"/>
                      <w:highlight w:val="none"/>
                    </w:rPr>
                    <w:t>100</w:t>
                  </w:r>
                </w:p>
              </w:tc>
            </w:tr>
            <w:tr w14:paraId="29A00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1F8BDBA7">
                  <w:pPr>
                    <w:jc w:val="center"/>
                    <w:rPr>
                      <w:b/>
                      <w:color w:val="auto"/>
                      <w:kern w:val="0"/>
                      <w:szCs w:val="21"/>
                      <w:highlight w:val="none"/>
                    </w:rPr>
                  </w:pPr>
                  <w:r>
                    <w:rPr>
                      <w:rFonts w:hint="eastAsia"/>
                      <w:b/>
                      <w:color w:val="auto"/>
                      <w:kern w:val="0"/>
                      <w:szCs w:val="21"/>
                      <w:highlight w:val="none"/>
                    </w:rPr>
                    <w:t>（</w:t>
                  </w:r>
                  <w:r>
                    <w:rPr>
                      <w:rFonts w:hint="eastAsia"/>
                      <w:b/>
                      <w:color w:val="auto"/>
                      <w:kern w:val="0"/>
                      <w:szCs w:val="21"/>
                      <w:highlight w:val="none"/>
                      <w:lang w:val="en-US" w:eastAsia="zh-CN"/>
                    </w:rPr>
                    <w:t>大运河桥</w:t>
                  </w:r>
                  <w:r>
                    <w:rPr>
                      <w:rFonts w:hint="eastAsia"/>
                      <w:b/>
                      <w:color w:val="auto"/>
                      <w:kern w:val="0"/>
                      <w:szCs w:val="21"/>
                      <w:highlight w:val="none"/>
                    </w:rPr>
                    <w:t>断面、</w:t>
                  </w:r>
                  <w:r>
                    <w:rPr>
                      <w:rFonts w:hint="eastAsia"/>
                      <w:b/>
                      <w:color w:val="auto"/>
                      <w:kern w:val="0"/>
                      <w:szCs w:val="21"/>
                      <w:highlight w:val="none"/>
                      <w:lang w:val="en-US" w:eastAsia="zh-CN"/>
                    </w:rPr>
                    <w:t>黄码</w:t>
                  </w:r>
                  <w:r>
                    <w:rPr>
                      <w:rFonts w:hint="eastAsia"/>
                      <w:b/>
                      <w:color w:val="auto"/>
                      <w:kern w:val="0"/>
                      <w:szCs w:val="21"/>
                      <w:highlight w:val="none"/>
                    </w:rPr>
                    <w:t>大桥断面）</w:t>
                  </w:r>
                </w:p>
              </w:tc>
              <w:tc>
                <w:tcPr>
                  <w:tcW w:w="1388" w:type="dxa"/>
                  <w:tcBorders>
                    <w:tl2br w:val="nil"/>
                    <w:tr2bl w:val="nil"/>
                  </w:tcBorders>
                  <w:noWrap w:val="0"/>
                  <w:vAlign w:val="top"/>
                </w:tcPr>
                <w:p w14:paraId="44D69E1B">
                  <w:pPr>
                    <w:jc w:val="center"/>
                    <w:rPr>
                      <w:b/>
                      <w:color w:val="auto"/>
                      <w:kern w:val="0"/>
                      <w:szCs w:val="21"/>
                      <w:highlight w:val="none"/>
                    </w:rPr>
                  </w:pPr>
                </w:p>
              </w:tc>
              <w:tc>
                <w:tcPr>
                  <w:tcW w:w="1221" w:type="dxa"/>
                  <w:tcBorders>
                    <w:tl2br w:val="nil"/>
                    <w:tr2bl w:val="nil"/>
                  </w:tcBorders>
                  <w:noWrap w:val="0"/>
                  <w:vAlign w:val="top"/>
                </w:tcPr>
                <w:p w14:paraId="755059E8">
                  <w:pPr>
                    <w:jc w:val="center"/>
                    <w:rPr>
                      <w:b/>
                      <w:color w:val="auto"/>
                      <w:kern w:val="0"/>
                      <w:szCs w:val="21"/>
                      <w:highlight w:val="none"/>
                    </w:rPr>
                  </w:pPr>
                </w:p>
              </w:tc>
              <w:tc>
                <w:tcPr>
                  <w:tcW w:w="1219" w:type="dxa"/>
                  <w:tcBorders>
                    <w:tl2br w:val="nil"/>
                    <w:tr2bl w:val="nil"/>
                  </w:tcBorders>
                  <w:noWrap w:val="0"/>
                  <w:vAlign w:val="top"/>
                </w:tcPr>
                <w:p w14:paraId="3022F80E">
                  <w:pPr>
                    <w:jc w:val="center"/>
                    <w:rPr>
                      <w:b/>
                      <w:color w:val="auto"/>
                      <w:kern w:val="0"/>
                      <w:szCs w:val="21"/>
                      <w:highlight w:val="none"/>
                    </w:rPr>
                  </w:pPr>
                </w:p>
              </w:tc>
              <w:tc>
                <w:tcPr>
                  <w:tcW w:w="1221" w:type="dxa"/>
                  <w:tcBorders>
                    <w:tl2br w:val="nil"/>
                    <w:tr2bl w:val="nil"/>
                  </w:tcBorders>
                  <w:noWrap w:val="0"/>
                  <w:vAlign w:val="top"/>
                </w:tcPr>
                <w:p w14:paraId="427132C9">
                  <w:pPr>
                    <w:jc w:val="center"/>
                    <w:rPr>
                      <w:b/>
                      <w:color w:val="auto"/>
                      <w:kern w:val="0"/>
                      <w:szCs w:val="21"/>
                      <w:highlight w:val="none"/>
                    </w:rPr>
                  </w:pPr>
                </w:p>
              </w:tc>
              <w:tc>
                <w:tcPr>
                  <w:tcW w:w="1222" w:type="dxa"/>
                  <w:tcBorders>
                    <w:tl2br w:val="nil"/>
                    <w:tr2bl w:val="nil"/>
                  </w:tcBorders>
                  <w:noWrap w:val="0"/>
                  <w:vAlign w:val="top"/>
                </w:tcPr>
                <w:p w14:paraId="68934CAF">
                  <w:pPr>
                    <w:jc w:val="center"/>
                    <w:rPr>
                      <w:b/>
                      <w:color w:val="auto"/>
                      <w:kern w:val="0"/>
                      <w:szCs w:val="21"/>
                      <w:highlight w:val="none"/>
                    </w:rPr>
                  </w:pPr>
                </w:p>
              </w:tc>
              <w:tc>
                <w:tcPr>
                  <w:tcW w:w="1216" w:type="dxa"/>
                  <w:tcBorders>
                    <w:tl2br w:val="nil"/>
                    <w:tr2bl w:val="nil"/>
                  </w:tcBorders>
                  <w:noWrap w:val="0"/>
                  <w:vAlign w:val="top"/>
                </w:tcPr>
                <w:p w14:paraId="7642E457">
                  <w:pPr>
                    <w:jc w:val="center"/>
                    <w:rPr>
                      <w:b/>
                      <w:color w:val="auto"/>
                      <w:kern w:val="0"/>
                      <w:szCs w:val="21"/>
                      <w:highlight w:val="none"/>
                    </w:rPr>
                  </w:pPr>
                </w:p>
              </w:tc>
            </w:tr>
            <w:tr w14:paraId="27E10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436" w:type="dxa"/>
                  <w:tcBorders>
                    <w:tl2br w:val="nil"/>
                    <w:tr2bl w:val="nil"/>
                  </w:tcBorders>
                  <w:noWrap w:val="0"/>
                  <w:vAlign w:val="top"/>
                </w:tcPr>
                <w:p w14:paraId="1F3AE42C">
                  <w:pPr>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1</w:t>
                  </w:r>
                </w:p>
              </w:tc>
              <w:tc>
                <w:tcPr>
                  <w:tcW w:w="1388" w:type="dxa"/>
                  <w:tcBorders>
                    <w:tl2br w:val="nil"/>
                    <w:tr2bl w:val="nil"/>
                  </w:tcBorders>
                  <w:noWrap w:val="0"/>
                  <w:vAlign w:val="center"/>
                </w:tcPr>
                <w:p w14:paraId="40EB2974">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 xml:space="preserve">234.0326 </w:t>
                  </w:r>
                </w:p>
              </w:tc>
              <w:tc>
                <w:tcPr>
                  <w:tcW w:w="1221" w:type="dxa"/>
                  <w:tcBorders>
                    <w:tl2br w:val="nil"/>
                    <w:tr2bl w:val="nil"/>
                  </w:tcBorders>
                  <w:noWrap w:val="0"/>
                  <w:vAlign w:val="center"/>
                </w:tcPr>
                <w:p w14:paraId="3177F952">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 xml:space="preserve">227.0116 </w:t>
                  </w:r>
                </w:p>
              </w:tc>
              <w:tc>
                <w:tcPr>
                  <w:tcW w:w="1219" w:type="dxa"/>
                  <w:tcBorders>
                    <w:tl2br w:val="nil"/>
                    <w:tr2bl w:val="nil"/>
                  </w:tcBorders>
                  <w:noWrap w:val="0"/>
                  <w:vAlign w:val="center"/>
                </w:tcPr>
                <w:p w14:paraId="62891AE3">
                  <w:pPr>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 xml:space="preserve">207.3528 </w:t>
                  </w:r>
                </w:p>
              </w:tc>
              <w:tc>
                <w:tcPr>
                  <w:tcW w:w="1221" w:type="dxa"/>
                  <w:tcBorders>
                    <w:tl2br w:val="nil"/>
                    <w:tr2bl w:val="nil"/>
                  </w:tcBorders>
                  <w:noWrap w:val="0"/>
                  <w:vAlign w:val="center"/>
                </w:tcPr>
                <w:p w14:paraId="7E50FE69">
                  <w:pPr>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 xml:space="preserve">180.8134 </w:t>
                  </w:r>
                </w:p>
              </w:tc>
              <w:tc>
                <w:tcPr>
                  <w:tcW w:w="1222" w:type="dxa"/>
                  <w:tcBorders>
                    <w:tl2br w:val="nil"/>
                    <w:tr2bl w:val="nil"/>
                  </w:tcBorders>
                  <w:noWrap w:val="0"/>
                  <w:vAlign w:val="center"/>
                </w:tcPr>
                <w:p w14:paraId="6E92EB71">
                  <w:pPr>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 xml:space="preserve">150.2931 </w:t>
                  </w:r>
                </w:p>
              </w:tc>
              <w:tc>
                <w:tcPr>
                  <w:tcW w:w="1216" w:type="dxa"/>
                  <w:tcBorders>
                    <w:tl2br w:val="nil"/>
                    <w:tr2bl w:val="nil"/>
                  </w:tcBorders>
                  <w:noWrap w:val="0"/>
                  <w:vAlign w:val="center"/>
                </w:tcPr>
                <w:p w14:paraId="2ED00369">
                  <w:pPr>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 xml:space="preserve">117.9416 </w:t>
                  </w:r>
                </w:p>
              </w:tc>
            </w:tr>
            <w:tr w14:paraId="4345D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436" w:type="dxa"/>
                  <w:tcBorders>
                    <w:tl2br w:val="nil"/>
                    <w:tr2bl w:val="nil"/>
                  </w:tcBorders>
                  <w:noWrap w:val="0"/>
                  <w:vAlign w:val="top"/>
                </w:tcPr>
                <w:p w14:paraId="430D49D0">
                  <w:pPr>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5</w:t>
                  </w:r>
                </w:p>
              </w:tc>
              <w:tc>
                <w:tcPr>
                  <w:tcW w:w="1388" w:type="dxa"/>
                  <w:tcBorders>
                    <w:tl2br w:val="nil"/>
                    <w:tr2bl w:val="nil"/>
                  </w:tcBorders>
                  <w:noWrap w:val="0"/>
                  <w:vAlign w:val="top"/>
                </w:tcPr>
                <w:p w14:paraId="0BB12140">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 xml:space="preserve">104.6383 </w:t>
                  </w:r>
                </w:p>
              </w:tc>
              <w:tc>
                <w:tcPr>
                  <w:tcW w:w="1221" w:type="dxa"/>
                  <w:tcBorders>
                    <w:tl2br w:val="nil"/>
                    <w:tr2bl w:val="nil"/>
                  </w:tcBorders>
                  <w:noWrap w:val="0"/>
                  <w:vAlign w:val="top"/>
                </w:tcPr>
                <w:p w14:paraId="4FB968F8">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 xml:space="preserve">101.4991 </w:t>
                  </w:r>
                </w:p>
              </w:tc>
              <w:tc>
                <w:tcPr>
                  <w:tcW w:w="1219" w:type="dxa"/>
                  <w:tcBorders>
                    <w:tl2br w:val="nil"/>
                    <w:tr2bl w:val="nil"/>
                  </w:tcBorders>
                  <w:noWrap w:val="0"/>
                  <w:vAlign w:val="center"/>
                </w:tcPr>
                <w:p w14:paraId="119823D7">
                  <w:pPr>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 xml:space="preserve">92.6152 </w:t>
                  </w:r>
                </w:p>
              </w:tc>
              <w:tc>
                <w:tcPr>
                  <w:tcW w:w="1221" w:type="dxa"/>
                  <w:tcBorders>
                    <w:tl2br w:val="nil"/>
                    <w:tr2bl w:val="nil"/>
                  </w:tcBorders>
                  <w:noWrap w:val="0"/>
                  <w:vAlign w:val="center"/>
                </w:tcPr>
                <w:p w14:paraId="01E5B53C">
                  <w:pPr>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 xml:space="preserve">80.1777 </w:t>
                  </w:r>
                </w:p>
              </w:tc>
              <w:tc>
                <w:tcPr>
                  <w:tcW w:w="1222" w:type="dxa"/>
                  <w:tcBorders>
                    <w:tl2br w:val="nil"/>
                    <w:tr2bl w:val="nil"/>
                  </w:tcBorders>
                  <w:noWrap w:val="0"/>
                  <w:vAlign w:val="center"/>
                </w:tcPr>
                <w:p w14:paraId="77D97AAD">
                  <w:pPr>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 xml:space="preserve">65.5014 </w:t>
                  </w:r>
                </w:p>
              </w:tc>
              <w:tc>
                <w:tcPr>
                  <w:tcW w:w="1216" w:type="dxa"/>
                  <w:tcBorders>
                    <w:tl2br w:val="nil"/>
                    <w:tr2bl w:val="nil"/>
                  </w:tcBorders>
                  <w:noWrap w:val="0"/>
                  <w:vAlign w:val="center"/>
                </w:tcPr>
                <w:p w14:paraId="58EBA397">
                  <w:pPr>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 xml:space="preserve">49.3575 </w:t>
                  </w:r>
                </w:p>
              </w:tc>
            </w:tr>
            <w:tr w14:paraId="628FA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436" w:type="dxa"/>
                  <w:tcBorders>
                    <w:tl2br w:val="nil"/>
                    <w:tr2bl w:val="nil"/>
                  </w:tcBorders>
                  <w:noWrap w:val="0"/>
                  <w:vAlign w:val="top"/>
                </w:tcPr>
                <w:p w14:paraId="6F4110F4">
                  <w:pPr>
                    <w:jc w:val="center"/>
                    <w:rPr>
                      <w:color w:val="auto"/>
                      <w:kern w:val="0"/>
                      <w:szCs w:val="21"/>
                      <w:highlight w:val="none"/>
                    </w:rPr>
                  </w:pPr>
                  <w:r>
                    <w:rPr>
                      <w:color w:val="auto"/>
                      <w:kern w:val="0"/>
                      <w:szCs w:val="21"/>
                      <w:highlight w:val="none"/>
                    </w:rPr>
                    <w:t>10</w:t>
                  </w:r>
                </w:p>
              </w:tc>
              <w:tc>
                <w:tcPr>
                  <w:tcW w:w="1388" w:type="dxa"/>
                  <w:tcBorders>
                    <w:tl2br w:val="nil"/>
                    <w:tr2bl w:val="nil"/>
                  </w:tcBorders>
                  <w:noWrap w:val="0"/>
                  <w:vAlign w:val="top"/>
                </w:tcPr>
                <w:p w14:paraId="1CC8C95C">
                  <w:pPr>
                    <w:jc w:val="center"/>
                    <w:rPr>
                      <w:color w:val="auto"/>
                      <w:kern w:val="0"/>
                      <w:szCs w:val="21"/>
                      <w:highlight w:val="none"/>
                    </w:rPr>
                  </w:pPr>
                  <w:r>
                    <w:rPr>
                      <w:color w:val="auto"/>
                      <w:kern w:val="0"/>
                      <w:szCs w:val="21"/>
                      <w:highlight w:val="none"/>
                    </w:rPr>
                    <w:t>74.3258</w:t>
                  </w:r>
                </w:p>
              </w:tc>
              <w:tc>
                <w:tcPr>
                  <w:tcW w:w="1221" w:type="dxa"/>
                  <w:tcBorders>
                    <w:tl2br w:val="nil"/>
                    <w:tr2bl w:val="nil"/>
                  </w:tcBorders>
                  <w:noWrap w:val="0"/>
                  <w:vAlign w:val="top"/>
                </w:tcPr>
                <w:p w14:paraId="5B000F54">
                  <w:pPr>
                    <w:jc w:val="center"/>
                    <w:rPr>
                      <w:color w:val="auto"/>
                      <w:kern w:val="0"/>
                      <w:szCs w:val="21"/>
                      <w:highlight w:val="none"/>
                    </w:rPr>
                  </w:pPr>
                  <w:r>
                    <w:rPr>
                      <w:color w:val="auto"/>
                      <w:kern w:val="0"/>
                      <w:szCs w:val="21"/>
                      <w:highlight w:val="none"/>
                    </w:rPr>
                    <w:t>72.854</w:t>
                  </w:r>
                </w:p>
              </w:tc>
              <w:tc>
                <w:tcPr>
                  <w:tcW w:w="1219" w:type="dxa"/>
                  <w:tcBorders>
                    <w:tl2br w:val="nil"/>
                    <w:tr2bl w:val="nil"/>
                  </w:tcBorders>
                  <w:noWrap w:val="0"/>
                  <w:vAlign w:val="top"/>
                </w:tcPr>
                <w:p w14:paraId="262E5F6E">
                  <w:pPr>
                    <w:jc w:val="center"/>
                    <w:rPr>
                      <w:color w:val="auto"/>
                      <w:kern w:val="0"/>
                      <w:szCs w:val="21"/>
                      <w:highlight w:val="none"/>
                    </w:rPr>
                  </w:pPr>
                  <w:r>
                    <w:rPr>
                      <w:color w:val="auto"/>
                      <w:kern w:val="0"/>
                      <w:szCs w:val="21"/>
                      <w:highlight w:val="none"/>
                    </w:rPr>
                    <w:t>68.6114</w:t>
                  </w:r>
                </w:p>
              </w:tc>
              <w:tc>
                <w:tcPr>
                  <w:tcW w:w="1221" w:type="dxa"/>
                  <w:tcBorders>
                    <w:tl2br w:val="nil"/>
                    <w:tr2bl w:val="nil"/>
                  </w:tcBorders>
                  <w:noWrap w:val="0"/>
                  <w:vAlign w:val="top"/>
                </w:tcPr>
                <w:p w14:paraId="7BF92BE7">
                  <w:pPr>
                    <w:jc w:val="center"/>
                    <w:rPr>
                      <w:color w:val="auto"/>
                      <w:kern w:val="0"/>
                      <w:szCs w:val="21"/>
                      <w:highlight w:val="none"/>
                    </w:rPr>
                  </w:pPr>
                  <w:r>
                    <w:rPr>
                      <w:color w:val="auto"/>
                      <w:kern w:val="0"/>
                      <w:szCs w:val="21"/>
                      <w:highlight w:val="none"/>
                    </w:rPr>
                    <w:t>62.0821</w:t>
                  </w:r>
                </w:p>
              </w:tc>
              <w:tc>
                <w:tcPr>
                  <w:tcW w:w="1222" w:type="dxa"/>
                  <w:tcBorders>
                    <w:tl2br w:val="nil"/>
                    <w:tr2bl w:val="nil"/>
                  </w:tcBorders>
                  <w:noWrap w:val="0"/>
                  <w:vAlign w:val="top"/>
                </w:tcPr>
                <w:p w14:paraId="52820223">
                  <w:pPr>
                    <w:jc w:val="center"/>
                    <w:rPr>
                      <w:color w:val="auto"/>
                      <w:kern w:val="0"/>
                      <w:szCs w:val="21"/>
                      <w:highlight w:val="none"/>
                    </w:rPr>
                  </w:pPr>
                  <w:r>
                    <w:rPr>
                      <w:color w:val="auto"/>
                      <w:kern w:val="0"/>
                      <w:szCs w:val="21"/>
                      <w:highlight w:val="none"/>
                    </w:rPr>
                    <w:t>53.9716</w:t>
                  </w:r>
                </w:p>
              </w:tc>
              <w:tc>
                <w:tcPr>
                  <w:tcW w:w="1216" w:type="dxa"/>
                  <w:tcBorders>
                    <w:tl2br w:val="nil"/>
                    <w:tr2bl w:val="nil"/>
                  </w:tcBorders>
                  <w:noWrap w:val="0"/>
                  <w:vAlign w:val="top"/>
                </w:tcPr>
                <w:p w14:paraId="31845289">
                  <w:pPr>
                    <w:jc w:val="center"/>
                    <w:rPr>
                      <w:color w:val="auto"/>
                      <w:kern w:val="0"/>
                      <w:szCs w:val="21"/>
                      <w:highlight w:val="none"/>
                    </w:rPr>
                  </w:pPr>
                  <w:r>
                    <w:rPr>
                      <w:color w:val="auto"/>
                      <w:kern w:val="0"/>
                      <w:szCs w:val="21"/>
                      <w:highlight w:val="none"/>
                    </w:rPr>
                    <w:t>45.0809</w:t>
                  </w:r>
                </w:p>
              </w:tc>
            </w:tr>
            <w:tr w14:paraId="17F21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67322987">
                  <w:pPr>
                    <w:jc w:val="center"/>
                    <w:rPr>
                      <w:color w:val="auto"/>
                      <w:kern w:val="0"/>
                      <w:szCs w:val="21"/>
                      <w:highlight w:val="none"/>
                    </w:rPr>
                  </w:pPr>
                  <w:r>
                    <w:rPr>
                      <w:color w:val="auto"/>
                      <w:kern w:val="0"/>
                      <w:szCs w:val="21"/>
                      <w:highlight w:val="none"/>
                    </w:rPr>
                    <w:t>20</w:t>
                  </w:r>
                </w:p>
              </w:tc>
              <w:tc>
                <w:tcPr>
                  <w:tcW w:w="1388" w:type="dxa"/>
                  <w:tcBorders>
                    <w:tl2br w:val="nil"/>
                    <w:tr2bl w:val="nil"/>
                  </w:tcBorders>
                  <w:noWrap w:val="0"/>
                  <w:vAlign w:val="top"/>
                </w:tcPr>
                <w:p w14:paraId="69A09390">
                  <w:pPr>
                    <w:jc w:val="center"/>
                    <w:rPr>
                      <w:color w:val="auto"/>
                      <w:kern w:val="0"/>
                      <w:szCs w:val="21"/>
                      <w:highlight w:val="none"/>
                    </w:rPr>
                  </w:pPr>
                  <w:r>
                    <w:rPr>
                      <w:color w:val="auto"/>
                      <w:kern w:val="0"/>
                      <w:szCs w:val="21"/>
                      <w:highlight w:val="none"/>
                    </w:rPr>
                    <w:t>33.0798</w:t>
                  </w:r>
                </w:p>
              </w:tc>
              <w:tc>
                <w:tcPr>
                  <w:tcW w:w="1221" w:type="dxa"/>
                  <w:tcBorders>
                    <w:tl2br w:val="nil"/>
                    <w:tr2bl w:val="nil"/>
                  </w:tcBorders>
                  <w:noWrap w:val="0"/>
                  <w:vAlign w:val="top"/>
                </w:tcPr>
                <w:p w14:paraId="5CC16D1A">
                  <w:pPr>
                    <w:jc w:val="center"/>
                    <w:rPr>
                      <w:color w:val="auto"/>
                      <w:kern w:val="0"/>
                      <w:szCs w:val="21"/>
                      <w:highlight w:val="none"/>
                    </w:rPr>
                  </w:pPr>
                  <w:r>
                    <w:rPr>
                      <w:color w:val="auto"/>
                      <w:kern w:val="0"/>
                      <w:szCs w:val="21"/>
                      <w:highlight w:val="none"/>
                    </w:rPr>
                    <w:t>32.7506</w:t>
                  </w:r>
                </w:p>
              </w:tc>
              <w:tc>
                <w:tcPr>
                  <w:tcW w:w="1219" w:type="dxa"/>
                  <w:tcBorders>
                    <w:tl2br w:val="nil"/>
                    <w:tr2bl w:val="nil"/>
                  </w:tcBorders>
                  <w:noWrap w:val="0"/>
                  <w:vAlign w:val="top"/>
                </w:tcPr>
                <w:p w14:paraId="30FA1F4F">
                  <w:pPr>
                    <w:jc w:val="center"/>
                    <w:rPr>
                      <w:color w:val="auto"/>
                      <w:kern w:val="0"/>
                      <w:szCs w:val="21"/>
                      <w:highlight w:val="none"/>
                    </w:rPr>
                  </w:pPr>
                  <w:r>
                    <w:rPr>
                      <w:color w:val="auto"/>
                      <w:kern w:val="0"/>
                      <w:szCs w:val="21"/>
                      <w:highlight w:val="none"/>
                    </w:rPr>
                    <w:t>31.7827</w:t>
                  </w:r>
                </w:p>
              </w:tc>
              <w:tc>
                <w:tcPr>
                  <w:tcW w:w="1221" w:type="dxa"/>
                  <w:tcBorders>
                    <w:tl2br w:val="nil"/>
                    <w:tr2bl w:val="nil"/>
                  </w:tcBorders>
                  <w:noWrap w:val="0"/>
                  <w:vAlign w:val="top"/>
                </w:tcPr>
                <w:p w14:paraId="40522271">
                  <w:pPr>
                    <w:jc w:val="center"/>
                    <w:rPr>
                      <w:color w:val="auto"/>
                      <w:kern w:val="0"/>
                      <w:szCs w:val="21"/>
                      <w:highlight w:val="none"/>
                    </w:rPr>
                  </w:pPr>
                  <w:r>
                    <w:rPr>
                      <w:color w:val="auto"/>
                      <w:kern w:val="0"/>
                      <w:szCs w:val="21"/>
                      <w:highlight w:val="none"/>
                    </w:rPr>
                    <w:t>30.2326</w:t>
                  </w:r>
                </w:p>
              </w:tc>
              <w:tc>
                <w:tcPr>
                  <w:tcW w:w="1222" w:type="dxa"/>
                  <w:tcBorders>
                    <w:tl2br w:val="nil"/>
                    <w:tr2bl w:val="nil"/>
                  </w:tcBorders>
                  <w:noWrap w:val="0"/>
                  <w:vAlign w:val="top"/>
                </w:tcPr>
                <w:p w14:paraId="1B5999FD">
                  <w:pPr>
                    <w:jc w:val="center"/>
                    <w:rPr>
                      <w:color w:val="auto"/>
                      <w:kern w:val="0"/>
                      <w:szCs w:val="21"/>
                      <w:highlight w:val="none"/>
                    </w:rPr>
                  </w:pPr>
                  <w:r>
                    <w:rPr>
                      <w:color w:val="auto"/>
                      <w:kern w:val="0"/>
                      <w:szCs w:val="21"/>
                      <w:highlight w:val="none"/>
                    </w:rPr>
                    <w:t>28.1887</w:t>
                  </w:r>
                </w:p>
              </w:tc>
              <w:tc>
                <w:tcPr>
                  <w:tcW w:w="1216" w:type="dxa"/>
                  <w:tcBorders>
                    <w:tl2br w:val="nil"/>
                    <w:tr2bl w:val="nil"/>
                  </w:tcBorders>
                  <w:noWrap w:val="0"/>
                  <w:vAlign w:val="top"/>
                </w:tcPr>
                <w:p w14:paraId="3BA17AD2">
                  <w:pPr>
                    <w:jc w:val="center"/>
                    <w:rPr>
                      <w:color w:val="auto"/>
                      <w:kern w:val="0"/>
                      <w:szCs w:val="21"/>
                      <w:highlight w:val="none"/>
                    </w:rPr>
                  </w:pPr>
                  <w:r>
                    <w:rPr>
                      <w:color w:val="auto"/>
                      <w:kern w:val="0"/>
                      <w:szCs w:val="21"/>
                      <w:highlight w:val="none"/>
                    </w:rPr>
                    <w:t>25.7625</w:t>
                  </w:r>
                </w:p>
              </w:tc>
            </w:tr>
            <w:tr w14:paraId="435E8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6A9C922B">
                  <w:pPr>
                    <w:jc w:val="center"/>
                    <w:rPr>
                      <w:color w:val="auto"/>
                      <w:kern w:val="0"/>
                      <w:szCs w:val="21"/>
                      <w:highlight w:val="none"/>
                    </w:rPr>
                  </w:pPr>
                  <w:r>
                    <w:rPr>
                      <w:color w:val="auto"/>
                      <w:kern w:val="0"/>
                      <w:szCs w:val="21"/>
                      <w:highlight w:val="none"/>
                    </w:rPr>
                    <w:t>30</w:t>
                  </w:r>
                </w:p>
              </w:tc>
              <w:tc>
                <w:tcPr>
                  <w:tcW w:w="1388" w:type="dxa"/>
                  <w:tcBorders>
                    <w:tl2br w:val="nil"/>
                    <w:tr2bl w:val="nil"/>
                  </w:tcBorders>
                  <w:noWrap w:val="0"/>
                  <w:vAlign w:val="top"/>
                </w:tcPr>
                <w:p w14:paraId="3AEE8F5F">
                  <w:pPr>
                    <w:jc w:val="center"/>
                    <w:rPr>
                      <w:color w:val="auto"/>
                      <w:kern w:val="0"/>
                      <w:szCs w:val="21"/>
                      <w:highlight w:val="none"/>
                    </w:rPr>
                  </w:pPr>
                  <w:r>
                    <w:rPr>
                      <w:color w:val="auto"/>
                      <w:kern w:val="0"/>
                      <w:szCs w:val="21"/>
                      <w:highlight w:val="none"/>
                    </w:rPr>
                    <w:t>17.0002</w:t>
                  </w:r>
                </w:p>
              </w:tc>
              <w:tc>
                <w:tcPr>
                  <w:tcW w:w="1221" w:type="dxa"/>
                  <w:tcBorders>
                    <w:tl2br w:val="nil"/>
                    <w:tr2bl w:val="nil"/>
                  </w:tcBorders>
                  <w:noWrap w:val="0"/>
                  <w:vAlign w:val="top"/>
                </w:tcPr>
                <w:p w14:paraId="46F33BFC">
                  <w:pPr>
                    <w:jc w:val="center"/>
                    <w:rPr>
                      <w:color w:val="auto"/>
                      <w:kern w:val="0"/>
                      <w:szCs w:val="21"/>
                      <w:highlight w:val="none"/>
                    </w:rPr>
                  </w:pPr>
                  <w:r>
                    <w:rPr>
                      <w:color w:val="auto"/>
                      <w:kern w:val="0"/>
                      <w:szCs w:val="21"/>
                      <w:highlight w:val="none"/>
                    </w:rPr>
                    <w:t>16.8873</w:t>
                  </w:r>
                </w:p>
              </w:tc>
              <w:tc>
                <w:tcPr>
                  <w:tcW w:w="1219" w:type="dxa"/>
                  <w:tcBorders>
                    <w:tl2br w:val="nil"/>
                    <w:tr2bl w:val="nil"/>
                  </w:tcBorders>
                  <w:noWrap w:val="0"/>
                  <w:vAlign w:val="top"/>
                </w:tcPr>
                <w:p w14:paraId="66511737">
                  <w:pPr>
                    <w:jc w:val="center"/>
                    <w:rPr>
                      <w:color w:val="auto"/>
                      <w:kern w:val="0"/>
                      <w:szCs w:val="21"/>
                      <w:highlight w:val="none"/>
                    </w:rPr>
                  </w:pPr>
                  <w:r>
                    <w:rPr>
                      <w:color w:val="auto"/>
                      <w:kern w:val="0"/>
                      <w:szCs w:val="21"/>
                      <w:highlight w:val="none"/>
                    </w:rPr>
                    <w:t>16.5529</w:t>
                  </w:r>
                </w:p>
              </w:tc>
              <w:tc>
                <w:tcPr>
                  <w:tcW w:w="1221" w:type="dxa"/>
                  <w:tcBorders>
                    <w:tl2br w:val="nil"/>
                    <w:tr2bl w:val="nil"/>
                  </w:tcBorders>
                  <w:noWrap w:val="0"/>
                  <w:vAlign w:val="top"/>
                </w:tcPr>
                <w:p w14:paraId="2963CC3A">
                  <w:pPr>
                    <w:jc w:val="center"/>
                    <w:rPr>
                      <w:color w:val="auto"/>
                      <w:kern w:val="0"/>
                      <w:szCs w:val="21"/>
                      <w:highlight w:val="none"/>
                    </w:rPr>
                  </w:pPr>
                  <w:r>
                    <w:rPr>
                      <w:color w:val="auto"/>
                      <w:kern w:val="0"/>
                      <w:szCs w:val="21"/>
                      <w:highlight w:val="none"/>
                    </w:rPr>
                    <w:t>16.0102</w:t>
                  </w:r>
                </w:p>
              </w:tc>
              <w:tc>
                <w:tcPr>
                  <w:tcW w:w="1222" w:type="dxa"/>
                  <w:tcBorders>
                    <w:tl2br w:val="nil"/>
                    <w:tr2bl w:val="nil"/>
                  </w:tcBorders>
                  <w:noWrap w:val="0"/>
                  <w:vAlign w:val="top"/>
                </w:tcPr>
                <w:p w14:paraId="116B874D">
                  <w:pPr>
                    <w:jc w:val="center"/>
                    <w:rPr>
                      <w:color w:val="auto"/>
                      <w:kern w:val="0"/>
                      <w:szCs w:val="21"/>
                      <w:highlight w:val="none"/>
                    </w:rPr>
                  </w:pPr>
                  <w:r>
                    <w:rPr>
                      <w:color w:val="auto"/>
                      <w:kern w:val="0"/>
                      <w:szCs w:val="21"/>
                      <w:highlight w:val="none"/>
                    </w:rPr>
                    <w:t>15.2802</w:t>
                  </w:r>
                </w:p>
              </w:tc>
              <w:tc>
                <w:tcPr>
                  <w:tcW w:w="1216" w:type="dxa"/>
                  <w:tcBorders>
                    <w:tl2br w:val="nil"/>
                    <w:tr2bl w:val="nil"/>
                  </w:tcBorders>
                  <w:noWrap w:val="0"/>
                  <w:vAlign w:val="top"/>
                </w:tcPr>
                <w:p w14:paraId="0440B83D">
                  <w:pPr>
                    <w:jc w:val="center"/>
                    <w:rPr>
                      <w:color w:val="auto"/>
                      <w:kern w:val="0"/>
                      <w:szCs w:val="21"/>
                      <w:highlight w:val="none"/>
                    </w:rPr>
                  </w:pPr>
                  <w:r>
                    <w:rPr>
                      <w:color w:val="auto"/>
                      <w:kern w:val="0"/>
                      <w:szCs w:val="21"/>
                      <w:highlight w:val="none"/>
                    </w:rPr>
                    <w:t>14.3904</w:t>
                  </w:r>
                </w:p>
              </w:tc>
            </w:tr>
            <w:tr w14:paraId="62715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37A5518C">
                  <w:pPr>
                    <w:jc w:val="center"/>
                    <w:rPr>
                      <w:color w:val="auto"/>
                      <w:kern w:val="0"/>
                      <w:szCs w:val="21"/>
                      <w:highlight w:val="none"/>
                    </w:rPr>
                  </w:pPr>
                  <w:r>
                    <w:rPr>
                      <w:color w:val="auto"/>
                      <w:kern w:val="0"/>
                      <w:szCs w:val="21"/>
                      <w:highlight w:val="none"/>
                    </w:rPr>
                    <w:t>40</w:t>
                  </w:r>
                </w:p>
              </w:tc>
              <w:tc>
                <w:tcPr>
                  <w:tcW w:w="1388" w:type="dxa"/>
                  <w:tcBorders>
                    <w:tl2br w:val="nil"/>
                    <w:tr2bl w:val="nil"/>
                  </w:tcBorders>
                  <w:noWrap w:val="0"/>
                  <w:vAlign w:val="top"/>
                </w:tcPr>
                <w:p w14:paraId="39DBD11A">
                  <w:pPr>
                    <w:jc w:val="center"/>
                    <w:rPr>
                      <w:color w:val="auto"/>
                      <w:kern w:val="0"/>
                      <w:szCs w:val="21"/>
                      <w:highlight w:val="none"/>
                    </w:rPr>
                  </w:pPr>
                  <w:r>
                    <w:rPr>
                      <w:color w:val="auto"/>
                      <w:kern w:val="0"/>
                      <w:szCs w:val="21"/>
                      <w:highlight w:val="none"/>
                    </w:rPr>
                    <w:t>9.2666</w:t>
                  </w:r>
                </w:p>
              </w:tc>
              <w:tc>
                <w:tcPr>
                  <w:tcW w:w="1221" w:type="dxa"/>
                  <w:tcBorders>
                    <w:tl2br w:val="nil"/>
                    <w:tr2bl w:val="nil"/>
                  </w:tcBorders>
                  <w:noWrap w:val="0"/>
                  <w:vAlign w:val="top"/>
                </w:tcPr>
                <w:p w14:paraId="2CC43835">
                  <w:pPr>
                    <w:jc w:val="center"/>
                    <w:rPr>
                      <w:color w:val="auto"/>
                      <w:kern w:val="0"/>
                      <w:szCs w:val="21"/>
                      <w:highlight w:val="none"/>
                    </w:rPr>
                  </w:pPr>
                  <w:r>
                    <w:rPr>
                      <w:color w:val="auto"/>
                      <w:kern w:val="0"/>
                      <w:szCs w:val="21"/>
                      <w:highlight w:val="none"/>
                    </w:rPr>
                    <w:t>9.2204</w:t>
                  </w:r>
                </w:p>
              </w:tc>
              <w:tc>
                <w:tcPr>
                  <w:tcW w:w="1219" w:type="dxa"/>
                  <w:tcBorders>
                    <w:tl2br w:val="nil"/>
                    <w:tr2bl w:val="nil"/>
                  </w:tcBorders>
                  <w:noWrap w:val="0"/>
                  <w:vAlign w:val="top"/>
                </w:tcPr>
                <w:p w14:paraId="0C1CC60A">
                  <w:pPr>
                    <w:jc w:val="center"/>
                    <w:rPr>
                      <w:color w:val="auto"/>
                      <w:kern w:val="0"/>
                      <w:szCs w:val="21"/>
                      <w:highlight w:val="none"/>
                    </w:rPr>
                  </w:pPr>
                  <w:r>
                    <w:rPr>
                      <w:color w:val="auto"/>
                      <w:kern w:val="0"/>
                      <w:szCs w:val="21"/>
                      <w:highlight w:val="none"/>
                    </w:rPr>
                    <w:t>9.0832</w:t>
                  </w:r>
                </w:p>
              </w:tc>
              <w:tc>
                <w:tcPr>
                  <w:tcW w:w="1221" w:type="dxa"/>
                  <w:tcBorders>
                    <w:tl2br w:val="nil"/>
                    <w:tr2bl w:val="nil"/>
                  </w:tcBorders>
                  <w:noWrap w:val="0"/>
                  <w:vAlign w:val="top"/>
                </w:tcPr>
                <w:p w14:paraId="107405A5">
                  <w:pPr>
                    <w:jc w:val="center"/>
                    <w:rPr>
                      <w:color w:val="auto"/>
                      <w:kern w:val="0"/>
                      <w:szCs w:val="21"/>
                      <w:highlight w:val="none"/>
                    </w:rPr>
                  </w:pPr>
                  <w:r>
                    <w:rPr>
                      <w:color w:val="auto"/>
                      <w:kern w:val="0"/>
                      <w:szCs w:val="21"/>
                      <w:highlight w:val="none"/>
                    </w:rPr>
                    <w:t>8.8589</w:t>
                  </w:r>
                </w:p>
              </w:tc>
              <w:tc>
                <w:tcPr>
                  <w:tcW w:w="1222" w:type="dxa"/>
                  <w:tcBorders>
                    <w:tl2br w:val="nil"/>
                    <w:tr2bl w:val="nil"/>
                  </w:tcBorders>
                  <w:noWrap w:val="0"/>
                  <w:vAlign w:val="top"/>
                </w:tcPr>
                <w:p w14:paraId="1FCF3286">
                  <w:pPr>
                    <w:jc w:val="center"/>
                    <w:rPr>
                      <w:color w:val="auto"/>
                      <w:kern w:val="0"/>
                      <w:szCs w:val="21"/>
                      <w:highlight w:val="none"/>
                    </w:rPr>
                  </w:pPr>
                  <w:r>
                    <w:rPr>
                      <w:color w:val="auto"/>
                      <w:kern w:val="0"/>
                      <w:szCs w:val="21"/>
                      <w:highlight w:val="none"/>
                    </w:rPr>
                    <w:t>8.5542</w:t>
                  </w:r>
                </w:p>
              </w:tc>
              <w:tc>
                <w:tcPr>
                  <w:tcW w:w="1216" w:type="dxa"/>
                  <w:tcBorders>
                    <w:tl2br w:val="nil"/>
                    <w:tr2bl w:val="nil"/>
                  </w:tcBorders>
                  <w:noWrap w:val="0"/>
                  <w:vAlign w:val="top"/>
                </w:tcPr>
                <w:p w14:paraId="51DDD1A6">
                  <w:pPr>
                    <w:jc w:val="center"/>
                    <w:rPr>
                      <w:color w:val="auto"/>
                      <w:kern w:val="0"/>
                      <w:szCs w:val="21"/>
                      <w:highlight w:val="none"/>
                    </w:rPr>
                  </w:pPr>
                  <w:r>
                    <w:rPr>
                      <w:color w:val="auto"/>
                      <w:kern w:val="0"/>
                      <w:szCs w:val="21"/>
                      <w:highlight w:val="none"/>
                    </w:rPr>
                    <w:t>8.1778</w:t>
                  </w:r>
                </w:p>
              </w:tc>
            </w:tr>
            <w:tr w14:paraId="4C2CD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692837F8">
                  <w:pPr>
                    <w:jc w:val="center"/>
                    <w:rPr>
                      <w:color w:val="auto"/>
                      <w:kern w:val="0"/>
                      <w:szCs w:val="21"/>
                      <w:highlight w:val="none"/>
                    </w:rPr>
                  </w:pPr>
                  <w:r>
                    <w:rPr>
                      <w:color w:val="auto"/>
                      <w:kern w:val="0"/>
                      <w:szCs w:val="21"/>
                      <w:highlight w:val="none"/>
                    </w:rPr>
                    <w:t>50</w:t>
                  </w:r>
                </w:p>
              </w:tc>
              <w:tc>
                <w:tcPr>
                  <w:tcW w:w="1388" w:type="dxa"/>
                  <w:tcBorders>
                    <w:tl2br w:val="nil"/>
                    <w:tr2bl w:val="nil"/>
                  </w:tcBorders>
                  <w:noWrap w:val="0"/>
                  <w:vAlign w:val="top"/>
                </w:tcPr>
                <w:p w14:paraId="744D7617">
                  <w:pPr>
                    <w:jc w:val="center"/>
                    <w:rPr>
                      <w:color w:val="auto"/>
                      <w:kern w:val="0"/>
                      <w:szCs w:val="21"/>
                      <w:highlight w:val="none"/>
                    </w:rPr>
                  </w:pPr>
                  <w:r>
                    <w:rPr>
                      <w:color w:val="auto"/>
                      <w:kern w:val="0"/>
                      <w:szCs w:val="21"/>
                      <w:highlight w:val="none"/>
                    </w:rPr>
                    <w:t>5.2168</w:t>
                  </w:r>
                </w:p>
              </w:tc>
              <w:tc>
                <w:tcPr>
                  <w:tcW w:w="1221" w:type="dxa"/>
                  <w:tcBorders>
                    <w:tl2br w:val="nil"/>
                    <w:tr2bl w:val="nil"/>
                  </w:tcBorders>
                  <w:noWrap w:val="0"/>
                  <w:vAlign w:val="top"/>
                </w:tcPr>
                <w:p w14:paraId="6D9FE27E">
                  <w:pPr>
                    <w:jc w:val="center"/>
                    <w:rPr>
                      <w:color w:val="auto"/>
                      <w:kern w:val="0"/>
                      <w:szCs w:val="21"/>
                      <w:highlight w:val="none"/>
                    </w:rPr>
                  </w:pPr>
                  <w:r>
                    <w:rPr>
                      <w:color w:val="auto"/>
                      <w:kern w:val="0"/>
                      <w:szCs w:val="21"/>
                      <w:highlight w:val="none"/>
                    </w:rPr>
                    <w:t>5.196</w:t>
                  </w:r>
                </w:p>
              </w:tc>
              <w:tc>
                <w:tcPr>
                  <w:tcW w:w="1219" w:type="dxa"/>
                  <w:tcBorders>
                    <w:tl2br w:val="nil"/>
                    <w:tr2bl w:val="nil"/>
                  </w:tcBorders>
                  <w:noWrap w:val="0"/>
                  <w:vAlign w:val="top"/>
                </w:tcPr>
                <w:p w14:paraId="5CAF7872">
                  <w:pPr>
                    <w:jc w:val="center"/>
                    <w:rPr>
                      <w:color w:val="auto"/>
                      <w:kern w:val="0"/>
                      <w:szCs w:val="21"/>
                      <w:highlight w:val="none"/>
                    </w:rPr>
                  </w:pPr>
                  <w:r>
                    <w:rPr>
                      <w:color w:val="auto"/>
                      <w:kern w:val="0"/>
                      <w:szCs w:val="21"/>
                      <w:highlight w:val="none"/>
                    </w:rPr>
                    <w:t>5.134</w:t>
                  </w:r>
                </w:p>
              </w:tc>
              <w:tc>
                <w:tcPr>
                  <w:tcW w:w="1221" w:type="dxa"/>
                  <w:tcBorders>
                    <w:tl2br w:val="nil"/>
                    <w:tr2bl w:val="nil"/>
                  </w:tcBorders>
                  <w:noWrap w:val="0"/>
                  <w:vAlign w:val="top"/>
                </w:tcPr>
                <w:p w14:paraId="3A92A3A5">
                  <w:pPr>
                    <w:jc w:val="center"/>
                    <w:rPr>
                      <w:color w:val="auto"/>
                      <w:kern w:val="0"/>
                      <w:szCs w:val="21"/>
                      <w:highlight w:val="none"/>
                    </w:rPr>
                  </w:pPr>
                  <w:r>
                    <w:rPr>
                      <w:color w:val="auto"/>
                      <w:kern w:val="0"/>
                      <w:szCs w:val="21"/>
                      <w:highlight w:val="none"/>
                    </w:rPr>
                    <w:t>5.0324</w:t>
                  </w:r>
                </w:p>
              </w:tc>
              <w:tc>
                <w:tcPr>
                  <w:tcW w:w="1222" w:type="dxa"/>
                  <w:tcBorders>
                    <w:tl2br w:val="nil"/>
                    <w:tr2bl w:val="nil"/>
                  </w:tcBorders>
                  <w:noWrap w:val="0"/>
                  <w:vAlign w:val="top"/>
                </w:tcPr>
                <w:p w14:paraId="2B4789A4">
                  <w:pPr>
                    <w:jc w:val="center"/>
                    <w:rPr>
                      <w:color w:val="auto"/>
                      <w:kern w:val="0"/>
                      <w:szCs w:val="21"/>
                      <w:highlight w:val="none"/>
                    </w:rPr>
                  </w:pPr>
                  <w:r>
                    <w:rPr>
                      <w:color w:val="auto"/>
                      <w:kern w:val="0"/>
                      <w:szCs w:val="21"/>
                      <w:highlight w:val="none"/>
                    </w:rPr>
                    <w:t>4.8934</w:t>
                  </w:r>
                </w:p>
              </w:tc>
              <w:tc>
                <w:tcPr>
                  <w:tcW w:w="1216" w:type="dxa"/>
                  <w:tcBorders>
                    <w:tl2br w:val="nil"/>
                    <w:tr2bl w:val="nil"/>
                  </w:tcBorders>
                  <w:noWrap w:val="0"/>
                  <w:vAlign w:val="top"/>
                </w:tcPr>
                <w:p w14:paraId="6147F3D0">
                  <w:pPr>
                    <w:jc w:val="center"/>
                    <w:rPr>
                      <w:color w:val="auto"/>
                      <w:kern w:val="0"/>
                      <w:szCs w:val="21"/>
                      <w:highlight w:val="none"/>
                    </w:rPr>
                  </w:pPr>
                  <w:r>
                    <w:rPr>
                      <w:color w:val="auto"/>
                      <w:kern w:val="0"/>
                      <w:szCs w:val="21"/>
                      <w:highlight w:val="none"/>
                    </w:rPr>
                    <w:t>4.7204</w:t>
                  </w:r>
                </w:p>
              </w:tc>
            </w:tr>
            <w:tr w14:paraId="1E923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0606D6C7">
                  <w:pPr>
                    <w:jc w:val="center"/>
                    <w:rPr>
                      <w:color w:val="auto"/>
                      <w:kern w:val="0"/>
                      <w:szCs w:val="21"/>
                      <w:highlight w:val="none"/>
                    </w:rPr>
                  </w:pPr>
                  <w:r>
                    <w:rPr>
                      <w:color w:val="auto"/>
                      <w:kern w:val="0"/>
                      <w:szCs w:val="21"/>
                      <w:highlight w:val="none"/>
                    </w:rPr>
                    <w:t>60</w:t>
                  </w:r>
                </w:p>
              </w:tc>
              <w:tc>
                <w:tcPr>
                  <w:tcW w:w="1388" w:type="dxa"/>
                  <w:tcBorders>
                    <w:tl2br w:val="nil"/>
                    <w:tr2bl w:val="nil"/>
                  </w:tcBorders>
                  <w:noWrap w:val="0"/>
                  <w:vAlign w:val="top"/>
                </w:tcPr>
                <w:p w14:paraId="35310D5E">
                  <w:pPr>
                    <w:jc w:val="center"/>
                    <w:rPr>
                      <w:color w:val="auto"/>
                      <w:kern w:val="0"/>
                      <w:szCs w:val="21"/>
                      <w:highlight w:val="none"/>
                    </w:rPr>
                  </w:pPr>
                  <w:r>
                    <w:rPr>
                      <w:color w:val="auto"/>
                      <w:kern w:val="0"/>
                      <w:szCs w:val="21"/>
                      <w:highlight w:val="none"/>
                    </w:rPr>
                    <w:t>2.9975</w:t>
                  </w:r>
                </w:p>
              </w:tc>
              <w:tc>
                <w:tcPr>
                  <w:tcW w:w="1221" w:type="dxa"/>
                  <w:tcBorders>
                    <w:tl2br w:val="nil"/>
                    <w:tr2bl w:val="nil"/>
                  </w:tcBorders>
                  <w:noWrap w:val="0"/>
                  <w:vAlign w:val="top"/>
                </w:tcPr>
                <w:p w14:paraId="77A9F4B1">
                  <w:pPr>
                    <w:jc w:val="center"/>
                    <w:rPr>
                      <w:color w:val="auto"/>
                      <w:kern w:val="0"/>
                      <w:szCs w:val="21"/>
                      <w:highlight w:val="none"/>
                    </w:rPr>
                  </w:pPr>
                  <w:r>
                    <w:rPr>
                      <w:color w:val="auto"/>
                      <w:kern w:val="0"/>
                      <w:szCs w:val="21"/>
                      <w:highlight w:val="none"/>
                    </w:rPr>
                    <w:t>2.9875</w:t>
                  </w:r>
                </w:p>
              </w:tc>
              <w:tc>
                <w:tcPr>
                  <w:tcW w:w="1219" w:type="dxa"/>
                  <w:tcBorders>
                    <w:tl2br w:val="nil"/>
                    <w:tr2bl w:val="nil"/>
                  </w:tcBorders>
                  <w:noWrap w:val="0"/>
                  <w:vAlign w:val="top"/>
                </w:tcPr>
                <w:p w14:paraId="25143635">
                  <w:pPr>
                    <w:jc w:val="center"/>
                    <w:rPr>
                      <w:color w:val="auto"/>
                      <w:kern w:val="0"/>
                      <w:szCs w:val="21"/>
                      <w:highlight w:val="none"/>
                    </w:rPr>
                  </w:pPr>
                  <w:r>
                    <w:rPr>
                      <w:color w:val="auto"/>
                      <w:kern w:val="0"/>
                      <w:szCs w:val="21"/>
                      <w:highlight w:val="none"/>
                    </w:rPr>
                    <w:t>2.9578</w:t>
                  </w:r>
                </w:p>
              </w:tc>
              <w:tc>
                <w:tcPr>
                  <w:tcW w:w="1221" w:type="dxa"/>
                  <w:tcBorders>
                    <w:tl2br w:val="nil"/>
                    <w:tr2bl w:val="nil"/>
                  </w:tcBorders>
                  <w:noWrap w:val="0"/>
                  <w:vAlign w:val="top"/>
                </w:tcPr>
                <w:p w14:paraId="7E15306F">
                  <w:pPr>
                    <w:jc w:val="center"/>
                    <w:rPr>
                      <w:color w:val="auto"/>
                      <w:kern w:val="0"/>
                      <w:szCs w:val="21"/>
                      <w:highlight w:val="none"/>
                    </w:rPr>
                  </w:pPr>
                  <w:r>
                    <w:rPr>
                      <w:color w:val="auto"/>
                      <w:kern w:val="0"/>
                      <w:szCs w:val="21"/>
                      <w:highlight w:val="none"/>
                    </w:rPr>
                    <w:t>2.9089</w:t>
                  </w:r>
                </w:p>
              </w:tc>
              <w:tc>
                <w:tcPr>
                  <w:tcW w:w="1222" w:type="dxa"/>
                  <w:tcBorders>
                    <w:tl2br w:val="nil"/>
                    <w:tr2bl w:val="nil"/>
                  </w:tcBorders>
                  <w:noWrap w:val="0"/>
                  <w:vAlign w:val="top"/>
                </w:tcPr>
                <w:p w14:paraId="23ADFEA6">
                  <w:pPr>
                    <w:jc w:val="center"/>
                    <w:rPr>
                      <w:color w:val="auto"/>
                      <w:kern w:val="0"/>
                      <w:szCs w:val="21"/>
                      <w:highlight w:val="none"/>
                    </w:rPr>
                  </w:pPr>
                  <w:r>
                    <w:rPr>
                      <w:color w:val="auto"/>
                      <w:kern w:val="0"/>
                      <w:szCs w:val="21"/>
                      <w:highlight w:val="none"/>
                    </w:rPr>
                    <w:t>2.8418</w:t>
                  </w:r>
                </w:p>
              </w:tc>
              <w:tc>
                <w:tcPr>
                  <w:tcW w:w="1216" w:type="dxa"/>
                  <w:tcBorders>
                    <w:tl2br w:val="nil"/>
                    <w:tr2bl w:val="nil"/>
                  </w:tcBorders>
                  <w:noWrap w:val="0"/>
                  <w:vAlign w:val="top"/>
                </w:tcPr>
                <w:p w14:paraId="392B4D7D">
                  <w:pPr>
                    <w:jc w:val="center"/>
                    <w:rPr>
                      <w:color w:val="auto"/>
                      <w:kern w:val="0"/>
                      <w:szCs w:val="21"/>
                      <w:highlight w:val="none"/>
                    </w:rPr>
                  </w:pPr>
                  <w:r>
                    <w:rPr>
                      <w:color w:val="auto"/>
                      <w:kern w:val="0"/>
                      <w:szCs w:val="21"/>
                      <w:highlight w:val="none"/>
                    </w:rPr>
                    <w:t>2.7578</w:t>
                  </w:r>
                </w:p>
              </w:tc>
            </w:tr>
            <w:tr w14:paraId="575E0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436" w:type="dxa"/>
                  <w:tcBorders>
                    <w:tl2br w:val="nil"/>
                    <w:tr2bl w:val="nil"/>
                  </w:tcBorders>
                  <w:noWrap w:val="0"/>
                  <w:vAlign w:val="top"/>
                </w:tcPr>
                <w:p w14:paraId="2FC217F8">
                  <w:pPr>
                    <w:jc w:val="center"/>
                    <w:rPr>
                      <w:color w:val="auto"/>
                      <w:kern w:val="0"/>
                      <w:szCs w:val="21"/>
                      <w:highlight w:val="none"/>
                    </w:rPr>
                  </w:pPr>
                  <w:r>
                    <w:rPr>
                      <w:color w:val="auto"/>
                      <w:kern w:val="0"/>
                      <w:szCs w:val="21"/>
                      <w:highlight w:val="none"/>
                    </w:rPr>
                    <w:t>70</w:t>
                  </w:r>
                </w:p>
              </w:tc>
              <w:tc>
                <w:tcPr>
                  <w:tcW w:w="1388" w:type="dxa"/>
                  <w:tcBorders>
                    <w:tl2br w:val="nil"/>
                    <w:tr2bl w:val="nil"/>
                  </w:tcBorders>
                  <w:noWrap w:val="0"/>
                  <w:vAlign w:val="top"/>
                </w:tcPr>
                <w:p w14:paraId="646CEBB4">
                  <w:pPr>
                    <w:jc w:val="center"/>
                    <w:rPr>
                      <w:color w:val="auto"/>
                      <w:kern w:val="0"/>
                      <w:szCs w:val="21"/>
                      <w:highlight w:val="none"/>
                    </w:rPr>
                  </w:pPr>
                  <w:r>
                    <w:rPr>
                      <w:color w:val="auto"/>
                      <w:kern w:val="0"/>
                      <w:szCs w:val="21"/>
                      <w:highlight w:val="none"/>
                    </w:rPr>
                    <w:t>1.7467</w:t>
                  </w:r>
                </w:p>
              </w:tc>
              <w:tc>
                <w:tcPr>
                  <w:tcW w:w="1221" w:type="dxa"/>
                  <w:tcBorders>
                    <w:tl2br w:val="nil"/>
                    <w:tr2bl w:val="nil"/>
                  </w:tcBorders>
                  <w:noWrap w:val="0"/>
                  <w:vAlign w:val="top"/>
                </w:tcPr>
                <w:p w14:paraId="6ED826C7">
                  <w:pPr>
                    <w:jc w:val="center"/>
                    <w:rPr>
                      <w:color w:val="auto"/>
                      <w:kern w:val="0"/>
                      <w:szCs w:val="21"/>
                      <w:highlight w:val="none"/>
                    </w:rPr>
                  </w:pPr>
                  <w:r>
                    <w:rPr>
                      <w:color w:val="auto"/>
                      <w:kern w:val="0"/>
                      <w:szCs w:val="21"/>
                      <w:highlight w:val="none"/>
                    </w:rPr>
                    <w:t>1.7417</w:t>
                  </w:r>
                </w:p>
              </w:tc>
              <w:tc>
                <w:tcPr>
                  <w:tcW w:w="1219" w:type="dxa"/>
                  <w:tcBorders>
                    <w:tl2br w:val="nil"/>
                    <w:tr2bl w:val="nil"/>
                  </w:tcBorders>
                  <w:noWrap w:val="0"/>
                  <w:vAlign w:val="top"/>
                </w:tcPr>
                <w:p w14:paraId="2C8A14EA">
                  <w:pPr>
                    <w:jc w:val="center"/>
                    <w:rPr>
                      <w:color w:val="auto"/>
                      <w:kern w:val="0"/>
                      <w:szCs w:val="21"/>
                      <w:highlight w:val="none"/>
                    </w:rPr>
                  </w:pPr>
                  <w:r>
                    <w:rPr>
                      <w:color w:val="auto"/>
                      <w:kern w:val="0"/>
                      <w:szCs w:val="21"/>
                      <w:highlight w:val="none"/>
                    </w:rPr>
                    <w:t>1.7268</w:t>
                  </w:r>
                </w:p>
              </w:tc>
              <w:tc>
                <w:tcPr>
                  <w:tcW w:w="1221" w:type="dxa"/>
                  <w:tcBorders>
                    <w:tl2br w:val="nil"/>
                    <w:tr2bl w:val="nil"/>
                  </w:tcBorders>
                  <w:noWrap w:val="0"/>
                  <w:vAlign w:val="top"/>
                </w:tcPr>
                <w:p w14:paraId="20BCDC11">
                  <w:pPr>
                    <w:jc w:val="center"/>
                    <w:rPr>
                      <w:color w:val="auto"/>
                      <w:kern w:val="0"/>
                      <w:szCs w:val="21"/>
                      <w:highlight w:val="none"/>
                    </w:rPr>
                  </w:pPr>
                  <w:r>
                    <w:rPr>
                      <w:color w:val="auto"/>
                      <w:kern w:val="0"/>
                      <w:szCs w:val="21"/>
                      <w:highlight w:val="none"/>
                    </w:rPr>
                    <w:t>1.7024</w:t>
                  </w:r>
                </w:p>
              </w:tc>
              <w:tc>
                <w:tcPr>
                  <w:tcW w:w="1222" w:type="dxa"/>
                  <w:tcBorders>
                    <w:tl2br w:val="nil"/>
                    <w:tr2bl w:val="nil"/>
                  </w:tcBorders>
                  <w:noWrap w:val="0"/>
                  <w:vAlign w:val="top"/>
                </w:tcPr>
                <w:p w14:paraId="03EC6A26">
                  <w:pPr>
                    <w:jc w:val="center"/>
                    <w:rPr>
                      <w:color w:val="auto"/>
                      <w:kern w:val="0"/>
                      <w:szCs w:val="21"/>
                      <w:highlight w:val="none"/>
                    </w:rPr>
                  </w:pPr>
                  <w:r>
                    <w:rPr>
                      <w:color w:val="auto"/>
                      <w:kern w:val="0"/>
                      <w:szCs w:val="21"/>
                      <w:highlight w:val="none"/>
                    </w:rPr>
                    <w:t>1.6686</w:t>
                  </w:r>
                </w:p>
              </w:tc>
              <w:tc>
                <w:tcPr>
                  <w:tcW w:w="1216" w:type="dxa"/>
                  <w:tcBorders>
                    <w:tl2br w:val="nil"/>
                    <w:tr2bl w:val="nil"/>
                  </w:tcBorders>
                  <w:noWrap w:val="0"/>
                  <w:vAlign w:val="top"/>
                </w:tcPr>
                <w:p w14:paraId="17A43385">
                  <w:pPr>
                    <w:jc w:val="center"/>
                    <w:rPr>
                      <w:color w:val="auto"/>
                      <w:kern w:val="0"/>
                      <w:szCs w:val="21"/>
                      <w:highlight w:val="none"/>
                    </w:rPr>
                  </w:pPr>
                  <w:r>
                    <w:rPr>
                      <w:color w:val="auto"/>
                      <w:kern w:val="0"/>
                      <w:szCs w:val="21"/>
                      <w:highlight w:val="none"/>
                    </w:rPr>
                    <w:t>1.6263</w:t>
                  </w:r>
                </w:p>
              </w:tc>
            </w:tr>
            <w:tr w14:paraId="713C7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7C5482E3">
                  <w:pPr>
                    <w:jc w:val="center"/>
                    <w:rPr>
                      <w:color w:val="auto"/>
                      <w:kern w:val="0"/>
                      <w:szCs w:val="21"/>
                      <w:highlight w:val="none"/>
                    </w:rPr>
                  </w:pPr>
                  <w:r>
                    <w:rPr>
                      <w:color w:val="auto"/>
                      <w:kern w:val="0"/>
                      <w:szCs w:val="21"/>
                      <w:highlight w:val="none"/>
                    </w:rPr>
                    <w:t>80</w:t>
                  </w:r>
                </w:p>
              </w:tc>
              <w:tc>
                <w:tcPr>
                  <w:tcW w:w="1388" w:type="dxa"/>
                  <w:tcBorders>
                    <w:tl2br w:val="nil"/>
                    <w:tr2bl w:val="nil"/>
                  </w:tcBorders>
                  <w:noWrap w:val="0"/>
                  <w:vAlign w:val="top"/>
                </w:tcPr>
                <w:p w14:paraId="7D0BDFF7">
                  <w:pPr>
                    <w:jc w:val="center"/>
                    <w:rPr>
                      <w:color w:val="auto"/>
                      <w:kern w:val="0"/>
                      <w:szCs w:val="21"/>
                      <w:highlight w:val="none"/>
                    </w:rPr>
                  </w:pPr>
                  <w:r>
                    <w:rPr>
                      <w:color w:val="auto"/>
                      <w:kern w:val="0"/>
                      <w:szCs w:val="21"/>
                      <w:highlight w:val="none"/>
                    </w:rPr>
                    <w:t>1.0284</w:t>
                  </w:r>
                </w:p>
              </w:tc>
              <w:tc>
                <w:tcPr>
                  <w:tcW w:w="1221" w:type="dxa"/>
                  <w:tcBorders>
                    <w:tl2br w:val="nil"/>
                    <w:tr2bl w:val="nil"/>
                  </w:tcBorders>
                  <w:noWrap w:val="0"/>
                  <w:vAlign w:val="top"/>
                </w:tcPr>
                <w:p w14:paraId="3DC69323">
                  <w:pPr>
                    <w:jc w:val="center"/>
                    <w:rPr>
                      <w:color w:val="auto"/>
                      <w:kern w:val="0"/>
                      <w:szCs w:val="21"/>
                      <w:highlight w:val="none"/>
                    </w:rPr>
                  </w:pPr>
                  <w:r>
                    <w:rPr>
                      <w:color w:val="auto"/>
                      <w:kern w:val="0"/>
                      <w:szCs w:val="21"/>
                      <w:highlight w:val="none"/>
                    </w:rPr>
                    <w:t>1.0258</w:t>
                  </w:r>
                </w:p>
              </w:tc>
              <w:tc>
                <w:tcPr>
                  <w:tcW w:w="1219" w:type="dxa"/>
                  <w:tcBorders>
                    <w:tl2br w:val="nil"/>
                    <w:tr2bl w:val="nil"/>
                  </w:tcBorders>
                  <w:noWrap w:val="0"/>
                  <w:vAlign w:val="top"/>
                </w:tcPr>
                <w:p w14:paraId="519F616B">
                  <w:pPr>
                    <w:jc w:val="center"/>
                    <w:rPr>
                      <w:color w:val="auto"/>
                      <w:kern w:val="0"/>
                      <w:szCs w:val="21"/>
                      <w:highlight w:val="none"/>
                    </w:rPr>
                  </w:pPr>
                  <w:r>
                    <w:rPr>
                      <w:color w:val="auto"/>
                      <w:kern w:val="0"/>
                      <w:szCs w:val="21"/>
                      <w:highlight w:val="none"/>
                    </w:rPr>
                    <w:t>1.0182</w:t>
                  </w:r>
                </w:p>
              </w:tc>
              <w:tc>
                <w:tcPr>
                  <w:tcW w:w="1221" w:type="dxa"/>
                  <w:tcBorders>
                    <w:tl2br w:val="nil"/>
                    <w:tr2bl w:val="nil"/>
                  </w:tcBorders>
                  <w:noWrap w:val="0"/>
                  <w:vAlign w:val="top"/>
                </w:tcPr>
                <w:p w14:paraId="33550CCE">
                  <w:pPr>
                    <w:jc w:val="center"/>
                    <w:rPr>
                      <w:color w:val="auto"/>
                      <w:kern w:val="0"/>
                      <w:szCs w:val="21"/>
                      <w:highlight w:val="none"/>
                    </w:rPr>
                  </w:pPr>
                  <w:r>
                    <w:rPr>
                      <w:color w:val="auto"/>
                      <w:kern w:val="0"/>
                      <w:szCs w:val="21"/>
                      <w:highlight w:val="none"/>
                    </w:rPr>
                    <w:t>1.0055</w:t>
                  </w:r>
                </w:p>
              </w:tc>
              <w:tc>
                <w:tcPr>
                  <w:tcW w:w="1222" w:type="dxa"/>
                  <w:tcBorders>
                    <w:tl2br w:val="nil"/>
                    <w:tr2bl w:val="nil"/>
                  </w:tcBorders>
                  <w:noWrap w:val="0"/>
                  <w:vAlign w:val="top"/>
                </w:tcPr>
                <w:p w14:paraId="4A26C733">
                  <w:pPr>
                    <w:jc w:val="center"/>
                    <w:rPr>
                      <w:color w:val="auto"/>
                      <w:kern w:val="0"/>
                      <w:szCs w:val="21"/>
                      <w:highlight w:val="none"/>
                    </w:rPr>
                  </w:pPr>
                  <w:r>
                    <w:rPr>
                      <w:color w:val="auto"/>
                      <w:kern w:val="0"/>
                      <w:szCs w:val="21"/>
                      <w:highlight w:val="none"/>
                    </w:rPr>
                    <w:t>0.9881</w:t>
                  </w:r>
                </w:p>
              </w:tc>
              <w:tc>
                <w:tcPr>
                  <w:tcW w:w="1216" w:type="dxa"/>
                  <w:tcBorders>
                    <w:tl2br w:val="nil"/>
                    <w:tr2bl w:val="nil"/>
                  </w:tcBorders>
                  <w:noWrap w:val="0"/>
                  <w:vAlign w:val="top"/>
                </w:tcPr>
                <w:p w14:paraId="2DEDA9A5">
                  <w:pPr>
                    <w:jc w:val="center"/>
                    <w:rPr>
                      <w:color w:val="auto"/>
                      <w:kern w:val="0"/>
                      <w:szCs w:val="21"/>
                      <w:highlight w:val="none"/>
                    </w:rPr>
                  </w:pPr>
                  <w:r>
                    <w:rPr>
                      <w:color w:val="auto"/>
                      <w:kern w:val="0"/>
                      <w:szCs w:val="21"/>
                      <w:highlight w:val="none"/>
                    </w:rPr>
                    <w:t>0.9661</w:t>
                  </w:r>
                </w:p>
              </w:tc>
            </w:tr>
            <w:tr w14:paraId="4251D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6" w:type="dxa"/>
                  <w:tcBorders>
                    <w:tl2br w:val="nil"/>
                    <w:tr2bl w:val="nil"/>
                  </w:tcBorders>
                  <w:noWrap w:val="0"/>
                  <w:vAlign w:val="top"/>
                </w:tcPr>
                <w:p w14:paraId="2DD70851">
                  <w:pPr>
                    <w:jc w:val="center"/>
                    <w:rPr>
                      <w:color w:val="auto"/>
                      <w:kern w:val="0"/>
                      <w:szCs w:val="21"/>
                      <w:highlight w:val="none"/>
                    </w:rPr>
                  </w:pPr>
                  <w:r>
                    <w:rPr>
                      <w:color w:val="auto"/>
                      <w:kern w:val="0"/>
                      <w:szCs w:val="21"/>
                      <w:highlight w:val="none"/>
                    </w:rPr>
                    <w:t>90</w:t>
                  </w:r>
                </w:p>
              </w:tc>
              <w:tc>
                <w:tcPr>
                  <w:tcW w:w="1388" w:type="dxa"/>
                  <w:tcBorders>
                    <w:tl2br w:val="nil"/>
                    <w:tr2bl w:val="nil"/>
                  </w:tcBorders>
                  <w:noWrap w:val="0"/>
                  <w:vAlign w:val="top"/>
                </w:tcPr>
                <w:p w14:paraId="6BE7F412">
                  <w:pPr>
                    <w:jc w:val="center"/>
                    <w:rPr>
                      <w:color w:val="auto"/>
                      <w:kern w:val="0"/>
                      <w:szCs w:val="21"/>
                      <w:highlight w:val="none"/>
                    </w:rPr>
                  </w:pPr>
                  <w:r>
                    <w:rPr>
                      <w:color w:val="auto"/>
                      <w:kern w:val="0"/>
                      <w:szCs w:val="21"/>
                      <w:highlight w:val="none"/>
                    </w:rPr>
                    <w:t>0.6103</w:t>
                  </w:r>
                </w:p>
              </w:tc>
              <w:tc>
                <w:tcPr>
                  <w:tcW w:w="1221" w:type="dxa"/>
                  <w:tcBorders>
                    <w:tl2br w:val="nil"/>
                    <w:tr2bl w:val="nil"/>
                  </w:tcBorders>
                  <w:noWrap w:val="0"/>
                  <w:vAlign w:val="top"/>
                </w:tcPr>
                <w:p w14:paraId="52E052C4">
                  <w:pPr>
                    <w:jc w:val="center"/>
                    <w:rPr>
                      <w:color w:val="auto"/>
                      <w:kern w:val="0"/>
                      <w:szCs w:val="21"/>
                      <w:highlight w:val="none"/>
                    </w:rPr>
                  </w:pPr>
                  <w:r>
                    <w:rPr>
                      <w:color w:val="auto"/>
                      <w:kern w:val="0"/>
                      <w:szCs w:val="21"/>
                      <w:highlight w:val="none"/>
                    </w:rPr>
                    <w:t>0.6089</w:t>
                  </w:r>
                </w:p>
              </w:tc>
              <w:tc>
                <w:tcPr>
                  <w:tcW w:w="1219" w:type="dxa"/>
                  <w:tcBorders>
                    <w:tl2br w:val="nil"/>
                    <w:tr2bl w:val="nil"/>
                  </w:tcBorders>
                  <w:noWrap w:val="0"/>
                  <w:vAlign w:val="top"/>
                </w:tcPr>
                <w:p w14:paraId="579BD446">
                  <w:pPr>
                    <w:jc w:val="center"/>
                    <w:rPr>
                      <w:color w:val="auto"/>
                      <w:kern w:val="0"/>
                      <w:szCs w:val="21"/>
                      <w:highlight w:val="none"/>
                    </w:rPr>
                  </w:pPr>
                  <w:r>
                    <w:rPr>
                      <w:color w:val="auto"/>
                      <w:kern w:val="0"/>
                      <w:szCs w:val="21"/>
                      <w:highlight w:val="none"/>
                    </w:rPr>
                    <w:t>0.6049</w:t>
                  </w:r>
                </w:p>
              </w:tc>
              <w:tc>
                <w:tcPr>
                  <w:tcW w:w="1221" w:type="dxa"/>
                  <w:tcBorders>
                    <w:tl2br w:val="nil"/>
                    <w:tr2bl w:val="nil"/>
                  </w:tcBorders>
                  <w:noWrap w:val="0"/>
                  <w:vAlign w:val="top"/>
                </w:tcPr>
                <w:p w14:paraId="293B3F6E">
                  <w:pPr>
                    <w:jc w:val="center"/>
                    <w:rPr>
                      <w:color w:val="auto"/>
                      <w:kern w:val="0"/>
                      <w:szCs w:val="21"/>
                      <w:highlight w:val="none"/>
                    </w:rPr>
                  </w:pPr>
                  <w:r>
                    <w:rPr>
                      <w:color w:val="auto"/>
                      <w:kern w:val="0"/>
                      <w:szCs w:val="21"/>
                      <w:highlight w:val="none"/>
                    </w:rPr>
                    <w:t>0.5982</w:t>
                  </w:r>
                </w:p>
              </w:tc>
              <w:tc>
                <w:tcPr>
                  <w:tcW w:w="1222" w:type="dxa"/>
                  <w:tcBorders>
                    <w:tl2br w:val="nil"/>
                    <w:tr2bl w:val="nil"/>
                  </w:tcBorders>
                  <w:noWrap w:val="0"/>
                  <w:vAlign w:val="top"/>
                </w:tcPr>
                <w:p w14:paraId="640740FF">
                  <w:pPr>
                    <w:jc w:val="center"/>
                    <w:rPr>
                      <w:color w:val="auto"/>
                      <w:kern w:val="0"/>
                      <w:szCs w:val="21"/>
                      <w:highlight w:val="none"/>
                    </w:rPr>
                  </w:pPr>
                  <w:r>
                    <w:rPr>
                      <w:color w:val="auto"/>
                      <w:kern w:val="0"/>
                      <w:szCs w:val="21"/>
                      <w:highlight w:val="none"/>
                    </w:rPr>
                    <w:t>0.589</w:t>
                  </w:r>
                </w:p>
              </w:tc>
              <w:tc>
                <w:tcPr>
                  <w:tcW w:w="1216" w:type="dxa"/>
                  <w:tcBorders>
                    <w:tl2br w:val="nil"/>
                    <w:tr2bl w:val="nil"/>
                  </w:tcBorders>
                  <w:noWrap w:val="0"/>
                  <w:vAlign w:val="top"/>
                </w:tcPr>
                <w:p w14:paraId="2CE8A701">
                  <w:pPr>
                    <w:jc w:val="center"/>
                    <w:rPr>
                      <w:color w:val="auto"/>
                      <w:kern w:val="0"/>
                      <w:szCs w:val="21"/>
                      <w:highlight w:val="none"/>
                    </w:rPr>
                  </w:pPr>
                  <w:r>
                    <w:rPr>
                      <w:color w:val="auto"/>
                      <w:kern w:val="0"/>
                      <w:szCs w:val="21"/>
                      <w:highlight w:val="none"/>
                    </w:rPr>
                    <w:t>0.5773</w:t>
                  </w:r>
                </w:p>
              </w:tc>
            </w:tr>
            <w:tr w14:paraId="73267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3BD4D478">
                  <w:pPr>
                    <w:jc w:val="center"/>
                    <w:rPr>
                      <w:color w:val="auto"/>
                      <w:kern w:val="0"/>
                      <w:szCs w:val="21"/>
                      <w:highlight w:val="none"/>
                    </w:rPr>
                  </w:pPr>
                  <w:r>
                    <w:rPr>
                      <w:color w:val="auto"/>
                      <w:kern w:val="0"/>
                      <w:szCs w:val="21"/>
                      <w:highlight w:val="none"/>
                    </w:rPr>
                    <w:t>100</w:t>
                  </w:r>
                </w:p>
              </w:tc>
              <w:tc>
                <w:tcPr>
                  <w:tcW w:w="1388" w:type="dxa"/>
                  <w:tcBorders>
                    <w:tl2br w:val="nil"/>
                    <w:tr2bl w:val="nil"/>
                  </w:tcBorders>
                  <w:noWrap w:val="0"/>
                  <w:vAlign w:val="top"/>
                </w:tcPr>
                <w:p w14:paraId="5F8E923C">
                  <w:pPr>
                    <w:jc w:val="center"/>
                    <w:rPr>
                      <w:color w:val="auto"/>
                      <w:kern w:val="0"/>
                      <w:szCs w:val="21"/>
                      <w:highlight w:val="none"/>
                    </w:rPr>
                  </w:pPr>
                  <w:r>
                    <w:rPr>
                      <w:color w:val="auto"/>
                      <w:kern w:val="0"/>
                      <w:szCs w:val="21"/>
                      <w:highlight w:val="none"/>
                    </w:rPr>
                    <w:t>0.3644</w:t>
                  </w:r>
                </w:p>
              </w:tc>
              <w:tc>
                <w:tcPr>
                  <w:tcW w:w="1221" w:type="dxa"/>
                  <w:tcBorders>
                    <w:tl2br w:val="nil"/>
                    <w:tr2bl w:val="nil"/>
                  </w:tcBorders>
                  <w:noWrap w:val="0"/>
                  <w:vAlign w:val="top"/>
                </w:tcPr>
                <w:p w14:paraId="015DA653">
                  <w:pPr>
                    <w:jc w:val="center"/>
                    <w:rPr>
                      <w:color w:val="auto"/>
                      <w:kern w:val="0"/>
                      <w:szCs w:val="21"/>
                      <w:highlight w:val="none"/>
                    </w:rPr>
                  </w:pPr>
                  <w:r>
                    <w:rPr>
                      <w:color w:val="auto"/>
                      <w:kern w:val="0"/>
                      <w:szCs w:val="21"/>
                      <w:highlight w:val="none"/>
                    </w:rPr>
                    <w:t>0.3637</w:t>
                  </w:r>
                </w:p>
              </w:tc>
              <w:tc>
                <w:tcPr>
                  <w:tcW w:w="1219" w:type="dxa"/>
                  <w:tcBorders>
                    <w:tl2br w:val="nil"/>
                    <w:tr2bl w:val="nil"/>
                  </w:tcBorders>
                  <w:noWrap w:val="0"/>
                  <w:vAlign w:val="top"/>
                </w:tcPr>
                <w:p w14:paraId="30F57539">
                  <w:pPr>
                    <w:jc w:val="center"/>
                    <w:rPr>
                      <w:color w:val="auto"/>
                      <w:kern w:val="0"/>
                      <w:szCs w:val="21"/>
                      <w:highlight w:val="none"/>
                    </w:rPr>
                  </w:pPr>
                  <w:r>
                    <w:rPr>
                      <w:color w:val="auto"/>
                      <w:kern w:val="0"/>
                      <w:szCs w:val="21"/>
                      <w:highlight w:val="none"/>
                    </w:rPr>
                    <w:t>0.3615</w:t>
                  </w:r>
                </w:p>
              </w:tc>
              <w:tc>
                <w:tcPr>
                  <w:tcW w:w="1221" w:type="dxa"/>
                  <w:tcBorders>
                    <w:tl2br w:val="nil"/>
                    <w:tr2bl w:val="nil"/>
                  </w:tcBorders>
                  <w:noWrap w:val="0"/>
                  <w:vAlign w:val="top"/>
                </w:tcPr>
                <w:p w14:paraId="0462293D">
                  <w:pPr>
                    <w:jc w:val="center"/>
                    <w:rPr>
                      <w:color w:val="auto"/>
                      <w:kern w:val="0"/>
                      <w:szCs w:val="21"/>
                      <w:highlight w:val="none"/>
                    </w:rPr>
                  </w:pPr>
                  <w:r>
                    <w:rPr>
                      <w:color w:val="auto"/>
                      <w:kern w:val="0"/>
                      <w:szCs w:val="21"/>
                      <w:highlight w:val="none"/>
                    </w:rPr>
                    <w:t>0.3579</w:t>
                  </w:r>
                </w:p>
              </w:tc>
              <w:tc>
                <w:tcPr>
                  <w:tcW w:w="1222" w:type="dxa"/>
                  <w:tcBorders>
                    <w:tl2br w:val="nil"/>
                    <w:tr2bl w:val="nil"/>
                  </w:tcBorders>
                  <w:noWrap w:val="0"/>
                  <w:vAlign w:val="top"/>
                </w:tcPr>
                <w:p w14:paraId="6AFABBFF">
                  <w:pPr>
                    <w:jc w:val="center"/>
                    <w:rPr>
                      <w:color w:val="auto"/>
                      <w:kern w:val="0"/>
                      <w:szCs w:val="21"/>
                      <w:highlight w:val="none"/>
                    </w:rPr>
                  </w:pPr>
                  <w:r>
                    <w:rPr>
                      <w:color w:val="auto"/>
                      <w:kern w:val="0"/>
                      <w:szCs w:val="21"/>
                      <w:highlight w:val="none"/>
                    </w:rPr>
                    <w:t>0.3529</w:t>
                  </w:r>
                </w:p>
              </w:tc>
              <w:tc>
                <w:tcPr>
                  <w:tcW w:w="1216" w:type="dxa"/>
                  <w:tcBorders>
                    <w:tl2br w:val="nil"/>
                    <w:tr2bl w:val="nil"/>
                  </w:tcBorders>
                  <w:noWrap w:val="0"/>
                  <w:vAlign w:val="top"/>
                </w:tcPr>
                <w:p w14:paraId="75DF2BE1">
                  <w:pPr>
                    <w:jc w:val="center"/>
                    <w:rPr>
                      <w:color w:val="auto"/>
                      <w:kern w:val="0"/>
                      <w:szCs w:val="21"/>
                      <w:highlight w:val="none"/>
                    </w:rPr>
                  </w:pPr>
                  <w:r>
                    <w:rPr>
                      <w:color w:val="auto"/>
                      <w:kern w:val="0"/>
                      <w:szCs w:val="21"/>
                      <w:highlight w:val="none"/>
                    </w:rPr>
                    <w:t>0.3466</w:t>
                  </w:r>
                </w:p>
              </w:tc>
            </w:tr>
            <w:tr w14:paraId="06780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099AD68F">
                  <w:pPr>
                    <w:jc w:val="center"/>
                    <w:rPr>
                      <w:color w:val="auto"/>
                      <w:kern w:val="0"/>
                      <w:szCs w:val="21"/>
                      <w:highlight w:val="none"/>
                    </w:rPr>
                  </w:pPr>
                  <w:r>
                    <w:rPr>
                      <w:color w:val="auto"/>
                      <w:kern w:val="0"/>
                      <w:szCs w:val="21"/>
                      <w:highlight w:val="none"/>
                    </w:rPr>
                    <w:t>110</w:t>
                  </w:r>
                </w:p>
              </w:tc>
              <w:tc>
                <w:tcPr>
                  <w:tcW w:w="1388" w:type="dxa"/>
                  <w:tcBorders>
                    <w:tl2br w:val="nil"/>
                    <w:tr2bl w:val="nil"/>
                  </w:tcBorders>
                  <w:noWrap w:val="0"/>
                  <w:vAlign w:val="top"/>
                </w:tcPr>
                <w:p w14:paraId="7AEF978C">
                  <w:pPr>
                    <w:jc w:val="center"/>
                    <w:rPr>
                      <w:color w:val="auto"/>
                      <w:kern w:val="0"/>
                      <w:szCs w:val="21"/>
                      <w:highlight w:val="none"/>
                    </w:rPr>
                  </w:pPr>
                  <w:r>
                    <w:rPr>
                      <w:color w:val="auto"/>
                      <w:kern w:val="0"/>
                      <w:szCs w:val="21"/>
                      <w:highlight w:val="none"/>
                    </w:rPr>
                    <w:t>0.2187</w:t>
                  </w:r>
                </w:p>
              </w:tc>
              <w:tc>
                <w:tcPr>
                  <w:tcW w:w="1221" w:type="dxa"/>
                  <w:tcBorders>
                    <w:tl2br w:val="nil"/>
                    <w:tr2bl w:val="nil"/>
                  </w:tcBorders>
                  <w:noWrap w:val="0"/>
                  <w:vAlign w:val="top"/>
                </w:tcPr>
                <w:p w14:paraId="63A569B2">
                  <w:pPr>
                    <w:jc w:val="center"/>
                    <w:rPr>
                      <w:color w:val="auto"/>
                      <w:kern w:val="0"/>
                      <w:szCs w:val="21"/>
                      <w:highlight w:val="none"/>
                    </w:rPr>
                  </w:pPr>
                  <w:r>
                    <w:rPr>
                      <w:color w:val="auto"/>
                      <w:kern w:val="0"/>
                      <w:szCs w:val="21"/>
                      <w:highlight w:val="none"/>
                    </w:rPr>
                    <w:t>0.2183</w:t>
                  </w:r>
                </w:p>
              </w:tc>
              <w:tc>
                <w:tcPr>
                  <w:tcW w:w="1219" w:type="dxa"/>
                  <w:tcBorders>
                    <w:tl2br w:val="nil"/>
                    <w:tr2bl w:val="nil"/>
                  </w:tcBorders>
                  <w:noWrap w:val="0"/>
                  <w:vAlign w:val="top"/>
                </w:tcPr>
                <w:p w14:paraId="554668F5">
                  <w:pPr>
                    <w:jc w:val="center"/>
                    <w:rPr>
                      <w:color w:val="auto"/>
                      <w:kern w:val="0"/>
                      <w:szCs w:val="21"/>
                      <w:highlight w:val="none"/>
                    </w:rPr>
                  </w:pPr>
                  <w:r>
                    <w:rPr>
                      <w:color w:val="auto"/>
                      <w:kern w:val="0"/>
                      <w:szCs w:val="21"/>
                      <w:highlight w:val="none"/>
                    </w:rPr>
                    <w:t>0.2171</w:t>
                  </w:r>
                </w:p>
              </w:tc>
              <w:tc>
                <w:tcPr>
                  <w:tcW w:w="1221" w:type="dxa"/>
                  <w:tcBorders>
                    <w:tl2br w:val="nil"/>
                    <w:tr2bl w:val="nil"/>
                  </w:tcBorders>
                  <w:noWrap w:val="0"/>
                  <w:vAlign w:val="top"/>
                </w:tcPr>
                <w:p w14:paraId="136FFC81">
                  <w:pPr>
                    <w:jc w:val="center"/>
                    <w:rPr>
                      <w:color w:val="auto"/>
                      <w:kern w:val="0"/>
                      <w:szCs w:val="21"/>
                      <w:highlight w:val="none"/>
                    </w:rPr>
                  </w:pPr>
                  <w:r>
                    <w:rPr>
                      <w:color w:val="auto"/>
                      <w:kern w:val="0"/>
                      <w:szCs w:val="21"/>
                      <w:highlight w:val="none"/>
                    </w:rPr>
                    <w:t>0.2151</w:t>
                  </w:r>
                </w:p>
              </w:tc>
              <w:tc>
                <w:tcPr>
                  <w:tcW w:w="1222" w:type="dxa"/>
                  <w:tcBorders>
                    <w:tl2br w:val="nil"/>
                    <w:tr2bl w:val="nil"/>
                  </w:tcBorders>
                  <w:noWrap w:val="0"/>
                  <w:vAlign w:val="top"/>
                </w:tcPr>
                <w:p w14:paraId="363F363D">
                  <w:pPr>
                    <w:jc w:val="center"/>
                    <w:rPr>
                      <w:color w:val="auto"/>
                      <w:kern w:val="0"/>
                      <w:szCs w:val="21"/>
                      <w:highlight w:val="none"/>
                    </w:rPr>
                  </w:pPr>
                  <w:r>
                    <w:rPr>
                      <w:color w:val="auto"/>
                      <w:kern w:val="0"/>
                      <w:szCs w:val="21"/>
                      <w:highlight w:val="none"/>
                    </w:rPr>
                    <w:t>0.2124</w:t>
                  </w:r>
                </w:p>
              </w:tc>
              <w:tc>
                <w:tcPr>
                  <w:tcW w:w="1216" w:type="dxa"/>
                  <w:tcBorders>
                    <w:tl2br w:val="nil"/>
                    <w:tr2bl w:val="nil"/>
                  </w:tcBorders>
                  <w:noWrap w:val="0"/>
                  <w:vAlign w:val="top"/>
                </w:tcPr>
                <w:p w14:paraId="6CE475F1">
                  <w:pPr>
                    <w:jc w:val="center"/>
                    <w:rPr>
                      <w:color w:val="auto"/>
                      <w:kern w:val="0"/>
                      <w:szCs w:val="21"/>
                      <w:highlight w:val="none"/>
                    </w:rPr>
                  </w:pPr>
                  <w:r>
                    <w:rPr>
                      <w:color w:val="auto"/>
                      <w:kern w:val="0"/>
                      <w:szCs w:val="21"/>
                      <w:highlight w:val="none"/>
                    </w:rPr>
                    <w:t>0.209</w:t>
                  </w:r>
                </w:p>
              </w:tc>
            </w:tr>
            <w:tr w14:paraId="10451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1DB177EF">
                  <w:pPr>
                    <w:jc w:val="center"/>
                    <w:rPr>
                      <w:color w:val="auto"/>
                      <w:kern w:val="0"/>
                      <w:szCs w:val="21"/>
                      <w:highlight w:val="none"/>
                    </w:rPr>
                  </w:pPr>
                  <w:r>
                    <w:rPr>
                      <w:color w:val="auto"/>
                      <w:kern w:val="0"/>
                      <w:szCs w:val="21"/>
                      <w:highlight w:val="none"/>
                    </w:rPr>
                    <w:t>120</w:t>
                  </w:r>
                </w:p>
              </w:tc>
              <w:tc>
                <w:tcPr>
                  <w:tcW w:w="1388" w:type="dxa"/>
                  <w:tcBorders>
                    <w:tl2br w:val="nil"/>
                    <w:tr2bl w:val="nil"/>
                  </w:tcBorders>
                  <w:noWrap w:val="0"/>
                  <w:vAlign w:val="top"/>
                </w:tcPr>
                <w:p w14:paraId="2201447C">
                  <w:pPr>
                    <w:jc w:val="center"/>
                    <w:rPr>
                      <w:color w:val="auto"/>
                      <w:kern w:val="0"/>
                      <w:szCs w:val="21"/>
                      <w:highlight w:val="none"/>
                    </w:rPr>
                  </w:pPr>
                  <w:r>
                    <w:rPr>
                      <w:color w:val="auto"/>
                      <w:kern w:val="0"/>
                      <w:szCs w:val="21"/>
                      <w:highlight w:val="none"/>
                    </w:rPr>
                    <w:t>0.1318</w:t>
                  </w:r>
                </w:p>
              </w:tc>
              <w:tc>
                <w:tcPr>
                  <w:tcW w:w="1221" w:type="dxa"/>
                  <w:tcBorders>
                    <w:tl2br w:val="nil"/>
                    <w:tr2bl w:val="nil"/>
                  </w:tcBorders>
                  <w:noWrap w:val="0"/>
                  <w:vAlign w:val="top"/>
                </w:tcPr>
                <w:p w14:paraId="4D491DE5">
                  <w:pPr>
                    <w:jc w:val="center"/>
                    <w:rPr>
                      <w:color w:val="auto"/>
                      <w:kern w:val="0"/>
                      <w:szCs w:val="21"/>
                      <w:highlight w:val="none"/>
                    </w:rPr>
                  </w:pPr>
                  <w:r>
                    <w:rPr>
                      <w:color w:val="auto"/>
                      <w:kern w:val="0"/>
                      <w:szCs w:val="21"/>
                      <w:highlight w:val="none"/>
                    </w:rPr>
                    <w:t>0.1316</w:t>
                  </w:r>
                </w:p>
              </w:tc>
              <w:tc>
                <w:tcPr>
                  <w:tcW w:w="1219" w:type="dxa"/>
                  <w:tcBorders>
                    <w:tl2br w:val="nil"/>
                    <w:tr2bl w:val="nil"/>
                  </w:tcBorders>
                  <w:noWrap w:val="0"/>
                  <w:vAlign w:val="top"/>
                </w:tcPr>
                <w:p w14:paraId="11199B53">
                  <w:pPr>
                    <w:jc w:val="center"/>
                    <w:rPr>
                      <w:color w:val="auto"/>
                      <w:kern w:val="0"/>
                      <w:szCs w:val="21"/>
                      <w:highlight w:val="none"/>
                    </w:rPr>
                  </w:pPr>
                  <w:r>
                    <w:rPr>
                      <w:color w:val="auto"/>
                      <w:kern w:val="0"/>
                      <w:szCs w:val="21"/>
                      <w:highlight w:val="none"/>
                    </w:rPr>
                    <w:t>0.1309</w:t>
                  </w:r>
                </w:p>
              </w:tc>
              <w:tc>
                <w:tcPr>
                  <w:tcW w:w="1221" w:type="dxa"/>
                  <w:tcBorders>
                    <w:tl2br w:val="nil"/>
                    <w:tr2bl w:val="nil"/>
                  </w:tcBorders>
                  <w:noWrap w:val="0"/>
                  <w:vAlign w:val="top"/>
                </w:tcPr>
                <w:p w14:paraId="59A0CFD7">
                  <w:pPr>
                    <w:jc w:val="center"/>
                    <w:rPr>
                      <w:color w:val="auto"/>
                      <w:kern w:val="0"/>
                      <w:szCs w:val="21"/>
                      <w:highlight w:val="none"/>
                    </w:rPr>
                  </w:pPr>
                  <w:r>
                    <w:rPr>
                      <w:color w:val="auto"/>
                      <w:kern w:val="0"/>
                      <w:szCs w:val="21"/>
                      <w:highlight w:val="none"/>
                    </w:rPr>
                    <w:t>0.1298</w:t>
                  </w:r>
                </w:p>
              </w:tc>
              <w:tc>
                <w:tcPr>
                  <w:tcW w:w="1222" w:type="dxa"/>
                  <w:tcBorders>
                    <w:tl2br w:val="nil"/>
                    <w:tr2bl w:val="nil"/>
                  </w:tcBorders>
                  <w:noWrap w:val="0"/>
                  <w:vAlign w:val="top"/>
                </w:tcPr>
                <w:p w14:paraId="3ADD84AC">
                  <w:pPr>
                    <w:jc w:val="center"/>
                    <w:rPr>
                      <w:color w:val="auto"/>
                      <w:kern w:val="0"/>
                      <w:szCs w:val="21"/>
                      <w:highlight w:val="none"/>
                    </w:rPr>
                  </w:pPr>
                  <w:r>
                    <w:rPr>
                      <w:color w:val="auto"/>
                      <w:kern w:val="0"/>
                      <w:szCs w:val="21"/>
                      <w:highlight w:val="none"/>
                    </w:rPr>
                    <w:t>0.1283</w:t>
                  </w:r>
                </w:p>
              </w:tc>
              <w:tc>
                <w:tcPr>
                  <w:tcW w:w="1216" w:type="dxa"/>
                  <w:tcBorders>
                    <w:tl2br w:val="nil"/>
                    <w:tr2bl w:val="nil"/>
                  </w:tcBorders>
                  <w:noWrap w:val="0"/>
                  <w:vAlign w:val="top"/>
                </w:tcPr>
                <w:p w14:paraId="05CC3AE3">
                  <w:pPr>
                    <w:jc w:val="center"/>
                    <w:rPr>
                      <w:color w:val="auto"/>
                      <w:kern w:val="0"/>
                      <w:szCs w:val="21"/>
                      <w:highlight w:val="none"/>
                    </w:rPr>
                  </w:pPr>
                  <w:r>
                    <w:rPr>
                      <w:color w:val="auto"/>
                      <w:kern w:val="0"/>
                      <w:szCs w:val="21"/>
                      <w:highlight w:val="none"/>
                    </w:rPr>
                    <w:t>0.1264</w:t>
                  </w:r>
                </w:p>
              </w:tc>
            </w:tr>
            <w:tr w14:paraId="7F6BE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436" w:type="dxa"/>
                  <w:tcBorders>
                    <w:tl2br w:val="nil"/>
                    <w:tr2bl w:val="nil"/>
                  </w:tcBorders>
                  <w:noWrap w:val="0"/>
                  <w:vAlign w:val="top"/>
                </w:tcPr>
                <w:p w14:paraId="26887EA2">
                  <w:pPr>
                    <w:jc w:val="center"/>
                    <w:rPr>
                      <w:color w:val="auto"/>
                      <w:kern w:val="0"/>
                      <w:szCs w:val="21"/>
                      <w:highlight w:val="none"/>
                    </w:rPr>
                  </w:pPr>
                  <w:r>
                    <w:rPr>
                      <w:color w:val="auto"/>
                      <w:kern w:val="0"/>
                      <w:szCs w:val="21"/>
                      <w:highlight w:val="none"/>
                    </w:rPr>
                    <w:t>130</w:t>
                  </w:r>
                </w:p>
              </w:tc>
              <w:tc>
                <w:tcPr>
                  <w:tcW w:w="1388" w:type="dxa"/>
                  <w:tcBorders>
                    <w:tl2br w:val="nil"/>
                    <w:tr2bl w:val="nil"/>
                  </w:tcBorders>
                  <w:noWrap w:val="0"/>
                  <w:vAlign w:val="top"/>
                </w:tcPr>
                <w:p w14:paraId="15E8B523">
                  <w:pPr>
                    <w:jc w:val="center"/>
                    <w:rPr>
                      <w:color w:val="auto"/>
                      <w:kern w:val="0"/>
                      <w:szCs w:val="21"/>
                      <w:highlight w:val="none"/>
                    </w:rPr>
                  </w:pPr>
                  <w:r>
                    <w:rPr>
                      <w:color w:val="auto"/>
                      <w:kern w:val="0"/>
                      <w:szCs w:val="21"/>
                      <w:highlight w:val="none"/>
                    </w:rPr>
                    <w:t>0.0797</w:t>
                  </w:r>
                </w:p>
              </w:tc>
              <w:tc>
                <w:tcPr>
                  <w:tcW w:w="1221" w:type="dxa"/>
                  <w:tcBorders>
                    <w:tl2br w:val="nil"/>
                    <w:tr2bl w:val="nil"/>
                  </w:tcBorders>
                  <w:noWrap w:val="0"/>
                  <w:vAlign w:val="top"/>
                </w:tcPr>
                <w:p w14:paraId="422A7002">
                  <w:pPr>
                    <w:jc w:val="center"/>
                    <w:rPr>
                      <w:color w:val="auto"/>
                      <w:kern w:val="0"/>
                      <w:szCs w:val="21"/>
                      <w:highlight w:val="none"/>
                    </w:rPr>
                  </w:pPr>
                  <w:r>
                    <w:rPr>
                      <w:color w:val="auto"/>
                      <w:kern w:val="0"/>
                      <w:szCs w:val="21"/>
                      <w:highlight w:val="none"/>
                    </w:rPr>
                    <w:t>0.0796</w:t>
                  </w:r>
                </w:p>
              </w:tc>
              <w:tc>
                <w:tcPr>
                  <w:tcW w:w="1219" w:type="dxa"/>
                  <w:tcBorders>
                    <w:tl2br w:val="nil"/>
                    <w:tr2bl w:val="nil"/>
                  </w:tcBorders>
                  <w:noWrap w:val="0"/>
                  <w:vAlign w:val="top"/>
                </w:tcPr>
                <w:p w14:paraId="56222007">
                  <w:pPr>
                    <w:jc w:val="center"/>
                    <w:rPr>
                      <w:color w:val="auto"/>
                      <w:kern w:val="0"/>
                      <w:szCs w:val="21"/>
                      <w:highlight w:val="none"/>
                    </w:rPr>
                  </w:pPr>
                  <w:r>
                    <w:rPr>
                      <w:color w:val="auto"/>
                      <w:kern w:val="0"/>
                      <w:szCs w:val="21"/>
                      <w:highlight w:val="none"/>
                    </w:rPr>
                    <w:t>0.0792</w:t>
                  </w:r>
                </w:p>
              </w:tc>
              <w:tc>
                <w:tcPr>
                  <w:tcW w:w="1221" w:type="dxa"/>
                  <w:tcBorders>
                    <w:tl2br w:val="nil"/>
                    <w:tr2bl w:val="nil"/>
                  </w:tcBorders>
                  <w:noWrap w:val="0"/>
                  <w:vAlign w:val="top"/>
                </w:tcPr>
                <w:p w14:paraId="36ABB526">
                  <w:pPr>
                    <w:jc w:val="center"/>
                    <w:rPr>
                      <w:color w:val="auto"/>
                      <w:kern w:val="0"/>
                      <w:szCs w:val="21"/>
                      <w:highlight w:val="none"/>
                    </w:rPr>
                  </w:pPr>
                  <w:r>
                    <w:rPr>
                      <w:color w:val="auto"/>
                      <w:kern w:val="0"/>
                      <w:szCs w:val="21"/>
                      <w:highlight w:val="none"/>
                    </w:rPr>
                    <w:t>0.0786</w:t>
                  </w:r>
                </w:p>
              </w:tc>
              <w:tc>
                <w:tcPr>
                  <w:tcW w:w="1222" w:type="dxa"/>
                  <w:tcBorders>
                    <w:tl2br w:val="nil"/>
                    <w:tr2bl w:val="nil"/>
                  </w:tcBorders>
                  <w:noWrap w:val="0"/>
                  <w:vAlign w:val="top"/>
                </w:tcPr>
                <w:p w14:paraId="6BF8FAC0">
                  <w:pPr>
                    <w:jc w:val="center"/>
                    <w:rPr>
                      <w:color w:val="auto"/>
                      <w:kern w:val="0"/>
                      <w:szCs w:val="21"/>
                      <w:highlight w:val="none"/>
                    </w:rPr>
                  </w:pPr>
                  <w:r>
                    <w:rPr>
                      <w:color w:val="auto"/>
                      <w:kern w:val="0"/>
                      <w:szCs w:val="21"/>
                      <w:highlight w:val="none"/>
                    </w:rPr>
                    <w:t>0.0778</w:t>
                  </w:r>
                </w:p>
              </w:tc>
              <w:tc>
                <w:tcPr>
                  <w:tcW w:w="1216" w:type="dxa"/>
                  <w:tcBorders>
                    <w:tl2br w:val="nil"/>
                    <w:tr2bl w:val="nil"/>
                  </w:tcBorders>
                  <w:noWrap w:val="0"/>
                  <w:vAlign w:val="top"/>
                </w:tcPr>
                <w:p w14:paraId="081E2F16">
                  <w:pPr>
                    <w:jc w:val="center"/>
                    <w:rPr>
                      <w:color w:val="auto"/>
                      <w:kern w:val="0"/>
                      <w:szCs w:val="21"/>
                      <w:highlight w:val="none"/>
                    </w:rPr>
                  </w:pPr>
                  <w:r>
                    <w:rPr>
                      <w:color w:val="auto"/>
                      <w:kern w:val="0"/>
                      <w:szCs w:val="21"/>
                      <w:highlight w:val="none"/>
                    </w:rPr>
                    <w:t>0.0767</w:t>
                  </w:r>
                </w:p>
              </w:tc>
            </w:tr>
            <w:tr w14:paraId="592E2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15D5B79F">
                  <w:pPr>
                    <w:jc w:val="center"/>
                    <w:rPr>
                      <w:color w:val="auto"/>
                      <w:kern w:val="0"/>
                      <w:szCs w:val="21"/>
                      <w:highlight w:val="none"/>
                    </w:rPr>
                  </w:pPr>
                  <w:r>
                    <w:rPr>
                      <w:color w:val="auto"/>
                      <w:kern w:val="0"/>
                      <w:szCs w:val="21"/>
                      <w:highlight w:val="none"/>
                    </w:rPr>
                    <w:t>140</w:t>
                  </w:r>
                </w:p>
              </w:tc>
              <w:tc>
                <w:tcPr>
                  <w:tcW w:w="1388" w:type="dxa"/>
                  <w:tcBorders>
                    <w:tl2br w:val="nil"/>
                    <w:tr2bl w:val="nil"/>
                  </w:tcBorders>
                  <w:noWrap w:val="0"/>
                  <w:vAlign w:val="top"/>
                </w:tcPr>
                <w:p w14:paraId="2FB276B9">
                  <w:pPr>
                    <w:jc w:val="center"/>
                    <w:rPr>
                      <w:color w:val="auto"/>
                      <w:kern w:val="0"/>
                      <w:szCs w:val="21"/>
                      <w:highlight w:val="none"/>
                    </w:rPr>
                  </w:pPr>
                  <w:r>
                    <w:rPr>
                      <w:color w:val="auto"/>
                      <w:kern w:val="0"/>
                      <w:szCs w:val="21"/>
                      <w:highlight w:val="none"/>
                    </w:rPr>
                    <w:t>0.0483</w:t>
                  </w:r>
                </w:p>
              </w:tc>
              <w:tc>
                <w:tcPr>
                  <w:tcW w:w="1221" w:type="dxa"/>
                  <w:tcBorders>
                    <w:tl2br w:val="nil"/>
                    <w:tr2bl w:val="nil"/>
                  </w:tcBorders>
                  <w:noWrap w:val="0"/>
                  <w:vAlign w:val="top"/>
                </w:tcPr>
                <w:p w14:paraId="16795830">
                  <w:pPr>
                    <w:jc w:val="center"/>
                    <w:rPr>
                      <w:color w:val="auto"/>
                      <w:kern w:val="0"/>
                      <w:szCs w:val="21"/>
                      <w:highlight w:val="none"/>
                    </w:rPr>
                  </w:pPr>
                  <w:r>
                    <w:rPr>
                      <w:color w:val="auto"/>
                      <w:kern w:val="0"/>
                      <w:szCs w:val="21"/>
                      <w:highlight w:val="none"/>
                    </w:rPr>
                    <w:t>0.0483</w:t>
                  </w:r>
                </w:p>
              </w:tc>
              <w:tc>
                <w:tcPr>
                  <w:tcW w:w="1219" w:type="dxa"/>
                  <w:tcBorders>
                    <w:tl2br w:val="nil"/>
                    <w:tr2bl w:val="nil"/>
                  </w:tcBorders>
                  <w:noWrap w:val="0"/>
                  <w:vAlign w:val="top"/>
                </w:tcPr>
                <w:p w14:paraId="1DEA9C84">
                  <w:pPr>
                    <w:jc w:val="center"/>
                    <w:rPr>
                      <w:color w:val="auto"/>
                      <w:kern w:val="0"/>
                      <w:szCs w:val="21"/>
                      <w:highlight w:val="none"/>
                    </w:rPr>
                  </w:pPr>
                  <w:r>
                    <w:rPr>
                      <w:color w:val="auto"/>
                      <w:kern w:val="0"/>
                      <w:szCs w:val="21"/>
                      <w:highlight w:val="none"/>
                    </w:rPr>
                    <w:t>0.0481</w:t>
                  </w:r>
                </w:p>
              </w:tc>
              <w:tc>
                <w:tcPr>
                  <w:tcW w:w="1221" w:type="dxa"/>
                  <w:tcBorders>
                    <w:tl2br w:val="nil"/>
                    <w:tr2bl w:val="nil"/>
                  </w:tcBorders>
                  <w:noWrap w:val="0"/>
                  <w:vAlign w:val="top"/>
                </w:tcPr>
                <w:p w14:paraId="05785AEF">
                  <w:pPr>
                    <w:jc w:val="center"/>
                    <w:rPr>
                      <w:color w:val="auto"/>
                      <w:kern w:val="0"/>
                      <w:szCs w:val="21"/>
                      <w:highlight w:val="none"/>
                    </w:rPr>
                  </w:pPr>
                  <w:r>
                    <w:rPr>
                      <w:color w:val="auto"/>
                      <w:kern w:val="0"/>
                      <w:szCs w:val="21"/>
                      <w:highlight w:val="none"/>
                    </w:rPr>
                    <w:t>0.0477</w:t>
                  </w:r>
                </w:p>
              </w:tc>
              <w:tc>
                <w:tcPr>
                  <w:tcW w:w="1222" w:type="dxa"/>
                  <w:tcBorders>
                    <w:tl2br w:val="nil"/>
                    <w:tr2bl w:val="nil"/>
                  </w:tcBorders>
                  <w:noWrap w:val="0"/>
                  <w:vAlign w:val="top"/>
                </w:tcPr>
                <w:p w14:paraId="04800587">
                  <w:pPr>
                    <w:jc w:val="center"/>
                    <w:rPr>
                      <w:color w:val="auto"/>
                      <w:kern w:val="0"/>
                      <w:szCs w:val="21"/>
                      <w:highlight w:val="none"/>
                    </w:rPr>
                  </w:pPr>
                  <w:r>
                    <w:rPr>
                      <w:color w:val="auto"/>
                      <w:kern w:val="0"/>
                      <w:szCs w:val="21"/>
                      <w:highlight w:val="none"/>
                    </w:rPr>
                    <w:t>0.0472</w:t>
                  </w:r>
                </w:p>
              </w:tc>
              <w:tc>
                <w:tcPr>
                  <w:tcW w:w="1216" w:type="dxa"/>
                  <w:tcBorders>
                    <w:tl2br w:val="nil"/>
                    <w:tr2bl w:val="nil"/>
                  </w:tcBorders>
                  <w:noWrap w:val="0"/>
                  <w:vAlign w:val="top"/>
                </w:tcPr>
                <w:p w14:paraId="472591B6">
                  <w:pPr>
                    <w:jc w:val="center"/>
                    <w:rPr>
                      <w:color w:val="auto"/>
                      <w:kern w:val="0"/>
                      <w:szCs w:val="21"/>
                      <w:highlight w:val="none"/>
                    </w:rPr>
                  </w:pPr>
                  <w:r>
                    <w:rPr>
                      <w:color w:val="auto"/>
                      <w:kern w:val="0"/>
                      <w:szCs w:val="21"/>
                      <w:highlight w:val="none"/>
                    </w:rPr>
                    <w:t>0.0466</w:t>
                  </w:r>
                </w:p>
              </w:tc>
            </w:tr>
            <w:tr w14:paraId="535FD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7B11C23E">
                  <w:pPr>
                    <w:jc w:val="center"/>
                    <w:rPr>
                      <w:color w:val="auto"/>
                      <w:kern w:val="0"/>
                      <w:szCs w:val="21"/>
                      <w:highlight w:val="none"/>
                    </w:rPr>
                  </w:pPr>
                  <w:r>
                    <w:rPr>
                      <w:color w:val="auto"/>
                      <w:kern w:val="0"/>
                      <w:szCs w:val="21"/>
                      <w:highlight w:val="none"/>
                    </w:rPr>
                    <w:t>150</w:t>
                  </w:r>
                </w:p>
              </w:tc>
              <w:tc>
                <w:tcPr>
                  <w:tcW w:w="1388" w:type="dxa"/>
                  <w:tcBorders>
                    <w:tl2br w:val="nil"/>
                    <w:tr2bl w:val="nil"/>
                  </w:tcBorders>
                  <w:noWrap w:val="0"/>
                  <w:vAlign w:val="top"/>
                </w:tcPr>
                <w:p w14:paraId="14871DAD">
                  <w:pPr>
                    <w:jc w:val="center"/>
                    <w:rPr>
                      <w:color w:val="auto"/>
                      <w:kern w:val="0"/>
                      <w:szCs w:val="21"/>
                      <w:highlight w:val="none"/>
                    </w:rPr>
                  </w:pPr>
                  <w:r>
                    <w:rPr>
                      <w:color w:val="auto"/>
                      <w:kern w:val="0"/>
                      <w:szCs w:val="21"/>
                      <w:highlight w:val="none"/>
                    </w:rPr>
                    <w:t>0.0294</w:t>
                  </w:r>
                </w:p>
              </w:tc>
              <w:tc>
                <w:tcPr>
                  <w:tcW w:w="1221" w:type="dxa"/>
                  <w:tcBorders>
                    <w:tl2br w:val="nil"/>
                    <w:tr2bl w:val="nil"/>
                  </w:tcBorders>
                  <w:noWrap w:val="0"/>
                  <w:vAlign w:val="top"/>
                </w:tcPr>
                <w:p w14:paraId="584ABFC1">
                  <w:pPr>
                    <w:jc w:val="center"/>
                    <w:rPr>
                      <w:color w:val="auto"/>
                      <w:kern w:val="0"/>
                      <w:szCs w:val="21"/>
                      <w:highlight w:val="none"/>
                    </w:rPr>
                  </w:pPr>
                  <w:r>
                    <w:rPr>
                      <w:color w:val="auto"/>
                      <w:kern w:val="0"/>
                      <w:szCs w:val="21"/>
                      <w:highlight w:val="none"/>
                    </w:rPr>
                    <w:t>0.0294</w:t>
                  </w:r>
                </w:p>
              </w:tc>
              <w:tc>
                <w:tcPr>
                  <w:tcW w:w="1219" w:type="dxa"/>
                  <w:tcBorders>
                    <w:tl2br w:val="nil"/>
                    <w:tr2bl w:val="nil"/>
                  </w:tcBorders>
                  <w:noWrap w:val="0"/>
                  <w:vAlign w:val="top"/>
                </w:tcPr>
                <w:p w14:paraId="50FAAD23">
                  <w:pPr>
                    <w:jc w:val="center"/>
                    <w:rPr>
                      <w:color w:val="auto"/>
                      <w:kern w:val="0"/>
                      <w:szCs w:val="21"/>
                      <w:highlight w:val="none"/>
                    </w:rPr>
                  </w:pPr>
                  <w:r>
                    <w:rPr>
                      <w:color w:val="auto"/>
                      <w:kern w:val="0"/>
                      <w:szCs w:val="21"/>
                      <w:highlight w:val="none"/>
                    </w:rPr>
                    <w:t>0.0292</w:t>
                  </w:r>
                </w:p>
              </w:tc>
              <w:tc>
                <w:tcPr>
                  <w:tcW w:w="1221" w:type="dxa"/>
                  <w:tcBorders>
                    <w:tl2br w:val="nil"/>
                    <w:tr2bl w:val="nil"/>
                  </w:tcBorders>
                  <w:noWrap w:val="0"/>
                  <w:vAlign w:val="top"/>
                </w:tcPr>
                <w:p w14:paraId="4672D2C8">
                  <w:pPr>
                    <w:jc w:val="center"/>
                    <w:rPr>
                      <w:color w:val="auto"/>
                      <w:kern w:val="0"/>
                      <w:szCs w:val="21"/>
                      <w:highlight w:val="none"/>
                    </w:rPr>
                  </w:pPr>
                  <w:r>
                    <w:rPr>
                      <w:color w:val="auto"/>
                      <w:kern w:val="0"/>
                      <w:szCs w:val="21"/>
                      <w:highlight w:val="none"/>
                    </w:rPr>
                    <w:t>0.029</w:t>
                  </w:r>
                </w:p>
              </w:tc>
              <w:tc>
                <w:tcPr>
                  <w:tcW w:w="1222" w:type="dxa"/>
                  <w:tcBorders>
                    <w:tl2br w:val="nil"/>
                    <w:tr2bl w:val="nil"/>
                  </w:tcBorders>
                  <w:noWrap w:val="0"/>
                  <w:vAlign w:val="top"/>
                </w:tcPr>
                <w:p w14:paraId="716DE1D2">
                  <w:pPr>
                    <w:jc w:val="center"/>
                    <w:rPr>
                      <w:color w:val="auto"/>
                      <w:kern w:val="0"/>
                      <w:szCs w:val="21"/>
                      <w:highlight w:val="none"/>
                    </w:rPr>
                  </w:pPr>
                  <w:r>
                    <w:rPr>
                      <w:color w:val="auto"/>
                      <w:kern w:val="0"/>
                      <w:szCs w:val="21"/>
                      <w:highlight w:val="none"/>
                    </w:rPr>
                    <w:t>0.0288</w:t>
                  </w:r>
                </w:p>
              </w:tc>
              <w:tc>
                <w:tcPr>
                  <w:tcW w:w="1216" w:type="dxa"/>
                  <w:tcBorders>
                    <w:tl2br w:val="nil"/>
                    <w:tr2bl w:val="nil"/>
                  </w:tcBorders>
                  <w:noWrap w:val="0"/>
                  <w:vAlign w:val="top"/>
                </w:tcPr>
                <w:p w14:paraId="4D54BEA2">
                  <w:pPr>
                    <w:jc w:val="center"/>
                    <w:rPr>
                      <w:color w:val="auto"/>
                      <w:kern w:val="0"/>
                      <w:szCs w:val="21"/>
                      <w:highlight w:val="none"/>
                    </w:rPr>
                  </w:pPr>
                  <w:r>
                    <w:rPr>
                      <w:color w:val="auto"/>
                      <w:kern w:val="0"/>
                      <w:szCs w:val="21"/>
                      <w:highlight w:val="none"/>
                    </w:rPr>
                    <w:t>0.0284</w:t>
                  </w:r>
                </w:p>
              </w:tc>
            </w:tr>
            <w:tr w14:paraId="1CAD4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5A54178D">
                  <w:pPr>
                    <w:jc w:val="center"/>
                    <w:rPr>
                      <w:color w:val="auto"/>
                      <w:kern w:val="0"/>
                      <w:szCs w:val="21"/>
                      <w:highlight w:val="none"/>
                    </w:rPr>
                  </w:pPr>
                  <w:r>
                    <w:rPr>
                      <w:color w:val="auto"/>
                      <w:kern w:val="0"/>
                      <w:szCs w:val="21"/>
                      <w:highlight w:val="none"/>
                    </w:rPr>
                    <w:t>160</w:t>
                  </w:r>
                </w:p>
              </w:tc>
              <w:tc>
                <w:tcPr>
                  <w:tcW w:w="1388" w:type="dxa"/>
                  <w:tcBorders>
                    <w:tl2br w:val="nil"/>
                    <w:tr2bl w:val="nil"/>
                  </w:tcBorders>
                  <w:noWrap w:val="0"/>
                  <w:vAlign w:val="top"/>
                </w:tcPr>
                <w:p w14:paraId="3D87FCFC">
                  <w:pPr>
                    <w:jc w:val="center"/>
                    <w:rPr>
                      <w:color w:val="auto"/>
                      <w:kern w:val="0"/>
                      <w:szCs w:val="21"/>
                      <w:highlight w:val="none"/>
                    </w:rPr>
                  </w:pPr>
                  <w:r>
                    <w:rPr>
                      <w:color w:val="auto"/>
                      <w:kern w:val="0"/>
                      <w:szCs w:val="21"/>
                      <w:highlight w:val="none"/>
                    </w:rPr>
                    <w:t>0.0179</w:t>
                  </w:r>
                </w:p>
              </w:tc>
              <w:tc>
                <w:tcPr>
                  <w:tcW w:w="1221" w:type="dxa"/>
                  <w:tcBorders>
                    <w:tl2br w:val="nil"/>
                    <w:tr2bl w:val="nil"/>
                  </w:tcBorders>
                  <w:noWrap w:val="0"/>
                  <w:vAlign w:val="top"/>
                </w:tcPr>
                <w:p w14:paraId="5FDE0860">
                  <w:pPr>
                    <w:jc w:val="center"/>
                    <w:rPr>
                      <w:color w:val="auto"/>
                      <w:kern w:val="0"/>
                      <w:szCs w:val="21"/>
                      <w:highlight w:val="none"/>
                    </w:rPr>
                  </w:pPr>
                  <w:r>
                    <w:rPr>
                      <w:color w:val="auto"/>
                      <w:kern w:val="0"/>
                      <w:szCs w:val="21"/>
                      <w:highlight w:val="none"/>
                    </w:rPr>
                    <w:t>0.0179</w:t>
                  </w:r>
                </w:p>
              </w:tc>
              <w:tc>
                <w:tcPr>
                  <w:tcW w:w="1219" w:type="dxa"/>
                  <w:tcBorders>
                    <w:tl2br w:val="nil"/>
                    <w:tr2bl w:val="nil"/>
                  </w:tcBorders>
                  <w:noWrap w:val="0"/>
                  <w:vAlign w:val="top"/>
                </w:tcPr>
                <w:p w14:paraId="3D94DC99">
                  <w:pPr>
                    <w:jc w:val="center"/>
                    <w:rPr>
                      <w:color w:val="auto"/>
                      <w:kern w:val="0"/>
                      <w:szCs w:val="21"/>
                      <w:highlight w:val="none"/>
                    </w:rPr>
                  </w:pPr>
                  <w:r>
                    <w:rPr>
                      <w:color w:val="auto"/>
                      <w:kern w:val="0"/>
                      <w:szCs w:val="21"/>
                      <w:highlight w:val="none"/>
                    </w:rPr>
                    <w:t>0.0178</w:t>
                  </w:r>
                </w:p>
              </w:tc>
              <w:tc>
                <w:tcPr>
                  <w:tcW w:w="1221" w:type="dxa"/>
                  <w:tcBorders>
                    <w:tl2br w:val="nil"/>
                    <w:tr2bl w:val="nil"/>
                  </w:tcBorders>
                  <w:noWrap w:val="0"/>
                  <w:vAlign w:val="top"/>
                </w:tcPr>
                <w:p w14:paraId="37C6F0C5">
                  <w:pPr>
                    <w:jc w:val="center"/>
                    <w:rPr>
                      <w:color w:val="auto"/>
                      <w:kern w:val="0"/>
                      <w:szCs w:val="21"/>
                      <w:highlight w:val="none"/>
                    </w:rPr>
                  </w:pPr>
                  <w:r>
                    <w:rPr>
                      <w:color w:val="auto"/>
                      <w:kern w:val="0"/>
                      <w:szCs w:val="21"/>
                      <w:highlight w:val="none"/>
                    </w:rPr>
                    <w:t>0.0177</w:t>
                  </w:r>
                </w:p>
              </w:tc>
              <w:tc>
                <w:tcPr>
                  <w:tcW w:w="1222" w:type="dxa"/>
                  <w:tcBorders>
                    <w:tl2br w:val="nil"/>
                    <w:tr2bl w:val="nil"/>
                  </w:tcBorders>
                  <w:noWrap w:val="0"/>
                  <w:vAlign w:val="top"/>
                </w:tcPr>
                <w:p w14:paraId="1F8A87D8">
                  <w:pPr>
                    <w:jc w:val="center"/>
                    <w:rPr>
                      <w:color w:val="auto"/>
                      <w:kern w:val="0"/>
                      <w:szCs w:val="21"/>
                      <w:highlight w:val="none"/>
                    </w:rPr>
                  </w:pPr>
                  <w:r>
                    <w:rPr>
                      <w:color w:val="auto"/>
                      <w:kern w:val="0"/>
                      <w:szCs w:val="21"/>
                      <w:highlight w:val="none"/>
                    </w:rPr>
                    <w:t>0.0176</w:t>
                  </w:r>
                </w:p>
              </w:tc>
              <w:tc>
                <w:tcPr>
                  <w:tcW w:w="1216" w:type="dxa"/>
                  <w:tcBorders>
                    <w:tl2br w:val="nil"/>
                    <w:tr2bl w:val="nil"/>
                  </w:tcBorders>
                  <w:noWrap w:val="0"/>
                  <w:vAlign w:val="top"/>
                </w:tcPr>
                <w:p w14:paraId="5428B5F2">
                  <w:pPr>
                    <w:jc w:val="center"/>
                    <w:rPr>
                      <w:color w:val="auto"/>
                      <w:kern w:val="0"/>
                      <w:szCs w:val="21"/>
                      <w:highlight w:val="none"/>
                    </w:rPr>
                  </w:pPr>
                  <w:r>
                    <w:rPr>
                      <w:color w:val="auto"/>
                      <w:kern w:val="0"/>
                      <w:szCs w:val="21"/>
                      <w:highlight w:val="none"/>
                    </w:rPr>
                    <w:t>0.0174</w:t>
                  </w:r>
                </w:p>
              </w:tc>
            </w:tr>
            <w:tr w14:paraId="66E75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37B858F7">
                  <w:pPr>
                    <w:jc w:val="center"/>
                    <w:rPr>
                      <w:color w:val="auto"/>
                      <w:kern w:val="0"/>
                      <w:szCs w:val="21"/>
                      <w:highlight w:val="none"/>
                    </w:rPr>
                  </w:pPr>
                  <w:r>
                    <w:rPr>
                      <w:color w:val="auto"/>
                      <w:kern w:val="0"/>
                      <w:szCs w:val="21"/>
                      <w:highlight w:val="none"/>
                    </w:rPr>
                    <w:t>170</w:t>
                  </w:r>
                </w:p>
              </w:tc>
              <w:tc>
                <w:tcPr>
                  <w:tcW w:w="1388" w:type="dxa"/>
                  <w:tcBorders>
                    <w:tl2br w:val="nil"/>
                    <w:tr2bl w:val="nil"/>
                  </w:tcBorders>
                  <w:noWrap w:val="0"/>
                  <w:vAlign w:val="top"/>
                </w:tcPr>
                <w:p w14:paraId="46B75141">
                  <w:pPr>
                    <w:jc w:val="center"/>
                    <w:rPr>
                      <w:color w:val="auto"/>
                      <w:kern w:val="0"/>
                      <w:szCs w:val="21"/>
                      <w:highlight w:val="none"/>
                    </w:rPr>
                  </w:pPr>
                  <w:r>
                    <w:rPr>
                      <w:color w:val="auto"/>
                      <w:kern w:val="0"/>
                      <w:szCs w:val="21"/>
                      <w:highlight w:val="none"/>
                    </w:rPr>
                    <w:t>0.0109</w:t>
                  </w:r>
                </w:p>
              </w:tc>
              <w:tc>
                <w:tcPr>
                  <w:tcW w:w="1221" w:type="dxa"/>
                  <w:tcBorders>
                    <w:tl2br w:val="nil"/>
                    <w:tr2bl w:val="nil"/>
                  </w:tcBorders>
                  <w:noWrap w:val="0"/>
                  <w:vAlign w:val="top"/>
                </w:tcPr>
                <w:p w14:paraId="7088E8A7">
                  <w:pPr>
                    <w:jc w:val="center"/>
                    <w:rPr>
                      <w:color w:val="auto"/>
                      <w:kern w:val="0"/>
                      <w:szCs w:val="21"/>
                      <w:highlight w:val="none"/>
                    </w:rPr>
                  </w:pPr>
                  <w:r>
                    <w:rPr>
                      <w:color w:val="auto"/>
                      <w:kern w:val="0"/>
                      <w:szCs w:val="21"/>
                      <w:highlight w:val="none"/>
                    </w:rPr>
                    <w:t>0.0109</w:t>
                  </w:r>
                </w:p>
              </w:tc>
              <w:tc>
                <w:tcPr>
                  <w:tcW w:w="1219" w:type="dxa"/>
                  <w:tcBorders>
                    <w:tl2br w:val="nil"/>
                    <w:tr2bl w:val="nil"/>
                  </w:tcBorders>
                  <w:noWrap w:val="0"/>
                  <w:vAlign w:val="top"/>
                </w:tcPr>
                <w:p w14:paraId="7B14BF99">
                  <w:pPr>
                    <w:jc w:val="center"/>
                    <w:rPr>
                      <w:color w:val="auto"/>
                      <w:kern w:val="0"/>
                      <w:szCs w:val="21"/>
                      <w:highlight w:val="none"/>
                    </w:rPr>
                  </w:pPr>
                  <w:r>
                    <w:rPr>
                      <w:color w:val="auto"/>
                      <w:kern w:val="0"/>
                      <w:szCs w:val="21"/>
                      <w:highlight w:val="none"/>
                    </w:rPr>
                    <w:t>0.0109</w:t>
                  </w:r>
                </w:p>
              </w:tc>
              <w:tc>
                <w:tcPr>
                  <w:tcW w:w="1221" w:type="dxa"/>
                  <w:tcBorders>
                    <w:tl2br w:val="nil"/>
                    <w:tr2bl w:val="nil"/>
                  </w:tcBorders>
                  <w:noWrap w:val="0"/>
                  <w:vAlign w:val="top"/>
                </w:tcPr>
                <w:p w14:paraId="7EEC8D7F">
                  <w:pPr>
                    <w:jc w:val="center"/>
                    <w:rPr>
                      <w:color w:val="auto"/>
                      <w:kern w:val="0"/>
                      <w:szCs w:val="21"/>
                      <w:highlight w:val="none"/>
                    </w:rPr>
                  </w:pPr>
                  <w:r>
                    <w:rPr>
                      <w:color w:val="auto"/>
                      <w:kern w:val="0"/>
                      <w:szCs w:val="21"/>
                      <w:highlight w:val="none"/>
                    </w:rPr>
                    <w:t>0.0108</w:t>
                  </w:r>
                </w:p>
              </w:tc>
              <w:tc>
                <w:tcPr>
                  <w:tcW w:w="1222" w:type="dxa"/>
                  <w:tcBorders>
                    <w:tl2br w:val="nil"/>
                    <w:tr2bl w:val="nil"/>
                  </w:tcBorders>
                  <w:noWrap w:val="0"/>
                  <w:vAlign w:val="top"/>
                </w:tcPr>
                <w:p w14:paraId="3E0EB0D7">
                  <w:pPr>
                    <w:jc w:val="center"/>
                    <w:rPr>
                      <w:color w:val="auto"/>
                      <w:kern w:val="0"/>
                      <w:szCs w:val="21"/>
                      <w:highlight w:val="none"/>
                    </w:rPr>
                  </w:pPr>
                  <w:r>
                    <w:rPr>
                      <w:color w:val="auto"/>
                      <w:kern w:val="0"/>
                      <w:szCs w:val="21"/>
                      <w:highlight w:val="none"/>
                    </w:rPr>
                    <w:t>0.0107</w:t>
                  </w:r>
                </w:p>
              </w:tc>
              <w:tc>
                <w:tcPr>
                  <w:tcW w:w="1216" w:type="dxa"/>
                  <w:tcBorders>
                    <w:tl2br w:val="nil"/>
                    <w:tr2bl w:val="nil"/>
                  </w:tcBorders>
                  <w:noWrap w:val="0"/>
                  <w:vAlign w:val="top"/>
                </w:tcPr>
                <w:p w14:paraId="482E4144">
                  <w:pPr>
                    <w:jc w:val="center"/>
                    <w:rPr>
                      <w:color w:val="auto"/>
                      <w:kern w:val="0"/>
                      <w:szCs w:val="21"/>
                      <w:highlight w:val="none"/>
                    </w:rPr>
                  </w:pPr>
                  <w:r>
                    <w:rPr>
                      <w:color w:val="auto"/>
                      <w:kern w:val="0"/>
                      <w:szCs w:val="21"/>
                      <w:highlight w:val="none"/>
                    </w:rPr>
                    <w:t>0.0106</w:t>
                  </w:r>
                </w:p>
              </w:tc>
            </w:tr>
            <w:tr w14:paraId="724EC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0F4E3905">
                  <w:pPr>
                    <w:jc w:val="center"/>
                    <w:rPr>
                      <w:color w:val="auto"/>
                      <w:kern w:val="0"/>
                      <w:szCs w:val="21"/>
                      <w:highlight w:val="none"/>
                    </w:rPr>
                  </w:pPr>
                  <w:r>
                    <w:rPr>
                      <w:color w:val="auto"/>
                      <w:kern w:val="0"/>
                      <w:szCs w:val="21"/>
                      <w:highlight w:val="none"/>
                    </w:rPr>
                    <w:t>180</w:t>
                  </w:r>
                </w:p>
              </w:tc>
              <w:tc>
                <w:tcPr>
                  <w:tcW w:w="1388" w:type="dxa"/>
                  <w:tcBorders>
                    <w:tl2br w:val="nil"/>
                    <w:tr2bl w:val="nil"/>
                  </w:tcBorders>
                  <w:noWrap w:val="0"/>
                  <w:vAlign w:val="top"/>
                </w:tcPr>
                <w:p w14:paraId="672A3036">
                  <w:pPr>
                    <w:jc w:val="center"/>
                    <w:rPr>
                      <w:color w:val="auto"/>
                      <w:kern w:val="0"/>
                      <w:szCs w:val="21"/>
                      <w:highlight w:val="none"/>
                    </w:rPr>
                  </w:pPr>
                  <w:r>
                    <w:rPr>
                      <w:color w:val="auto"/>
                      <w:kern w:val="0"/>
                      <w:szCs w:val="21"/>
                      <w:highlight w:val="none"/>
                    </w:rPr>
                    <w:t>0.0067</w:t>
                  </w:r>
                </w:p>
              </w:tc>
              <w:tc>
                <w:tcPr>
                  <w:tcW w:w="1221" w:type="dxa"/>
                  <w:tcBorders>
                    <w:tl2br w:val="nil"/>
                    <w:tr2bl w:val="nil"/>
                  </w:tcBorders>
                  <w:noWrap w:val="0"/>
                  <w:vAlign w:val="top"/>
                </w:tcPr>
                <w:p w14:paraId="2949E495">
                  <w:pPr>
                    <w:jc w:val="center"/>
                    <w:rPr>
                      <w:color w:val="auto"/>
                      <w:kern w:val="0"/>
                      <w:szCs w:val="21"/>
                      <w:highlight w:val="none"/>
                    </w:rPr>
                  </w:pPr>
                  <w:r>
                    <w:rPr>
                      <w:color w:val="auto"/>
                      <w:kern w:val="0"/>
                      <w:szCs w:val="21"/>
                      <w:highlight w:val="none"/>
                    </w:rPr>
                    <w:t>0.0067</w:t>
                  </w:r>
                </w:p>
              </w:tc>
              <w:tc>
                <w:tcPr>
                  <w:tcW w:w="1219" w:type="dxa"/>
                  <w:tcBorders>
                    <w:tl2br w:val="nil"/>
                    <w:tr2bl w:val="nil"/>
                  </w:tcBorders>
                  <w:noWrap w:val="0"/>
                  <w:vAlign w:val="top"/>
                </w:tcPr>
                <w:p w14:paraId="705ABF7A">
                  <w:pPr>
                    <w:jc w:val="center"/>
                    <w:rPr>
                      <w:color w:val="auto"/>
                      <w:kern w:val="0"/>
                      <w:szCs w:val="21"/>
                      <w:highlight w:val="none"/>
                    </w:rPr>
                  </w:pPr>
                  <w:r>
                    <w:rPr>
                      <w:color w:val="auto"/>
                      <w:kern w:val="0"/>
                      <w:szCs w:val="21"/>
                      <w:highlight w:val="none"/>
                    </w:rPr>
                    <w:t>0.0067</w:t>
                  </w:r>
                </w:p>
              </w:tc>
              <w:tc>
                <w:tcPr>
                  <w:tcW w:w="1221" w:type="dxa"/>
                  <w:tcBorders>
                    <w:tl2br w:val="nil"/>
                    <w:tr2bl w:val="nil"/>
                  </w:tcBorders>
                  <w:noWrap w:val="0"/>
                  <w:vAlign w:val="top"/>
                </w:tcPr>
                <w:p w14:paraId="0C27C9DE">
                  <w:pPr>
                    <w:jc w:val="center"/>
                    <w:rPr>
                      <w:color w:val="auto"/>
                      <w:kern w:val="0"/>
                      <w:szCs w:val="21"/>
                      <w:highlight w:val="none"/>
                    </w:rPr>
                  </w:pPr>
                  <w:r>
                    <w:rPr>
                      <w:color w:val="auto"/>
                      <w:kern w:val="0"/>
                      <w:szCs w:val="21"/>
                      <w:highlight w:val="none"/>
                    </w:rPr>
                    <w:t>0.0066</w:t>
                  </w:r>
                </w:p>
              </w:tc>
              <w:tc>
                <w:tcPr>
                  <w:tcW w:w="1222" w:type="dxa"/>
                  <w:tcBorders>
                    <w:tl2br w:val="nil"/>
                    <w:tr2bl w:val="nil"/>
                  </w:tcBorders>
                  <w:noWrap w:val="0"/>
                  <w:vAlign w:val="top"/>
                </w:tcPr>
                <w:p w14:paraId="2A70AA30">
                  <w:pPr>
                    <w:jc w:val="center"/>
                    <w:rPr>
                      <w:color w:val="auto"/>
                      <w:kern w:val="0"/>
                      <w:szCs w:val="21"/>
                      <w:highlight w:val="none"/>
                    </w:rPr>
                  </w:pPr>
                  <w:r>
                    <w:rPr>
                      <w:color w:val="auto"/>
                      <w:kern w:val="0"/>
                      <w:szCs w:val="21"/>
                      <w:highlight w:val="none"/>
                    </w:rPr>
                    <w:t>0.0066</w:t>
                  </w:r>
                </w:p>
              </w:tc>
              <w:tc>
                <w:tcPr>
                  <w:tcW w:w="1216" w:type="dxa"/>
                  <w:tcBorders>
                    <w:tl2br w:val="nil"/>
                    <w:tr2bl w:val="nil"/>
                  </w:tcBorders>
                  <w:noWrap w:val="0"/>
                  <w:vAlign w:val="top"/>
                </w:tcPr>
                <w:p w14:paraId="0F5E7240">
                  <w:pPr>
                    <w:jc w:val="center"/>
                    <w:rPr>
                      <w:color w:val="auto"/>
                      <w:kern w:val="0"/>
                      <w:szCs w:val="21"/>
                      <w:highlight w:val="none"/>
                    </w:rPr>
                  </w:pPr>
                  <w:r>
                    <w:rPr>
                      <w:color w:val="auto"/>
                      <w:kern w:val="0"/>
                      <w:szCs w:val="21"/>
                      <w:highlight w:val="none"/>
                    </w:rPr>
                    <w:t>0.0065</w:t>
                  </w:r>
                </w:p>
              </w:tc>
            </w:tr>
            <w:tr w14:paraId="0340F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436" w:type="dxa"/>
                  <w:tcBorders>
                    <w:tl2br w:val="nil"/>
                    <w:tr2bl w:val="nil"/>
                  </w:tcBorders>
                  <w:noWrap w:val="0"/>
                  <w:vAlign w:val="top"/>
                </w:tcPr>
                <w:p w14:paraId="146FDDEB">
                  <w:pPr>
                    <w:jc w:val="center"/>
                    <w:rPr>
                      <w:color w:val="auto"/>
                      <w:kern w:val="0"/>
                      <w:szCs w:val="21"/>
                      <w:highlight w:val="none"/>
                    </w:rPr>
                  </w:pPr>
                  <w:r>
                    <w:rPr>
                      <w:color w:val="auto"/>
                      <w:kern w:val="0"/>
                      <w:szCs w:val="21"/>
                      <w:highlight w:val="none"/>
                    </w:rPr>
                    <w:t>190</w:t>
                  </w:r>
                </w:p>
              </w:tc>
              <w:tc>
                <w:tcPr>
                  <w:tcW w:w="1388" w:type="dxa"/>
                  <w:tcBorders>
                    <w:tl2br w:val="nil"/>
                    <w:tr2bl w:val="nil"/>
                  </w:tcBorders>
                  <w:noWrap w:val="0"/>
                  <w:vAlign w:val="top"/>
                </w:tcPr>
                <w:p w14:paraId="215F2F7E">
                  <w:pPr>
                    <w:jc w:val="center"/>
                    <w:rPr>
                      <w:color w:val="auto"/>
                      <w:kern w:val="0"/>
                      <w:szCs w:val="21"/>
                      <w:highlight w:val="none"/>
                    </w:rPr>
                  </w:pPr>
                  <w:r>
                    <w:rPr>
                      <w:color w:val="auto"/>
                      <w:kern w:val="0"/>
                      <w:szCs w:val="21"/>
                      <w:highlight w:val="none"/>
                    </w:rPr>
                    <w:t>0.0041</w:t>
                  </w:r>
                </w:p>
              </w:tc>
              <w:tc>
                <w:tcPr>
                  <w:tcW w:w="1221" w:type="dxa"/>
                  <w:tcBorders>
                    <w:tl2br w:val="nil"/>
                    <w:tr2bl w:val="nil"/>
                  </w:tcBorders>
                  <w:noWrap w:val="0"/>
                  <w:vAlign w:val="top"/>
                </w:tcPr>
                <w:p w14:paraId="60E1F05F">
                  <w:pPr>
                    <w:jc w:val="center"/>
                    <w:rPr>
                      <w:color w:val="auto"/>
                      <w:kern w:val="0"/>
                      <w:szCs w:val="21"/>
                      <w:highlight w:val="none"/>
                    </w:rPr>
                  </w:pPr>
                  <w:r>
                    <w:rPr>
                      <w:color w:val="auto"/>
                      <w:kern w:val="0"/>
                      <w:szCs w:val="21"/>
                      <w:highlight w:val="none"/>
                    </w:rPr>
                    <w:t>0.0041</w:t>
                  </w:r>
                </w:p>
              </w:tc>
              <w:tc>
                <w:tcPr>
                  <w:tcW w:w="1219" w:type="dxa"/>
                  <w:tcBorders>
                    <w:tl2br w:val="nil"/>
                    <w:tr2bl w:val="nil"/>
                  </w:tcBorders>
                  <w:noWrap w:val="0"/>
                  <w:vAlign w:val="top"/>
                </w:tcPr>
                <w:p w14:paraId="646B0A11">
                  <w:pPr>
                    <w:jc w:val="center"/>
                    <w:rPr>
                      <w:color w:val="auto"/>
                      <w:kern w:val="0"/>
                      <w:szCs w:val="21"/>
                      <w:highlight w:val="none"/>
                    </w:rPr>
                  </w:pPr>
                  <w:r>
                    <w:rPr>
                      <w:color w:val="auto"/>
                      <w:kern w:val="0"/>
                      <w:szCs w:val="21"/>
                      <w:highlight w:val="none"/>
                    </w:rPr>
                    <w:t>0.0041</w:t>
                  </w:r>
                </w:p>
              </w:tc>
              <w:tc>
                <w:tcPr>
                  <w:tcW w:w="1221" w:type="dxa"/>
                  <w:tcBorders>
                    <w:tl2br w:val="nil"/>
                    <w:tr2bl w:val="nil"/>
                  </w:tcBorders>
                  <w:noWrap w:val="0"/>
                  <w:vAlign w:val="top"/>
                </w:tcPr>
                <w:p w14:paraId="00412896">
                  <w:pPr>
                    <w:jc w:val="center"/>
                    <w:rPr>
                      <w:color w:val="auto"/>
                      <w:kern w:val="0"/>
                      <w:szCs w:val="21"/>
                      <w:highlight w:val="none"/>
                    </w:rPr>
                  </w:pPr>
                  <w:r>
                    <w:rPr>
                      <w:color w:val="auto"/>
                      <w:kern w:val="0"/>
                      <w:szCs w:val="21"/>
                      <w:highlight w:val="none"/>
                    </w:rPr>
                    <w:t>0.0041</w:t>
                  </w:r>
                </w:p>
              </w:tc>
              <w:tc>
                <w:tcPr>
                  <w:tcW w:w="1222" w:type="dxa"/>
                  <w:tcBorders>
                    <w:tl2br w:val="nil"/>
                    <w:tr2bl w:val="nil"/>
                  </w:tcBorders>
                  <w:noWrap w:val="0"/>
                  <w:vAlign w:val="top"/>
                </w:tcPr>
                <w:p w14:paraId="1B586190">
                  <w:pPr>
                    <w:jc w:val="center"/>
                    <w:rPr>
                      <w:color w:val="auto"/>
                      <w:kern w:val="0"/>
                      <w:szCs w:val="21"/>
                      <w:highlight w:val="none"/>
                    </w:rPr>
                  </w:pPr>
                  <w:r>
                    <w:rPr>
                      <w:color w:val="auto"/>
                      <w:kern w:val="0"/>
                      <w:szCs w:val="21"/>
                      <w:highlight w:val="none"/>
                    </w:rPr>
                    <w:t>0.004</w:t>
                  </w:r>
                </w:p>
              </w:tc>
              <w:tc>
                <w:tcPr>
                  <w:tcW w:w="1216" w:type="dxa"/>
                  <w:tcBorders>
                    <w:tl2br w:val="nil"/>
                    <w:tr2bl w:val="nil"/>
                  </w:tcBorders>
                  <w:noWrap w:val="0"/>
                  <w:vAlign w:val="top"/>
                </w:tcPr>
                <w:p w14:paraId="25A6596D">
                  <w:pPr>
                    <w:jc w:val="center"/>
                    <w:rPr>
                      <w:color w:val="auto"/>
                      <w:kern w:val="0"/>
                      <w:szCs w:val="21"/>
                      <w:highlight w:val="none"/>
                    </w:rPr>
                  </w:pPr>
                  <w:r>
                    <w:rPr>
                      <w:color w:val="auto"/>
                      <w:kern w:val="0"/>
                      <w:szCs w:val="21"/>
                      <w:highlight w:val="none"/>
                    </w:rPr>
                    <w:t>0.004</w:t>
                  </w:r>
                </w:p>
              </w:tc>
            </w:tr>
            <w:tr w14:paraId="5D71A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36" w:type="dxa"/>
                  <w:tcBorders>
                    <w:tl2br w:val="nil"/>
                    <w:tr2bl w:val="nil"/>
                  </w:tcBorders>
                  <w:noWrap w:val="0"/>
                  <w:vAlign w:val="top"/>
                </w:tcPr>
                <w:p w14:paraId="242FB45A">
                  <w:pPr>
                    <w:jc w:val="center"/>
                    <w:rPr>
                      <w:color w:val="auto"/>
                      <w:kern w:val="0"/>
                      <w:szCs w:val="21"/>
                      <w:highlight w:val="none"/>
                    </w:rPr>
                  </w:pPr>
                  <w:r>
                    <w:rPr>
                      <w:color w:val="auto"/>
                      <w:kern w:val="0"/>
                      <w:szCs w:val="21"/>
                      <w:highlight w:val="none"/>
                    </w:rPr>
                    <w:t>200</w:t>
                  </w:r>
                </w:p>
              </w:tc>
              <w:tc>
                <w:tcPr>
                  <w:tcW w:w="1388" w:type="dxa"/>
                  <w:tcBorders>
                    <w:tl2br w:val="nil"/>
                    <w:tr2bl w:val="nil"/>
                  </w:tcBorders>
                  <w:noWrap w:val="0"/>
                  <w:vAlign w:val="top"/>
                </w:tcPr>
                <w:p w14:paraId="0142DAD1">
                  <w:pPr>
                    <w:jc w:val="center"/>
                    <w:rPr>
                      <w:color w:val="auto"/>
                      <w:kern w:val="0"/>
                      <w:szCs w:val="21"/>
                      <w:highlight w:val="none"/>
                    </w:rPr>
                  </w:pPr>
                  <w:r>
                    <w:rPr>
                      <w:color w:val="auto"/>
                      <w:kern w:val="0"/>
                      <w:szCs w:val="21"/>
                      <w:highlight w:val="none"/>
                    </w:rPr>
                    <w:t>0.0025</w:t>
                  </w:r>
                </w:p>
              </w:tc>
              <w:tc>
                <w:tcPr>
                  <w:tcW w:w="1221" w:type="dxa"/>
                  <w:tcBorders>
                    <w:tl2br w:val="nil"/>
                    <w:tr2bl w:val="nil"/>
                  </w:tcBorders>
                  <w:noWrap w:val="0"/>
                  <w:vAlign w:val="top"/>
                </w:tcPr>
                <w:p w14:paraId="3BB19208">
                  <w:pPr>
                    <w:jc w:val="center"/>
                    <w:rPr>
                      <w:color w:val="auto"/>
                      <w:kern w:val="0"/>
                      <w:szCs w:val="21"/>
                      <w:highlight w:val="none"/>
                    </w:rPr>
                  </w:pPr>
                  <w:r>
                    <w:rPr>
                      <w:color w:val="auto"/>
                      <w:kern w:val="0"/>
                      <w:szCs w:val="21"/>
                      <w:highlight w:val="none"/>
                    </w:rPr>
                    <w:t>0.0025</w:t>
                  </w:r>
                </w:p>
              </w:tc>
              <w:tc>
                <w:tcPr>
                  <w:tcW w:w="1219" w:type="dxa"/>
                  <w:tcBorders>
                    <w:tl2br w:val="nil"/>
                    <w:tr2bl w:val="nil"/>
                  </w:tcBorders>
                  <w:noWrap w:val="0"/>
                  <w:vAlign w:val="top"/>
                </w:tcPr>
                <w:p w14:paraId="27FB85E6">
                  <w:pPr>
                    <w:jc w:val="center"/>
                    <w:rPr>
                      <w:color w:val="auto"/>
                      <w:kern w:val="0"/>
                      <w:szCs w:val="21"/>
                      <w:highlight w:val="none"/>
                    </w:rPr>
                  </w:pPr>
                  <w:r>
                    <w:rPr>
                      <w:color w:val="auto"/>
                      <w:kern w:val="0"/>
                      <w:szCs w:val="21"/>
                      <w:highlight w:val="none"/>
                    </w:rPr>
                    <w:t>0.0025</w:t>
                  </w:r>
                </w:p>
              </w:tc>
              <w:tc>
                <w:tcPr>
                  <w:tcW w:w="1221" w:type="dxa"/>
                  <w:tcBorders>
                    <w:tl2br w:val="nil"/>
                    <w:tr2bl w:val="nil"/>
                  </w:tcBorders>
                  <w:noWrap w:val="0"/>
                  <w:vAlign w:val="top"/>
                </w:tcPr>
                <w:p w14:paraId="42C6CB77">
                  <w:pPr>
                    <w:jc w:val="center"/>
                    <w:rPr>
                      <w:color w:val="auto"/>
                      <w:kern w:val="0"/>
                      <w:szCs w:val="21"/>
                      <w:highlight w:val="none"/>
                    </w:rPr>
                  </w:pPr>
                  <w:r>
                    <w:rPr>
                      <w:color w:val="auto"/>
                      <w:kern w:val="0"/>
                      <w:szCs w:val="21"/>
                      <w:highlight w:val="none"/>
                    </w:rPr>
                    <w:t>0.0025</w:t>
                  </w:r>
                </w:p>
              </w:tc>
              <w:tc>
                <w:tcPr>
                  <w:tcW w:w="1222" w:type="dxa"/>
                  <w:tcBorders>
                    <w:tl2br w:val="nil"/>
                    <w:tr2bl w:val="nil"/>
                  </w:tcBorders>
                  <w:noWrap w:val="0"/>
                  <w:vAlign w:val="top"/>
                </w:tcPr>
                <w:p w14:paraId="43EEE171">
                  <w:pPr>
                    <w:jc w:val="center"/>
                    <w:rPr>
                      <w:color w:val="auto"/>
                      <w:kern w:val="0"/>
                      <w:szCs w:val="21"/>
                      <w:highlight w:val="none"/>
                    </w:rPr>
                  </w:pPr>
                  <w:r>
                    <w:rPr>
                      <w:color w:val="auto"/>
                      <w:kern w:val="0"/>
                      <w:szCs w:val="21"/>
                      <w:highlight w:val="none"/>
                    </w:rPr>
                    <w:t>0.0025</w:t>
                  </w:r>
                </w:p>
              </w:tc>
              <w:tc>
                <w:tcPr>
                  <w:tcW w:w="1216" w:type="dxa"/>
                  <w:tcBorders>
                    <w:tl2br w:val="nil"/>
                    <w:tr2bl w:val="nil"/>
                  </w:tcBorders>
                  <w:noWrap w:val="0"/>
                  <w:vAlign w:val="top"/>
                </w:tcPr>
                <w:p w14:paraId="127A42B2">
                  <w:pPr>
                    <w:jc w:val="center"/>
                    <w:rPr>
                      <w:color w:val="auto"/>
                      <w:kern w:val="0"/>
                      <w:szCs w:val="21"/>
                      <w:highlight w:val="none"/>
                    </w:rPr>
                  </w:pPr>
                  <w:r>
                    <w:rPr>
                      <w:color w:val="auto"/>
                      <w:kern w:val="0"/>
                      <w:szCs w:val="21"/>
                      <w:highlight w:val="none"/>
                    </w:rPr>
                    <w:t>0.0025</w:t>
                  </w:r>
                </w:p>
              </w:tc>
            </w:tr>
          </w:tbl>
          <w:p w14:paraId="58644E0F">
            <w:pPr>
              <w:spacing w:line="480" w:lineRule="exact"/>
              <w:ind w:firstLine="480" w:firstLineChars="200"/>
              <w:rPr>
                <w:rFonts w:hint="default" w:ascii="Times New Roman" w:hAnsi="Times New Roman" w:eastAsia="宋体" w:cs="Times New Roman"/>
                <w:color w:val="auto"/>
                <w:kern w:val="0"/>
                <w:sz w:val="24"/>
                <w:szCs w:val="24"/>
                <w:highlight w:val="none"/>
              </w:rPr>
            </w:pPr>
            <w:r>
              <w:rPr>
                <w:color w:val="auto"/>
                <w:sz w:val="24"/>
                <w:highlight w:val="none"/>
              </w:rPr>
              <w:t>由预测结果可知，疏浚作业时，40m范围内，SS浓度增加超过10mg/L，80m范围外，浓度增加值基本小于1mg/L，经过约200m扩散，悬浮物浓度增量很小，</w:t>
            </w:r>
            <w:r>
              <w:rPr>
                <w:rFonts w:hint="eastAsia"/>
                <w:color w:val="auto"/>
                <w:sz w:val="24"/>
                <w:highlight w:val="none"/>
                <w:lang w:val="en-US" w:eastAsia="zh-CN"/>
              </w:rPr>
              <w:t>仅为0.0025</w:t>
            </w:r>
            <w:r>
              <w:rPr>
                <w:color w:val="auto"/>
                <w:sz w:val="24"/>
                <w:highlight w:val="none"/>
              </w:rPr>
              <w:t>mg/L。</w:t>
            </w:r>
          </w:p>
          <w:p w14:paraId="02913CDE">
            <w:pPr>
              <w:pStyle w:val="3341"/>
              <w:spacing w:line="480" w:lineRule="exac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本工程沿线分布省考断面</w:t>
            </w:r>
            <w:r>
              <w:rPr>
                <w:rFonts w:hint="eastAsia" w:eastAsia="宋体"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处，分别为</w:t>
            </w:r>
            <w:r>
              <w:rPr>
                <w:rFonts w:hint="eastAsia" w:eastAsia="宋体" w:cs="Times New Roman"/>
                <w:color w:val="auto"/>
                <w:kern w:val="0"/>
                <w:sz w:val="24"/>
                <w:szCs w:val="24"/>
                <w:highlight w:val="none"/>
                <w:lang w:val="en-US" w:eastAsia="zh-CN" w:bidi="ar-SA"/>
              </w:rPr>
              <w:t>大运河桥省</w:t>
            </w:r>
            <w:r>
              <w:rPr>
                <w:rFonts w:hint="default" w:ascii="Times New Roman" w:hAnsi="Times New Roman" w:eastAsia="宋体" w:cs="Times New Roman"/>
                <w:color w:val="auto"/>
                <w:kern w:val="0"/>
                <w:sz w:val="24"/>
                <w:szCs w:val="24"/>
                <w:highlight w:val="none"/>
                <w:lang w:val="en-US" w:eastAsia="zh-CN" w:bidi="ar-SA"/>
              </w:rPr>
              <w:t>考断面</w:t>
            </w:r>
            <w:r>
              <w:rPr>
                <w:rFonts w:hint="eastAsia" w:eastAsia="宋体" w:cs="Times New Roman"/>
                <w:color w:val="auto"/>
                <w:kern w:val="0"/>
                <w:sz w:val="24"/>
                <w:szCs w:val="24"/>
                <w:highlight w:val="none"/>
                <w:lang w:val="en-US" w:eastAsia="zh-CN" w:bidi="ar-SA"/>
              </w:rPr>
              <w:t>、板闸省</w:t>
            </w:r>
            <w:r>
              <w:rPr>
                <w:rFonts w:hint="default" w:ascii="Times New Roman" w:hAnsi="Times New Roman" w:eastAsia="宋体" w:cs="Times New Roman"/>
                <w:color w:val="auto"/>
                <w:kern w:val="0"/>
                <w:sz w:val="24"/>
                <w:szCs w:val="24"/>
                <w:highlight w:val="none"/>
                <w:lang w:val="en-US" w:eastAsia="zh-CN" w:bidi="ar-SA"/>
              </w:rPr>
              <w:t>考断面以及</w:t>
            </w:r>
            <w:r>
              <w:rPr>
                <w:rFonts w:hint="eastAsia" w:eastAsia="宋体" w:cs="Times New Roman"/>
                <w:color w:val="auto"/>
                <w:kern w:val="0"/>
                <w:sz w:val="24"/>
                <w:szCs w:val="24"/>
                <w:highlight w:val="none"/>
                <w:lang w:val="en-US" w:eastAsia="zh-CN" w:bidi="ar-SA"/>
              </w:rPr>
              <w:t>黄码大桥</w:t>
            </w:r>
            <w:r>
              <w:rPr>
                <w:rFonts w:hint="default" w:ascii="Times New Roman" w:hAnsi="Times New Roman" w:eastAsia="宋体" w:cs="Times New Roman"/>
                <w:color w:val="auto"/>
                <w:kern w:val="0"/>
                <w:sz w:val="24"/>
                <w:szCs w:val="24"/>
                <w:highlight w:val="none"/>
                <w:lang w:val="en-US" w:eastAsia="zh-CN" w:bidi="ar-SA"/>
              </w:rPr>
              <w:t>省考断面。疏浚工程等施工会局部扰动底泥，造成底泥悬浮增加水体悬浮物浓度，会影响前述考核断面的水质。根据《防范清淤疏浚工程对水质影响工作方案》（苏环办〔2021〕185号），涉及省考断面附近施工将提前</w:t>
            </w:r>
            <w:r>
              <w:rPr>
                <w:rFonts w:hint="eastAsia" w:eastAsia="宋体" w:cs="Times New Roman"/>
                <w:color w:val="auto"/>
                <w:kern w:val="0"/>
                <w:sz w:val="24"/>
                <w:szCs w:val="24"/>
                <w:highlight w:val="none"/>
                <w:lang w:val="en-US" w:eastAsia="zh-CN" w:bidi="ar-SA"/>
              </w:rPr>
              <w:t>两</w:t>
            </w:r>
            <w:r>
              <w:rPr>
                <w:rFonts w:hint="default" w:ascii="Times New Roman" w:hAnsi="Times New Roman" w:eastAsia="宋体" w:cs="Times New Roman"/>
                <w:color w:val="auto"/>
                <w:kern w:val="0"/>
                <w:sz w:val="24"/>
                <w:szCs w:val="24"/>
                <w:highlight w:val="none"/>
                <w:lang w:val="en-US" w:eastAsia="zh-CN" w:bidi="ar-SA"/>
              </w:rPr>
              <w:t>个月向省厅提出申请，并提供工程实施计划、图片资料等，编制断面水质保障应对方案。</w:t>
            </w:r>
            <w:r>
              <w:rPr>
                <w:rFonts w:hint="eastAsia" w:ascii="Times New Roman" w:hAnsi="Times New Roman" w:eastAsia="宋体" w:cs="Times New Roman"/>
                <w:color w:val="auto"/>
                <w:kern w:val="0"/>
                <w:sz w:val="24"/>
                <w:szCs w:val="24"/>
                <w:highlight w:val="none"/>
                <w:lang w:val="en-US" w:eastAsia="zh-CN" w:bidi="ar-SA"/>
              </w:rPr>
              <w:t>2024年7月9日建设单位向区生态环境部门报备施工方案，同日，区生态环境部门向市生态环境部门进行了报备，下一步，市</w:t>
            </w:r>
            <w:r>
              <w:rPr>
                <w:rFonts w:hint="default" w:ascii="Times New Roman" w:hAnsi="Times New Roman" w:eastAsia="宋体" w:cs="Times New Roman"/>
                <w:color w:val="auto"/>
                <w:kern w:val="0"/>
                <w:sz w:val="24"/>
                <w:szCs w:val="24"/>
                <w:highlight w:val="none"/>
                <w:lang w:val="en-US" w:eastAsia="zh-CN" w:bidi="ar-SA"/>
              </w:rPr>
              <w:t>生态环境部门向省厅申请</w:t>
            </w:r>
            <w:r>
              <w:rPr>
                <w:rFonts w:hint="eastAsia" w:ascii="Times New Roman" w:hAnsi="Times New Roman" w:eastAsia="宋体" w:cs="Times New Roman"/>
                <w:color w:val="auto"/>
                <w:kern w:val="0"/>
                <w:sz w:val="24"/>
                <w:szCs w:val="24"/>
                <w:highlight w:val="none"/>
                <w:lang w:val="en-US" w:eastAsia="zh-CN" w:bidi="ar-SA"/>
              </w:rPr>
              <w:t>。</w:t>
            </w:r>
            <w:r>
              <w:rPr>
                <w:rFonts w:hint="eastAsia" w:eastAsia="宋体" w:cs="Times New Roman"/>
                <w:color w:val="auto"/>
                <w:kern w:val="0"/>
                <w:sz w:val="24"/>
                <w:szCs w:val="24"/>
                <w:highlight w:val="none"/>
                <w:lang w:val="en-US" w:eastAsia="zh-CN" w:bidi="ar-SA"/>
              </w:rPr>
              <w:t>目前建设单位</w:t>
            </w:r>
            <w:r>
              <w:rPr>
                <w:rFonts w:hint="default" w:ascii="Times New Roman" w:hAnsi="Times New Roman" w:eastAsia="宋体" w:cs="Times New Roman"/>
                <w:color w:val="auto"/>
                <w:kern w:val="0"/>
                <w:sz w:val="24"/>
                <w:szCs w:val="24"/>
                <w:highlight w:val="none"/>
                <w:lang w:val="en-US" w:eastAsia="zh-CN" w:bidi="ar-SA"/>
              </w:rPr>
              <w:t>正在根据管理部门要求编制断面水质保障应对方案。施工方案将结合</w:t>
            </w:r>
            <w:r>
              <w:rPr>
                <w:rFonts w:hint="eastAsia" w:eastAsia="宋体" w:cs="Times New Roman"/>
                <w:color w:val="auto"/>
                <w:kern w:val="0"/>
                <w:sz w:val="24"/>
                <w:szCs w:val="24"/>
                <w:highlight w:val="none"/>
                <w:lang w:val="en-US" w:eastAsia="zh-CN" w:bidi="ar-SA"/>
              </w:rPr>
              <w:t>京杭</w:t>
            </w:r>
            <w:r>
              <w:rPr>
                <w:rFonts w:hint="default" w:ascii="Times New Roman" w:hAnsi="Times New Roman" w:eastAsia="宋体" w:cs="Times New Roman"/>
                <w:color w:val="auto"/>
                <w:kern w:val="0"/>
                <w:sz w:val="24"/>
                <w:szCs w:val="24"/>
                <w:highlight w:val="none"/>
                <w:lang w:val="en-US" w:eastAsia="zh-CN" w:bidi="ar-SA"/>
              </w:rPr>
              <w:t>运河</w:t>
            </w:r>
            <w:r>
              <w:rPr>
                <w:rFonts w:hint="eastAsia" w:eastAsia="宋体" w:cs="Times New Roman"/>
                <w:color w:val="auto"/>
                <w:kern w:val="0"/>
                <w:sz w:val="24"/>
                <w:szCs w:val="24"/>
                <w:highlight w:val="none"/>
                <w:lang w:val="en-US" w:eastAsia="zh-CN" w:bidi="ar-SA"/>
              </w:rPr>
              <w:t>淮安</w:t>
            </w:r>
            <w:r>
              <w:rPr>
                <w:rFonts w:hint="default" w:ascii="Times New Roman" w:hAnsi="Times New Roman" w:eastAsia="宋体" w:cs="Times New Roman"/>
                <w:color w:val="auto"/>
                <w:kern w:val="0"/>
                <w:sz w:val="24"/>
                <w:szCs w:val="24"/>
                <w:highlight w:val="none"/>
                <w:lang w:val="en-US" w:eastAsia="zh-CN" w:bidi="ar-SA"/>
              </w:rPr>
              <w:t>段常年监测数据，选择对水质影响较小的时段进行施工。同时，优化施工组织，将省考断面1km范围内施工时间控制在最小范围</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为进一步减小对水环境及省考断面的影响，省考断面1km范围内施工过程中将设置防污帘，尽量减小局部增加的污染物对国省考断面的影响。</w:t>
            </w:r>
          </w:p>
          <w:p w14:paraId="2FCCF4AF">
            <w:pPr>
              <w:spacing w:line="480" w:lineRule="exact"/>
              <w:ind w:firstLine="480" w:firstLineChars="200"/>
              <w:rPr>
                <w:rFonts w:hint="eastAsia" w:cs="Times New Roman"/>
                <w:color w:val="auto"/>
                <w:kern w:val="0"/>
                <w:sz w:val="24"/>
                <w:szCs w:val="24"/>
                <w:highlight w:val="none"/>
                <w:lang w:val="en-US" w:eastAsia="zh-CN"/>
              </w:rPr>
            </w:pPr>
            <w:r>
              <w:rPr>
                <w:rFonts w:hint="eastAsia" w:ascii="Times New Roman" w:hAnsi="Times New Roman" w:cs="Times New Roman"/>
                <w:color w:val="auto"/>
                <w:sz w:val="24"/>
                <w:highlight w:val="none"/>
                <w:lang w:val="en-US" w:eastAsia="zh-CN"/>
              </w:rPr>
              <w:t>本项目南港岸线疏浚段距离下游大运河</w:t>
            </w:r>
            <w:r>
              <w:rPr>
                <w:rFonts w:hint="eastAsia" w:ascii="Times New Roman" w:hAnsi="Times New Roman" w:cs="Times New Roman"/>
                <w:color w:val="auto"/>
                <w:sz w:val="24"/>
                <w:szCs w:val="24"/>
                <w:highlight w:val="none"/>
                <w:lang w:val="en-US" w:eastAsia="zh-CN"/>
              </w:rPr>
              <w:t>桥省考断面200m、</w:t>
            </w:r>
            <w:r>
              <w:rPr>
                <w:rFonts w:hint="eastAsia" w:ascii="Times New Roman" w:hAnsi="Times New Roman" w:eastAsia="宋体" w:cs="Times New Roman"/>
                <w:color w:val="auto"/>
                <w:sz w:val="24"/>
                <w:szCs w:val="24"/>
                <w:highlight w:val="none"/>
                <w:lang w:val="en-US" w:eastAsia="zh-CN"/>
              </w:rPr>
              <w:t>距离下游板闸省考断面6</w:t>
            </w:r>
            <w:r>
              <w:rPr>
                <w:rFonts w:hint="eastAsia" w:cs="Times New Roman"/>
                <w:color w:val="auto"/>
                <w:sz w:val="24"/>
                <w:szCs w:val="24"/>
                <w:highlight w:val="none"/>
                <w:lang w:val="en-US" w:eastAsia="zh-CN"/>
              </w:rPr>
              <w:t>000</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cs="Times New Roman"/>
                <w:color w:val="auto"/>
                <w:sz w:val="24"/>
                <w:szCs w:val="24"/>
                <w:highlight w:val="none"/>
                <w:lang w:val="en-US" w:eastAsia="zh-CN"/>
              </w:rPr>
              <w:t>，新建锚地距离上游黄码大桥省考断面360m</w:t>
            </w:r>
            <w:r>
              <w:rPr>
                <w:color w:val="auto"/>
                <w:sz w:val="24"/>
                <w:highlight w:val="none"/>
              </w:rPr>
              <w:t>。</w:t>
            </w:r>
            <w:r>
              <w:rPr>
                <w:rFonts w:hint="eastAsia"/>
                <w:color w:val="auto"/>
                <w:sz w:val="24"/>
                <w:highlight w:val="none"/>
                <w:lang w:val="en-US" w:eastAsia="zh-CN"/>
              </w:rPr>
              <w:t>根据预测结果，采取本报告提出的相应措施后，疏浚施工对省考断面影响较小，</w:t>
            </w:r>
            <w:r>
              <w:rPr>
                <w:color w:val="auto"/>
                <w:sz w:val="24"/>
                <w:highlight w:val="none"/>
              </w:rPr>
              <w:t>随着水下施工的结束，这种影响将不复存在。</w:t>
            </w:r>
          </w:p>
          <w:p w14:paraId="3CC38A50">
            <w:pPr>
              <w:spacing w:line="480" w:lineRule="exact"/>
              <w:ind w:firstLine="480" w:firstLineChars="200"/>
              <w:rPr>
                <w:rFonts w:hint="eastAsia"/>
                <w:color w:val="0000FF"/>
                <w:sz w:val="24"/>
                <w:szCs w:val="24"/>
                <w:highlight w:val="none"/>
                <w:lang w:val="en-US" w:eastAsia="zh-CN"/>
              </w:rPr>
            </w:pPr>
            <w:r>
              <w:rPr>
                <w:rFonts w:hint="eastAsia" w:cs="Times New Roman"/>
                <w:color w:val="auto"/>
                <w:kern w:val="0"/>
                <w:sz w:val="24"/>
                <w:szCs w:val="24"/>
                <w:highlight w:val="none"/>
                <w:lang w:val="en-US" w:eastAsia="zh-CN"/>
              </w:rPr>
              <w:t>综上，在采取相应措施后，</w:t>
            </w:r>
            <w:r>
              <w:rPr>
                <w:rFonts w:hint="eastAsia"/>
                <w:color w:val="auto"/>
                <w:sz w:val="24"/>
                <w:szCs w:val="24"/>
                <w:highlight w:val="none"/>
                <w:lang w:val="en-US" w:eastAsia="zh-CN"/>
              </w:rPr>
              <w:t>疏浚施工对地表水环境以及省考断面的影响较小。</w:t>
            </w:r>
          </w:p>
          <w:p w14:paraId="0673C83C">
            <w:pPr>
              <w:spacing w:line="480" w:lineRule="exact"/>
              <w:ind w:firstLine="480" w:firstLineChars="200"/>
              <w:rPr>
                <w:rFonts w:ascii="Times New Roman" w:hAnsi="Times New Roman" w:cs="Times New Roman"/>
                <w:sz w:val="24"/>
                <w:szCs w:val="24"/>
                <w:highlight w:val="none"/>
                <w:lang w:eastAsia="zh-CN"/>
              </w:rPr>
            </w:pPr>
            <w:r>
              <w:rPr>
                <w:rFonts w:hint="eastAsia" w:ascii="Times New Roman" w:hAnsi="Times New Roman" w:cs="Times New Roman"/>
                <w:sz w:val="24"/>
                <w:szCs w:val="24"/>
                <w:highlight w:val="none"/>
                <w:lang w:val="en-US" w:eastAsia="zh-CN"/>
              </w:rPr>
              <w:t>2、</w:t>
            </w:r>
            <w:r>
              <w:rPr>
                <w:rFonts w:ascii="Times New Roman" w:hAnsi="Times New Roman" w:cs="Times New Roman"/>
                <w:sz w:val="24"/>
                <w:szCs w:val="24"/>
                <w:highlight w:val="none"/>
                <w:lang w:eastAsia="zh-CN"/>
              </w:rPr>
              <w:t>淤泥干化场排水的影响</w:t>
            </w:r>
          </w:p>
          <w:p w14:paraId="34E47A97">
            <w:pPr>
              <w:spacing w:line="480" w:lineRule="exact"/>
              <w:ind w:firstLine="480" w:firstLineChars="200"/>
              <w:rPr>
                <w:sz w:val="24"/>
                <w:highlight w:val="none"/>
              </w:rPr>
            </w:pPr>
            <w:r>
              <w:rPr>
                <w:sz w:val="24"/>
                <w:highlight w:val="none"/>
              </w:rPr>
              <w:t>本项目疏浚产生的水下方通过抓斗放入封闭式船舱，由船舶运至淤泥干化场所在区域，通过管道输送至陆域淤泥干化场。由于水下方含水量较大，堆存过程中产生溢流的泥浆水即余水，疏挖底泥的抛泥区余水中污染物主要来源于施工区水体中所含污染物和底泥颗粒中所富集的N、P及重金属污染物。</w:t>
            </w:r>
          </w:p>
          <w:p w14:paraId="3A4D305A">
            <w:pPr>
              <w:spacing w:line="480" w:lineRule="exact"/>
              <w:ind w:firstLine="480" w:firstLineChars="200"/>
              <w:jc w:val="both"/>
              <w:rPr>
                <w:color w:val="auto"/>
                <w:sz w:val="24"/>
                <w:highlight w:val="none"/>
              </w:rPr>
            </w:pPr>
            <w:r>
              <w:rPr>
                <w:sz w:val="24"/>
                <w:highlight w:val="none"/>
              </w:rPr>
              <w:t>根据本项目底泥环境现状监测评价结果表明，评价河段底泥重金属污染物含量均小于《土壤环境质量-农用地土壤污染风险管控标准（试行）》（GB15618-2018）中的风险筛选值标准</w:t>
            </w:r>
            <w:r>
              <w:rPr>
                <w:rFonts w:hint="eastAsia"/>
                <w:sz w:val="24"/>
                <w:highlight w:val="none"/>
                <w:lang w:val="en-US" w:eastAsia="zh-CN"/>
              </w:rPr>
              <w:t>和风险管控</w:t>
            </w:r>
            <w:r>
              <w:rPr>
                <w:sz w:val="24"/>
                <w:highlight w:val="none"/>
              </w:rPr>
              <w:t>要求。河道沿线水域底泥重金属元素主要富集在底泥颗粒中。根据《沉积底泥中重金属的释放》（叶裕忠，1990，环境化学），可知重金属的溶出能力随着水中pH值的减小而相应增强的，一般水体中pH呈中性时底泥中重金属溶出量极小，可忽略不计。根据本项目地表水质监测结果可知，沿线水体pH值基本呈中性，因此底泥中重金属溶出量可忽略不计，悬浮于水体中的重金属形态不会发生新的改变，悬浮物经沉淀处理后，重金属将随悬浮颗粒沉降，不会进入水体中，导致水体中重金属浓度升高。</w:t>
            </w:r>
            <w:r>
              <w:rPr>
                <w:rFonts w:hint="eastAsia"/>
                <w:sz w:val="24"/>
                <w:highlight w:val="none"/>
              </w:rPr>
              <w:t>研究表明，</w:t>
            </w:r>
            <w:r>
              <w:rPr>
                <w:sz w:val="24"/>
                <w:highlight w:val="none"/>
              </w:rPr>
              <w:t>余水中主要污染</w:t>
            </w:r>
            <w:r>
              <w:rPr>
                <w:color w:val="auto"/>
                <w:sz w:val="24"/>
                <w:highlight w:val="none"/>
              </w:rPr>
              <w:t>因子是悬浮物、N和P（N和P主要附着在悬浮物上）。干化初期90%的余水经过自然沉淀后可去除大部分悬浮物从而将N和P也一并去除，干化场初期余水经自然沉淀后排入附近</w:t>
            </w:r>
            <w:r>
              <w:rPr>
                <w:rFonts w:hint="eastAsia"/>
                <w:color w:val="auto"/>
                <w:sz w:val="24"/>
                <w:highlight w:val="none"/>
              </w:rPr>
              <w:t>水体</w:t>
            </w:r>
            <w:r>
              <w:rPr>
                <w:color w:val="auto"/>
                <w:sz w:val="24"/>
                <w:highlight w:val="none"/>
              </w:rPr>
              <w:t>，最终进入区域水系。</w:t>
            </w:r>
          </w:p>
          <w:p w14:paraId="71D7CD02">
            <w:pPr>
              <w:spacing w:line="480" w:lineRule="exact"/>
              <w:ind w:firstLine="480" w:firstLineChars="200"/>
              <w:jc w:val="both"/>
              <w:rPr>
                <w:color w:val="auto"/>
                <w:sz w:val="24"/>
                <w:highlight w:val="none"/>
              </w:rPr>
            </w:pPr>
            <w:r>
              <w:rPr>
                <w:color w:val="auto"/>
                <w:sz w:val="24"/>
                <w:highlight w:val="none"/>
              </w:rPr>
              <w:t>本项目共设置</w:t>
            </w:r>
            <w:r>
              <w:rPr>
                <w:rFonts w:hint="eastAsia"/>
                <w:color w:val="auto"/>
                <w:sz w:val="24"/>
                <w:highlight w:val="none"/>
                <w:lang w:val="en-US" w:eastAsia="zh-CN"/>
              </w:rPr>
              <w:t>1</w:t>
            </w:r>
            <w:r>
              <w:rPr>
                <w:color w:val="auto"/>
                <w:sz w:val="24"/>
                <w:highlight w:val="none"/>
              </w:rPr>
              <w:t>块淤泥干化场，</w:t>
            </w:r>
            <w:r>
              <w:rPr>
                <w:rFonts w:hint="eastAsia"/>
                <w:color w:val="auto"/>
                <w:sz w:val="24"/>
                <w:highlight w:val="none"/>
              </w:rPr>
              <w:t>采用三级沉淀方式处理清淤污泥，余水排入周边水体</w:t>
            </w:r>
            <w:r>
              <w:rPr>
                <w:color w:val="auto"/>
                <w:sz w:val="24"/>
                <w:highlight w:val="none"/>
              </w:rPr>
              <w:t>。</w:t>
            </w:r>
            <w:bookmarkStart w:id="10" w:name="_Hlk156250944"/>
            <w:r>
              <w:rPr>
                <w:rFonts w:hint="eastAsia"/>
                <w:color w:val="auto"/>
                <w:sz w:val="24"/>
                <w:highlight w:val="none"/>
              </w:rPr>
              <w:t>根据</w:t>
            </w:r>
            <w:r>
              <w:rPr>
                <w:color w:val="auto"/>
                <w:sz w:val="24"/>
                <w:highlight w:val="none"/>
              </w:rPr>
              <w:t>《通扬线通吕运河航道整治工程》，通吕运河宽度约</w:t>
            </w:r>
            <w:r>
              <w:rPr>
                <w:rFonts w:hint="eastAsia"/>
                <w:color w:val="auto"/>
                <w:sz w:val="24"/>
                <w:highlight w:val="none"/>
              </w:rPr>
              <w:t>9</w:t>
            </w:r>
            <w:r>
              <w:rPr>
                <w:color w:val="auto"/>
                <w:sz w:val="24"/>
                <w:highlight w:val="none"/>
              </w:rPr>
              <w:t>0m，平均航道水深约</w:t>
            </w:r>
            <w:r>
              <w:rPr>
                <w:rFonts w:hint="eastAsia"/>
                <w:color w:val="auto"/>
                <w:sz w:val="24"/>
                <w:highlight w:val="none"/>
              </w:rPr>
              <w:t>3</w:t>
            </w:r>
            <w:r>
              <w:rPr>
                <w:color w:val="auto"/>
                <w:sz w:val="24"/>
                <w:highlight w:val="none"/>
              </w:rPr>
              <w:t>.2m，底泥以砂质土为主，与本项目航道及底泥现状相似。</w:t>
            </w:r>
            <w:r>
              <w:rPr>
                <w:rFonts w:hint="eastAsia"/>
                <w:color w:val="auto"/>
                <w:sz w:val="24"/>
                <w:highlight w:val="none"/>
              </w:rPr>
              <w:t>淤泥干化场同样采用三级沉淀工艺，类比该项目</w:t>
            </w:r>
            <w:r>
              <w:rPr>
                <w:color w:val="auto"/>
                <w:sz w:val="24"/>
                <w:highlight w:val="none"/>
              </w:rPr>
              <w:t>施工期监测数据可知，淤泥干化场尾水中，COD浓度为0.41mg/L，氨氮浓度为0.42mg/L，总磷浓度为0.12mg/L</w:t>
            </w:r>
            <w:r>
              <w:rPr>
                <w:rFonts w:hint="eastAsia"/>
                <w:color w:val="auto"/>
                <w:sz w:val="24"/>
                <w:highlight w:val="none"/>
              </w:rPr>
              <w:t>。根据</w:t>
            </w:r>
            <w:r>
              <w:rPr>
                <w:color w:val="auto"/>
                <w:sz w:val="24"/>
                <w:highlight w:val="none"/>
              </w:rPr>
              <w:t>《锡澄运河（黄昌河</w:t>
            </w:r>
            <w:r>
              <w:rPr>
                <w:rFonts w:hint="eastAsia"/>
                <w:color w:val="auto"/>
                <w:sz w:val="24"/>
                <w:highlight w:val="none"/>
                <w:lang w:eastAsia="zh-CN"/>
              </w:rPr>
              <w:t>～</w:t>
            </w:r>
            <w:r>
              <w:rPr>
                <w:color w:val="auto"/>
                <w:sz w:val="24"/>
                <w:highlight w:val="none"/>
              </w:rPr>
              <w:t>长江段）整治工程》</w:t>
            </w:r>
            <w:r>
              <w:rPr>
                <w:rFonts w:hint="eastAsia"/>
                <w:color w:val="auto"/>
                <w:sz w:val="24"/>
                <w:highlight w:val="none"/>
              </w:rPr>
              <w:t>，</w:t>
            </w:r>
            <w:r>
              <w:rPr>
                <w:color w:val="auto"/>
                <w:sz w:val="24"/>
                <w:highlight w:val="none"/>
              </w:rPr>
              <w:t>锡澄运河（黄昌河</w:t>
            </w:r>
            <w:r>
              <w:rPr>
                <w:rFonts w:hint="eastAsia"/>
                <w:color w:val="auto"/>
                <w:sz w:val="24"/>
                <w:highlight w:val="none"/>
                <w:lang w:eastAsia="zh-CN"/>
              </w:rPr>
              <w:t>～</w:t>
            </w:r>
            <w:r>
              <w:rPr>
                <w:color w:val="auto"/>
                <w:sz w:val="24"/>
                <w:highlight w:val="none"/>
              </w:rPr>
              <w:t>长江段）</w:t>
            </w:r>
            <w:r>
              <w:rPr>
                <w:rFonts w:hint="eastAsia"/>
                <w:color w:val="auto"/>
                <w:sz w:val="24"/>
                <w:highlight w:val="none"/>
              </w:rPr>
              <w:t>位于无锡市境内，航道宽度约8</w:t>
            </w:r>
            <w:r>
              <w:rPr>
                <w:color w:val="auto"/>
                <w:sz w:val="24"/>
                <w:highlight w:val="none"/>
              </w:rPr>
              <w:t>0</w:t>
            </w:r>
            <w:r>
              <w:rPr>
                <w:rFonts w:hint="eastAsia"/>
                <w:color w:val="auto"/>
                <w:sz w:val="24"/>
                <w:highlight w:val="none"/>
              </w:rPr>
              <w:t>m，平均水深约2</w:t>
            </w:r>
            <w:r>
              <w:rPr>
                <w:color w:val="auto"/>
                <w:sz w:val="24"/>
                <w:highlight w:val="none"/>
              </w:rPr>
              <w:t>.5</w:t>
            </w:r>
            <w:r>
              <w:rPr>
                <w:rFonts w:hint="eastAsia"/>
                <w:color w:val="auto"/>
                <w:sz w:val="24"/>
                <w:highlight w:val="none"/>
              </w:rPr>
              <w:t>m，为苏南运河相交河道，航道情况与本项目类似。类比该项目</w:t>
            </w:r>
            <w:r>
              <w:rPr>
                <w:color w:val="auto"/>
                <w:sz w:val="24"/>
                <w:highlight w:val="none"/>
              </w:rPr>
              <w:t>施工期监测数据可知，</w:t>
            </w:r>
            <w:r>
              <w:rPr>
                <w:rFonts w:hint="eastAsia"/>
                <w:color w:val="auto"/>
                <w:sz w:val="24"/>
                <w:highlight w:val="none"/>
              </w:rPr>
              <w:t>经三级沉淀处理后</w:t>
            </w:r>
            <w:r>
              <w:rPr>
                <w:color w:val="auto"/>
                <w:sz w:val="24"/>
                <w:highlight w:val="none"/>
              </w:rPr>
              <w:t>淤泥干化场尾水中SS浓度值为23</w:t>
            </w:r>
            <w:r>
              <w:rPr>
                <w:rFonts w:hint="eastAsia"/>
                <w:color w:val="auto"/>
                <w:sz w:val="24"/>
                <w:highlight w:val="none"/>
                <w:lang w:eastAsia="zh-CN"/>
              </w:rPr>
              <w:t>～</w:t>
            </w:r>
            <w:r>
              <w:rPr>
                <w:color w:val="auto"/>
                <w:sz w:val="24"/>
                <w:highlight w:val="none"/>
              </w:rPr>
              <w:t>27mg/L，余水中各污染物浓度能够满足《地表水环境质量标准》（GB3838-2002）中的Ⅲ类水体标准。因此，本次干化场余水中各污染物浓度预计能满足《地表水环境质量标准》（GB3838-2002）中的Ⅲ类水体标准要求，施工过程中需加强监测，确保余水稳定达标排放。</w:t>
            </w:r>
          </w:p>
          <w:bookmarkEnd w:id="10"/>
          <w:p w14:paraId="482B2F9D">
            <w:pPr>
              <w:spacing w:line="480" w:lineRule="exact"/>
              <w:ind w:firstLine="482" w:firstLineChars="200"/>
              <w:jc w:val="center"/>
              <w:rPr>
                <w:rFonts w:hint="default" w:ascii="Times New Roman" w:hAnsi="Times New Roman" w:eastAsia="宋体" w:cs="Times New Roman"/>
                <w:b/>
                <w:bCs/>
                <w:spacing w:val="0"/>
                <w:kern w:val="2"/>
                <w:sz w:val="24"/>
                <w:szCs w:val="24"/>
                <w:highlight w:val="none"/>
                <w:lang w:val="en-US" w:eastAsia="zh-CN" w:bidi="ar-SA"/>
              </w:rPr>
            </w:pPr>
            <w:r>
              <w:rPr>
                <w:rFonts w:hint="default" w:ascii="Times New Roman" w:hAnsi="Times New Roman" w:eastAsia="宋体" w:cs="Times New Roman"/>
                <w:b/>
                <w:bCs/>
                <w:spacing w:val="0"/>
                <w:kern w:val="2"/>
                <w:sz w:val="24"/>
                <w:szCs w:val="24"/>
                <w:highlight w:val="none"/>
                <w:lang w:val="en-US" w:eastAsia="zh-CN" w:bidi="ar-SA"/>
              </w:rPr>
              <w:t>表</w:t>
            </w:r>
            <w:r>
              <w:rPr>
                <w:rFonts w:hint="eastAsia" w:ascii="Times New Roman" w:hAnsi="Times New Roman" w:eastAsia="宋体" w:cs="Times New Roman"/>
                <w:b/>
                <w:bCs/>
                <w:spacing w:val="0"/>
                <w:kern w:val="2"/>
                <w:sz w:val="24"/>
                <w:szCs w:val="24"/>
                <w:highlight w:val="none"/>
                <w:lang w:val="en-US" w:eastAsia="zh-CN" w:bidi="ar-SA"/>
              </w:rPr>
              <w:t>4.1-4</w:t>
            </w:r>
            <w:r>
              <w:rPr>
                <w:rFonts w:hint="default" w:ascii="Times New Roman" w:hAnsi="Times New Roman" w:eastAsia="宋体" w:cs="Times New Roman"/>
                <w:b/>
                <w:bCs/>
                <w:spacing w:val="0"/>
                <w:kern w:val="2"/>
                <w:sz w:val="24"/>
                <w:szCs w:val="24"/>
                <w:highlight w:val="none"/>
                <w:lang w:val="en-US" w:eastAsia="zh-CN" w:bidi="ar-SA"/>
              </w:rPr>
              <w:t xml:space="preserve">   类比项目淤泥干化场余水中各污染物浓度</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787"/>
              <w:gridCol w:w="2124"/>
              <w:gridCol w:w="4231"/>
            </w:tblGrid>
            <w:tr w14:paraId="79FAA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9" w:type="dxa"/>
                  <w:tcBorders>
                    <w:tl2br w:val="nil"/>
                    <w:tr2bl w:val="nil"/>
                  </w:tcBorders>
                  <w:noWrap w:val="0"/>
                  <w:vAlign w:val="center"/>
                </w:tcPr>
                <w:p w14:paraId="5AE48CAD">
                  <w:pPr>
                    <w:widowControl w:val="0"/>
                    <w:spacing w:line="480" w:lineRule="exact"/>
                    <w:jc w:val="center"/>
                    <w:rPr>
                      <w:b/>
                      <w:highlight w:val="none"/>
                    </w:rPr>
                  </w:pPr>
                  <w:r>
                    <w:rPr>
                      <w:b/>
                      <w:highlight w:val="none"/>
                    </w:rPr>
                    <w:t>序号</w:t>
                  </w:r>
                </w:p>
              </w:tc>
              <w:tc>
                <w:tcPr>
                  <w:tcW w:w="1787" w:type="dxa"/>
                  <w:tcBorders>
                    <w:tl2br w:val="nil"/>
                    <w:tr2bl w:val="nil"/>
                  </w:tcBorders>
                  <w:noWrap w:val="0"/>
                  <w:vAlign w:val="center"/>
                </w:tcPr>
                <w:p w14:paraId="062D0497">
                  <w:pPr>
                    <w:widowControl w:val="0"/>
                    <w:spacing w:line="480" w:lineRule="exact"/>
                    <w:jc w:val="center"/>
                    <w:rPr>
                      <w:b/>
                      <w:highlight w:val="none"/>
                    </w:rPr>
                  </w:pPr>
                  <w:r>
                    <w:rPr>
                      <w:b/>
                      <w:highlight w:val="none"/>
                    </w:rPr>
                    <w:t>污染物种类</w:t>
                  </w:r>
                </w:p>
              </w:tc>
              <w:tc>
                <w:tcPr>
                  <w:tcW w:w="2124" w:type="dxa"/>
                  <w:tcBorders>
                    <w:tl2br w:val="nil"/>
                    <w:tr2bl w:val="nil"/>
                  </w:tcBorders>
                  <w:noWrap w:val="0"/>
                  <w:vAlign w:val="center"/>
                </w:tcPr>
                <w:p w14:paraId="66B05A83">
                  <w:pPr>
                    <w:widowControl w:val="0"/>
                    <w:spacing w:line="480" w:lineRule="exact"/>
                    <w:jc w:val="center"/>
                    <w:rPr>
                      <w:b/>
                      <w:highlight w:val="none"/>
                    </w:rPr>
                  </w:pPr>
                  <w:r>
                    <w:rPr>
                      <w:b/>
                      <w:highlight w:val="none"/>
                    </w:rPr>
                    <w:t>浓度（mg/L）</w:t>
                  </w:r>
                </w:p>
              </w:tc>
              <w:tc>
                <w:tcPr>
                  <w:tcW w:w="4231" w:type="dxa"/>
                  <w:tcBorders>
                    <w:tl2br w:val="nil"/>
                    <w:tr2bl w:val="nil"/>
                  </w:tcBorders>
                  <w:noWrap w:val="0"/>
                  <w:vAlign w:val="center"/>
                </w:tcPr>
                <w:p w14:paraId="62E34B97">
                  <w:pPr>
                    <w:widowControl w:val="0"/>
                    <w:spacing w:line="480" w:lineRule="exact"/>
                    <w:jc w:val="center"/>
                    <w:rPr>
                      <w:b/>
                      <w:highlight w:val="none"/>
                    </w:rPr>
                  </w:pPr>
                  <w:r>
                    <w:rPr>
                      <w:b/>
                      <w:highlight w:val="none"/>
                    </w:rPr>
                    <w:t>来源</w:t>
                  </w:r>
                </w:p>
              </w:tc>
            </w:tr>
            <w:tr w14:paraId="423D0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29" w:type="dxa"/>
                  <w:tcBorders>
                    <w:tl2br w:val="nil"/>
                    <w:tr2bl w:val="nil"/>
                  </w:tcBorders>
                  <w:noWrap w:val="0"/>
                  <w:vAlign w:val="center"/>
                </w:tcPr>
                <w:p w14:paraId="7029AC44">
                  <w:pPr>
                    <w:widowControl w:val="0"/>
                    <w:spacing w:line="480" w:lineRule="exact"/>
                    <w:jc w:val="center"/>
                    <w:rPr>
                      <w:highlight w:val="none"/>
                    </w:rPr>
                  </w:pPr>
                  <w:r>
                    <w:rPr>
                      <w:highlight w:val="none"/>
                    </w:rPr>
                    <w:t>1</w:t>
                  </w:r>
                </w:p>
              </w:tc>
              <w:tc>
                <w:tcPr>
                  <w:tcW w:w="1787" w:type="dxa"/>
                  <w:tcBorders>
                    <w:tl2br w:val="nil"/>
                    <w:tr2bl w:val="nil"/>
                  </w:tcBorders>
                  <w:noWrap w:val="0"/>
                  <w:vAlign w:val="center"/>
                </w:tcPr>
                <w:p w14:paraId="298F9FC7">
                  <w:pPr>
                    <w:widowControl w:val="0"/>
                    <w:spacing w:line="480" w:lineRule="exact"/>
                    <w:jc w:val="center"/>
                    <w:rPr>
                      <w:highlight w:val="none"/>
                    </w:rPr>
                  </w:pPr>
                  <w:r>
                    <w:rPr>
                      <w:highlight w:val="none"/>
                    </w:rPr>
                    <w:t>COD</w:t>
                  </w:r>
                </w:p>
              </w:tc>
              <w:tc>
                <w:tcPr>
                  <w:tcW w:w="2124" w:type="dxa"/>
                  <w:tcBorders>
                    <w:tl2br w:val="nil"/>
                    <w:tr2bl w:val="nil"/>
                  </w:tcBorders>
                  <w:noWrap w:val="0"/>
                  <w:vAlign w:val="center"/>
                </w:tcPr>
                <w:p w14:paraId="18247463">
                  <w:pPr>
                    <w:widowControl w:val="0"/>
                    <w:spacing w:line="480" w:lineRule="exact"/>
                    <w:jc w:val="center"/>
                    <w:rPr>
                      <w:highlight w:val="none"/>
                    </w:rPr>
                  </w:pPr>
                  <w:r>
                    <w:rPr>
                      <w:highlight w:val="none"/>
                    </w:rPr>
                    <w:t>4.1</w:t>
                  </w:r>
                </w:p>
              </w:tc>
              <w:tc>
                <w:tcPr>
                  <w:tcW w:w="4231" w:type="dxa"/>
                  <w:vMerge w:val="restart"/>
                  <w:tcBorders>
                    <w:tl2br w:val="nil"/>
                    <w:tr2bl w:val="nil"/>
                  </w:tcBorders>
                  <w:noWrap w:val="0"/>
                  <w:vAlign w:val="center"/>
                </w:tcPr>
                <w:p w14:paraId="429825DA">
                  <w:pPr>
                    <w:widowControl w:val="0"/>
                    <w:spacing w:line="480" w:lineRule="exact"/>
                    <w:jc w:val="center"/>
                    <w:rPr>
                      <w:highlight w:val="none"/>
                    </w:rPr>
                  </w:pPr>
                  <w:r>
                    <w:rPr>
                      <w:highlight w:val="none"/>
                    </w:rPr>
                    <w:t>《通扬线通吕运河航道整治工程》</w:t>
                  </w:r>
                </w:p>
              </w:tc>
            </w:tr>
            <w:tr w14:paraId="02A98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29" w:type="dxa"/>
                  <w:tcBorders>
                    <w:tl2br w:val="nil"/>
                    <w:tr2bl w:val="nil"/>
                  </w:tcBorders>
                  <w:noWrap w:val="0"/>
                  <w:vAlign w:val="center"/>
                </w:tcPr>
                <w:p w14:paraId="272DCAD6">
                  <w:pPr>
                    <w:widowControl w:val="0"/>
                    <w:spacing w:line="480" w:lineRule="exact"/>
                    <w:jc w:val="center"/>
                    <w:rPr>
                      <w:highlight w:val="none"/>
                    </w:rPr>
                  </w:pPr>
                  <w:r>
                    <w:rPr>
                      <w:highlight w:val="none"/>
                    </w:rPr>
                    <w:t>2</w:t>
                  </w:r>
                </w:p>
              </w:tc>
              <w:tc>
                <w:tcPr>
                  <w:tcW w:w="1787" w:type="dxa"/>
                  <w:tcBorders>
                    <w:tl2br w:val="nil"/>
                    <w:tr2bl w:val="nil"/>
                  </w:tcBorders>
                  <w:noWrap w:val="0"/>
                  <w:vAlign w:val="center"/>
                </w:tcPr>
                <w:p w14:paraId="21AEDCAB">
                  <w:pPr>
                    <w:widowControl w:val="0"/>
                    <w:spacing w:line="480" w:lineRule="exact"/>
                    <w:jc w:val="center"/>
                    <w:rPr>
                      <w:highlight w:val="none"/>
                    </w:rPr>
                  </w:pPr>
                  <w:r>
                    <w:rPr>
                      <w:highlight w:val="none"/>
                    </w:rPr>
                    <w:t>氨氮</w:t>
                  </w:r>
                </w:p>
              </w:tc>
              <w:tc>
                <w:tcPr>
                  <w:tcW w:w="2124" w:type="dxa"/>
                  <w:tcBorders>
                    <w:tl2br w:val="nil"/>
                    <w:tr2bl w:val="nil"/>
                  </w:tcBorders>
                  <w:noWrap w:val="0"/>
                  <w:vAlign w:val="center"/>
                </w:tcPr>
                <w:p w14:paraId="7115C193">
                  <w:pPr>
                    <w:widowControl w:val="0"/>
                    <w:spacing w:line="480" w:lineRule="exact"/>
                    <w:jc w:val="center"/>
                    <w:rPr>
                      <w:highlight w:val="none"/>
                    </w:rPr>
                  </w:pPr>
                  <w:r>
                    <w:rPr>
                      <w:highlight w:val="none"/>
                    </w:rPr>
                    <w:t>0.42</w:t>
                  </w:r>
                </w:p>
              </w:tc>
              <w:tc>
                <w:tcPr>
                  <w:tcW w:w="4231" w:type="dxa"/>
                  <w:vMerge w:val="continue"/>
                  <w:tcBorders>
                    <w:tl2br w:val="nil"/>
                    <w:tr2bl w:val="nil"/>
                  </w:tcBorders>
                  <w:noWrap w:val="0"/>
                  <w:vAlign w:val="center"/>
                </w:tcPr>
                <w:p w14:paraId="629C8D70">
                  <w:pPr>
                    <w:widowControl w:val="0"/>
                    <w:spacing w:line="480" w:lineRule="exact"/>
                    <w:jc w:val="center"/>
                    <w:rPr>
                      <w:highlight w:val="none"/>
                    </w:rPr>
                  </w:pPr>
                </w:p>
              </w:tc>
            </w:tr>
            <w:tr w14:paraId="63982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9" w:type="dxa"/>
                  <w:tcBorders>
                    <w:tl2br w:val="nil"/>
                    <w:tr2bl w:val="nil"/>
                  </w:tcBorders>
                  <w:noWrap w:val="0"/>
                  <w:vAlign w:val="center"/>
                </w:tcPr>
                <w:p w14:paraId="6526A9A8">
                  <w:pPr>
                    <w:widowControl w:val="0"/>
                    <w:spacing w:line="480" w:lineRule="exact"/>
                    <w:jc w:val="center"/>
                    <w:rPr>
                      <w:highlight w:val="none"/>
                    </w:rPr>
                  </w:pPr>
                  <w:r>
                    <w:rPr>
                      <w:highlight w:val="none"/>
                    </w:rPr>
                    <w:t>3</w:t>
                  </w:r>
                </w:p>
              </w:tc>
              <w:tc>
                <w:tcPr>
                  <w:tcW w:w="1787" w:type="dxa"/>
                  <w:tcBorders>
                    <w:tl2br w:val="nil"/>
                    <w:tr2bl w:val="nil"/>
                  </w:tcBorders>
                  <w:noWrap w:val="0"/>
                  <w:vAlign w:val="center"/>
                </w:tcPr>
                <w:p w14:paraId="138E7DF6">
                  <w:pPr>
                    <w:widowControl w:val="0"/>
                    <w:spacing w:line="480" w:lineRule="exact"/>
                    <w:jc w:val="center"/>
                    <w:rPr>
                      <w:highlight w:val="none"/>
                    </w:rPr>
                  </w:pPr>
                  <w:r>
                    <w:rPr>
                      <w:highlight w:val="none"/>
                    </w:rPr>
                    <w:t>TP</w:t>
                  </w:r>
                </w:p>
              </w:tc>
              <w:tc>
                <w:tcPr>
                  <w:tcW w:w="2124" w:type="dxa"/>
                  <w:tcBorders>
                    <w:tl2br w:val="nil"/>
                    <w:tr2bl w:val="nil"/>
                  </w:tcBorders>
                  <w:noWrap w:val="0"/>
                  <w:vAlign w:val="center"/>
                </w:tcPr>
                <w:p w14:paraId="189E1571">
                  <w:pPr>
                    <w:widowControl w:val="0"/>
                    <w:spacing w:line="480" w:lineRule="exact"/>
                    <w:jc w:val="center"/>
                    <w:rPr>
                      <w:highlight w:val="none"/>
                    </w:rPr>
                  </w:pPr>
                  <w:r>
                    <w:rPr>
                      <w:highlight w:val="none"/>
                    </w:rPr>
                    <w:t>0.12</w:t>
                  </w:r>
                </w:p>
              </w:tc>
              <w:tc>
                <w:tcPr>
                  <w:tcW w:w="4231" w:type="dxa"/>
                  <w:vMerge w:val="continue"/>
                  <w:tcBorders>
                    <w:tl2br w:val="nil"/>
                    <w:tr2bl w:val="nil"/>
                  </w:tcBorders>
                  <w:noWrap w:val="0"/>
                  <w:vAlign w:val="center"/>
                </w:tcPr>
                <w:p w14:paraId="02979863">
                  <w:pPr>
                    <w:widowControl w:val="0"/>
                    <w:spacing w:line="480" w:lineRule="exact"/>
                    <w:jc w:val="center"/>
                    <w:rPr>
                      <w:highlight w:val="none"/>
                    </w:rPr>
                  </w:pPr>
                </w:p>
              </w:tc>
            </w:tr>
            <w:tr w14:paraId="566F8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29" w:type="dxa"/>
                  <w:tcBorders>
                    <w:tl2br w:val="nil"/>
                    <w:tr2bl w:val="nil"/>
                  </w:tcBorders>
                  <w:noWrap w:val="0"/>
                  <w:vAlign w:val="center"/>
                </w:tcPr>
                <w:p w14:paraId="204226DE">
                  <w:pPr>
                    <w:widowControl w:val="0"/>
                    <w:spacing w:line="480" w:lineRule="exact"/>
                    <w:jc w:val="center"/>
                    <w:rPr>
                      <w:highlight w:val="none"/>
                    </w:rPr>
                  </w:pPr>
                  <w:r>
                    <w:rPr>
                      <w:highlight w:val="none"/>
                    </w:rPr>
                    <w:t>4</w:t>
                  </w:r>
                </w:p>
              </w:tc>
              <w:tc>
                <w:tcPr>
                  <w:tcW w:w="1787" w:type="dxa"/>
                  <w:tcBorders>
                    <w:tl2br w:val="nil"/>
                    <w:tr2bl w:val="nil"/>
                  </w:tcBorders>
                  <w:noWrap w:val="0"/>
                  <w:vAlign w:val="center"/>
                </w:tcPr>
                <w:p w14:paraId="48528324">
                  <w:pPr>
                    <w:widowControl w:val="0"/>
                    <w:spacing w:line="480" w:lineRule="exact"/>
                    <w:jc w:val="center"/>
                    <w:rPr>
                      <w:highlight w:val="none"/>
                    </w:rPr>
                  </w:pPr>
                  <w:r>
                    <w:rPr>
                      <w:highlight w:val="none"/>
                    </w:rPr>
                    <w:t>SS</w:t>
                  </w:r>
                </w:p>
              </w:tc>
              <w:tc>
                <w:tcPr>
                  <w:tcW w:w="2124" w:type="dxa"/>
                  <w:tcBorders>
                    <w:tl2br w:val="nil"/>
                    <w:tr2bl w:val="nil"/>
                  </w:tcBorders>
                  <w:noWrap w:val="0"/>
                  <w:vAlign w:val="center"/>
                </w:tcPr>
                <w:p w14:paraId="6D93B1CF">
                  <w:pPr>
                    <w:widowControl w:val="0"/>
                    <w:spacing w:line="480" w:lineRule="exact"/>
                    <w:jc w:val="center"/>
                    <w:rPr>
                      <w:highlight w:val="none"/>
                    </w:rPr>
                  </w:pPr>
                  <w:r>
                    <w:rPr>
                      <w:highlight w:val="none"/>
                    </w:rPr>
                    <w:t>23~27</w:t>
                  </w:r>
                </w:p>
              </w:tc>
              <w:tc>
                <w:tcPr>
                  <w:tcW w:w="4231" w:type="dxa"/>
                  <w:tcBorders>
                    <w:tl2br w:val="nil"/>
                    <w:tr2bl w:val="nil"/>
                  </w:tcBorders>
                  <w:noWrap w:val="0"/>
                  <w:vAlign w:val="center"/>
                </w:tcPr>
                <w:p w14:paraId="730DB816">
                  <w:pPr>
                    <w:widowControl w:val="0"/>
                    <w:spacing w:line="480" w:lineRule="exact"/>
                    <w:jc w:val="center"/>
                    <w:rPr>
                      <w:highlight w:val="none"/>
                    </w:rPr>
                  </w:pPr>
                  <w:r>
                    <w:rPr>
                      <w:highlight w:val="none"/>
                    </w:rPr>
                    <w:t>《锡澄运河（黄昌河</w:t>
                  </w:r>
                  <w:r>
                    <w:rPr>
                      <w:rFonts w:hint="eastAsia"/>
                      <w:highlight w:val="none"/>
                      <w:lang w:eastAsia="zh-CN"/>
                    </w:rPr>
                    <w:t>～</w:t>
                  </w:r>
                  <w:r>
                    <w:rPr>
                      <w:highlight w:val="none"/>
                    </w:rPr>
                    <w:t>长江段）整治工程》</w:t>
                  </w:r>
                </w:p>
              </w:tc>
            </w:tr>
          </w:tbl>
          <w:p w14:paraId="1383CADE">
            <w:pPr>
              <w:spacing w:line="480" w:lineRule="exact"/>
              <w:ind w:firstLine="480" w:firstLineChars="200"/>
              <w:rPr>
                <w:sz w:val="24"/>
                <w:highlight w:val="cyan"/>
              </w:rPr>
            </w:pPr>
            <w:r>
              <w:rPr>
                <w:sz w:val="24"/>
                <w:highlight w:val="none"/>
              </w:rPr>
              <w:t>淤泥在干化场泥浆水进入沉淀池经过三级沉淀后，余水执行《地表水环境质量标准》（GB3838-2002）中的Ⅲ类标准（SS参照受纳水体本底值）后，就近排入周边水体，本工程施工期应加强底泥余水水质监测，根据监测结果进一步提高余水处理效果，避免对附近水域水质产生不利影响。考虑到余水排放为间歇性排放，预计干化场余水排放对水质的影响较小。同时需加强施工期</w:t>
            </w:r>
            <w:r>
              <w:rPr>
                <w:rFonts w:hint="eastAsia"/>
                <w:sz w:val="24"/>
                <w:highlight w:val="none"/>
              </w:rPr>
              <w:t>淤泥干化场</w:t>
            </w:r>
            <w:r>
              <w:rPr>
                <w:rFonts w:hint="eastAsia"/>
                <w:sz w:val="24"/>
                <w:highlight w:val="none"/>
                <w:lang w:eastAsia="zh-CN"/>
              </w:rPr>
              <w:t>出水水质</w:t>
            </w:r>
            <w:r>
              <w:rPr>
                <w:sz w:val="24"/>
                <w:highlight w:val="none"/>
              </w:rPr>
              <w:t>监测，根据水质监测结果适时调整处理措施。</w:t>
            </w:r>
          </w:p>
          <w:p w14:paraId="1E3BC0F1">
            <w:pPr>
              <w:spacing w:line="480" w:lineRule="exact"/>
              <w:ind w:firstLine="480" w:firstLineChars="200"/>
              <w:rPr>
                <w:rFonts w:hint="default" w:cs="Times New Roman"/>
                <w:kern w:val="0"/>
                <w:sz w:val="24"/>
                <w:szCs w:val="24"/>
                <w:highlight w:val="none"/>
                <w:lang w:val="en-US" w:eastAsia="zh-CN"/>
              </w:rPr>
            </w:pPr>
            <w:r>
              <w:rPr>
                <w:rFonts w:hint="eastAsia" w:cs="Times New Roman"/>
                <w:kern w:val="0"/>
                <w:sz w:val="24"/>
                <w:szCs w:val="24"/>
                <w:highlight w:val="none"/>
                <w:lang w:val="en-US" w:eastAsia="zh-CN"/>
              </w:rPr>
              <w:t>3、围堰施工</w:t>
            </w:r>
          </w:p>
          <w:p w14:paraId="49473FBF">
            <w:pPr>
              <w:spacing w:line="480" w:lineRule="exact"/>
              <w:ind w:firstLine="480" w:firstLineChars="200"/>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本项目</w:t>
            </w:r>
            <w:r>
              <w:rPr>
                <w:rFonts w:hint="eastAsia" w:cs="Times New Roman"/>
                <w:kern w:val="0"/>
                <w:sz w:val="24"/>
                <w:szCs w:val="24"/>
                <w:highlight w:val="none"/>
                <w:lang w:val="en-US" w:eastAsia="zh-CN"/>
              </w:rPr>
              <w:t>锚地工程</w:t>
            </w:r>
            <w:r>
              <w:rPr>
                <w:rFonts w:hint="default" w:ascii="Times New Roman" w:hAnsi="Times New Roman" w:eastAsia="宋体" w:cs="Times New Roman"/>
                <w:kern w:val="0"/>
                <w:sz w:val="24"/>
                <w:szCs w:val="24"/>
                <w:highlight w:val="none"/>
              </w:rPr>
              <w:t>采用</w:t>
            </w:r>
            <w:r>
              <w:rPr>
                <w:rFonts w:hint="eastAsia" w:cs="Times New Roman"/>
                <w:kern w:val="0"/>
                <w:sz w:val="24"/>
                <w:szCs w:val="24"/>
                <w:highlight w:val="none"/>
                <w:lang w:val="en-US" w:eastAsia="zh-CN"/>
              </w:rPr>
              <w:t>围</w:t>
            </w:r>
            <w:r>
              <w:rPr>
                <w:rFonts w:hint="default" w:ascii="Times New Roman" w:hAnsi="Times New Roman" w:eastAsia="宋体" w:cs="Times New Roman"/>
                <w:kern w:val="0"/>
                <w:sz w:val="24"/>
                <w:szCs w:val="24"/>
                <w:highlight w:val="none"/>
              </w:rPr>
              <w:t>堰法施工。首先沿施工河段现有河岸搭设围堰；围堰合拢后抽排围堰与现有河岸之间的河水，在围堰内形成干地；然后在围堰内进行土方开挖、护岸浇筑、墙后回填等施工，施工结束后拆除围堰。</w:t>
            </w:r>
          </w:p>
          <w:p w14:paraId="2EFB0A44">
            <w:pPr>
              <w:spacing w:line="480" w:lineRule="exact"/>
              <w:ind w:firstLine="480" w:firstLineChars="200"/>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采用围堰法施工后，施工区域与水体隔离，施工活动不会直接影响河流水质，因此围堰施工对水体的影响主要发生在围堰搭设和拆除过程中。在围堰搭设和拆除过程中，钢板桩的插打和拔出均会对河底底泥产生扰动，使局部水域的悬浮物浓度升高。根据同类工程的研究表明，围堰施工时，局部水域的悬浮物浓度在80-160mg/L之间，但施工处下游100m范围外悬浮物增量不超过50mg/L，对下游100m范围外水域水质不产生污染影响。</w:t>
            </w:r>
          </w:p>
          <w:p w14:paraId="7F528FBA">
            <w:pPr>
              <w:spacing w:line="480" w:lineRule="exact"/>
              <w:ind w:firstLine="480" w:firstLineChars="200"/>
              <w:rPr>
                <w:rFonts w:hint="default" w:eastAsia="宋体"/>
                <w:sz w:val="24"/>
                <w:szCs w:val="24"/>
                <w:highlight w:val="none"/>
                <w:lang w:val="en-US" w:eastAsia="zh-CN"/>
              </w:rPr>
            </w:pPr>
            <w:r>
              <w:rPr>
                <w:rFonts w:hint="eastAsia"/>
                <w:sz w:val="24"/>
                <w:szCs w:val="24"/>
                <w:highlight w:val="none"/>
                <w:lang w:val="en-US" w:eastAsia="zh-CN"/>
              </w:rPr>
              <w:t>4</w:t>
            </w:r>
            <w:r>
              <w:rPr>
                <w:sz w:val="24"/>
                <w:szCs w:val="24"/>
                <w:highlight w:val="none"/>
              </w:rPr>
              <w:t>、施工船舶</w:t>
            </w:r>
            <w:r>
              <w:rPr>
                <w:rFonts w:hint="eastAsia"/>
                <w:sz w:val="24"/>
                <w:szCs w:val="24"/>
                <w:highlight w:val="none"/>
                <w:lang w:val="en-US" w:eastAsia="zh-CN"/>
              </w:rPr>
              <w:t>含油污水和施工生活污水</w:t>
            </w:r>
          </w:p>
          <w:p w14:paraId="7F3DDAB9">
            <w:pPr>
              <w:spacing w:line="480" w:lineRule="exact"/>
              <w:ind w:firstLine="480" w:firstLineChars="200"/>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项目施工人员</w:t>
            </w:r>
            <w:r>
              <w:rPr>
                <w:rFonts w:hint="default" w:ascii="Times New Roman" w:hAnsi="Times New Roman" w:eastAsia="宋体" w:cs="Times New Roman"/>
                <w:b w:val="0"/>
                <w:bCs w:val="0"/>
                <w:kern w:val="0"/>
                <w:sz w:val="24"/>
                <w:szCs w:val="24"/>
                <w:highlight w:val="none"/>
                <w:lang w:eastAsia="zh-CN"/>
              </w:rPr>
              <w:t>生活污水由具备相应作业资质的污水接收船接收处理，运送到岸上集中处理；船舶含油污水由当地交通运输部门认可的有资质的单位接收处理</w:t>
            </w:r>
            <w:r>
              <w:rPr>
                <w:rFonts w:hint="default" w:ascii="Times New Roman" w:hAnsi="Times New Roman" w:eastAsia="宋体" w:cs="Times New Roman"/>
                <w:kern w:val="0"/>
                <w:sz w:val="24"/>
                <w:szCs w:val="24"/>
                <w:highlight w:val="none"/>
              </w:rPr>
              <w:t>，不向项目所在水域排放。</w:t>
            </w:r>
          </w:p>
          <w:p w14:paraId="302D0D03">
            <w:pPr>
              <w:spacing w:line="440" w:lineRule="exact"/>
              <w:ind w:firstLine="480"/>
              <w:rPr>
                <w:sz w:val="24"/>
                <w:szCs w:val="24"/>
                <w:highlight w:val="none"/>
              </w:rPr>
            </w:pPr>
            <w:r>
              <w:rPr>
                <w:rFonts w:hint="eastAsia"/>
                <w:sz w:val="24"/>
                <w:szCs w:val="24"/>
                <w:highlight w:val="none"/>
              </w:rPr>
              <w:t>综上</w:t>
            </w:r>
            <w:r>
              <w:rPr>
                <w:sz w:val="24"/>
                <w:szCs w:val="24"/>
                <w:highlight w:val="none"/>
              </w:rPr>
              <w:t>，</w:t>
            </w:r>
            <w:r>
              <w:rPr>
                <w:rFonts w:hint="eastAsia"/>
                <w:sz w:val="24"/>
                <w:szCs w:val="24"/>
                <w:highlight w:val="none"/>
              </w:rPr>
              <w:t>本项目</w:t>
            </w:r>
            <w:r>
              <w:rPr>
                <w:sz w:val="24"/>
                <w:szCs w:val="24"/>
                <w:highlight w:val="none"/>
              </w:rPr>
              <w:t>施工期各</w:t>
            </w:r>
            <w:r>
              <w:rPr>
                <w:rFonts w:hint="eastAsia"/>
                <w:sz w:val="24"/>
                <w:szCs w:val="24"/>
                <w:highlight w:val="none"/>
              </w:rPr>
              <w:t>废水</w:t>
            </w:r>
            <w:r>
              <w:rPr>
                <w:sz w:val="24"/>
                <w:szCs w:val="24"/>
                <w:highlight w:val="none"/>
              </w:rPr>
              <w:t>均得到有效处理处置，对</w:t>
            </w:r>
            <w:r>
              <w:rPr>
                <w:rFonts w:hint="eastAsia"/>
                <w:sz w:val="24"/>
                <w:szCs w:val="24"/>
                <w:highlight w:val="none"/>
              </w:rPr>
              <w:t>水环境</w:t>
            </w:r>
            <w:r>
              <w:rPr>
                <w:sz w:val="24"/>
                <w:szCs w:val="24"/>
                <w:highlight w:val="none"/>
              </w:rPr>
              <w:t>产生影响</w:t>
            </w:r>
            <w:r>
              <w:rPr>
                <w:rFonts w:hint="eastAsia"/>
                <w:sz w:val="24"/>
                <w:szCs w:val="24"/>
                <w:highlight w:val="none"/>
              </w:rPr>
              <w:t>较小</w:t>
            </w:r>
            <w:r>
              <w:rPr>
                <w:sz w:val="24"/>
                <w:szCs w:val="24"/>
                <w:highlight w:val="none"/>
              </w:rPr>
              <w:t>。</w:t>
            </w:r>
          </w:p>
          <w:p w14:paraId="4A1CAB24">
            <w:pPr>
              <w:spacing w:line="480" w:lineRule="exact"/>
              <w:ind w:firstLine="482" w:firstLineChars="200"/>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4.1.</w:t>
            </w:r>
            <w:r>
              <w:rPr>
                <w:rFonts w:hint="eastAsia" w:cs="Times New Roman"/>
                <w:b/>
                <w:bCs/>
                <w:sz w:val="24"/>
                <w:szCs w:val="24"/>
                <w:highlight w:val="none"/>
                <w:lang w:val="en-US" w:eastAsia="zh-CN"/>
              </w:rPr>
              <w:t>4</w:t>
            </w:r>
            <w:r>
              <w:rPr>
                <w:rFonts w:hint="eastAsia" w:ascii="Times New Roman" w:hAnsi="Times New Roman" w:eastAsia="宋体" w:cs="Times New Roman"/>
                <w:b/>
                <w:bCs/>
                <w:sz w:val="24"/>
                <w:szCs w:val="24"/>
                <w:highlight w:val="none"/>
                <w:lang w:val="en-US" w:eastAsia="zh-CN"/>
              </w:rPr>
              <w:t>.2水文情势影响分析</w:t>
            </w:r>
          </w:p>
          <w:p w14:paraId="4589B91E">
            <w:pPr>
              <w:pStyle w:val="112"/>
              <w:spacing w:line="480" w:lineRule="exact"/>
              <w:ind w:firstLine="480" w:firstLineChars="200"/>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t>1、围堰施工</w:t>
            </w:r>
          </w:p>
          <w:p w14:paraId="267B196C">
            <w:pPr>
              <w:spacing w:line="480" w:lineRule="exact"/>
              <w:ind w:firstLine="480" w:firstLineChars="200"/>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拟在</w:t>
            </w:r>
            <w:r>
              <w:rPr>
                <w:rFonts w:hint="eastAsia" w:ascii="Times New Roman" w:hAnsi="Times New Roman" w:eastAsia="宋体" w:cs="Times New Roman"/>
                <w:kern w:val="0"/>
                <w:sz w:val="24"/>
                <w:szCs w:val="24"/>
                <w:highlight w:val="none"/>
                <w:lang w:val="en-US" w:eastAsia="zh-CN"/>
              </w:rPr>
              <w:t>锚地水工</w:t>
            </w:r>
            <w:r>
              <w:rPr>
                <w:rFonts w:hint="default" w:ascii="Times New Roman" w:hAnsi="Times New Roman" w:eastAsia="宋体" w:cs="Times New Roman"/>
                <w:kern w:val="0"/>
                <w:sz w:val="24"/>
                <w:szCs w:val="24"/>
                <w:highlight w:val="none"/>
                <w:lang w:val="en-US" w:eastAsia="zh-CN"/>
              </w:rPr>
              <w:t>结构靠船构件安装及板桩墙后倒滤层设置土围堰。本次</w:t>
            </w:r>
            <w:r>
              <w:rPr>
                <w:rFonts w:hint="eastAsia" w:ascii="Times New Roman" w:hAnsi="Times New Roman" w:eastAsia="宋体" w:cs="Times New Roman"/>
                <w:kern w:val="0"/>
                <w:sz w:val="24"/>
                <w:szCs w:val="24"/>
                <w:highlight w:val="none"/>
                <w:lang w:val="en-US" w:eastAsia="zh-CN"/>
              </w:rPr>
              <w:t>锚地</w:t>
            </w:r>
            <w:r>
              <w:rPr>
                <w:rFonts w:hint="default" w:ascii="Times New Roman" w:hAnsi="Times New Roman" w:eastAsia="宋体" w:cs="Times New Roman"/>
                <w:kern w:val="0"/>
                <w:sz w:val="24"/>
                <w:szCs w:val="24"/>
                <w:highlight w:val="none"/>
                <w:lang w:val="en-US" w:eastAsia="zh-CN"/>
              </w:rPr>
              <w:t>建设需要在河道中搭设围堰，围堰距离现状防洪堤迎水侧约10m，临时围堰的搭建会对断面过水造成影响。根据施工期安排，围堰施工安排在非汛期，</w:t>
            </w:r>
            <w:r>
              <w:rPr>
                <w:rFonts w:hint="eastAsia" w:cs="Times New Roman"/>
                <w:kern w:val="0"/>
                <w:sz w:val="24"/>
                <w:szCs w:val="24"/>
                <w:highlight w:val="none"/>
                <w:lang w:val="en-US" w:eastAsia="zh-CN"/>
              </w:rPr>
              <w:t>锚地</w:t>
            </w:r>
            <w:r>
              <w:rPr>
                <w:rFonts w:hint="default" w:ascii="Times New Roman" w:hAnsi="Times New Roman" w:eastAsia="宋体" w:cs="Times New Roman"/>
                <w:kern w:val="0"/>
                <w:sz w:val="24"/>
                <w:szCs w:val="24"/>
                <w:highlight w:val="none"/>
                <w:lang w:val="en-US" w:eastAsia="zh-CN"/>
              </w:rPr>
              <w:t>涉水工程在汛期来临前全部结束，并拆除河道中围堰及其他搭建。根据《京杭运河淮安段黄码港锚地建设工程防洪评价报告》计算结果，</w:t>
            </w:r>
            <w:r>
              <w:rPr>
                <w:rFonts w:hint="eastAsia" w:ascii="Times New Roman" w:hAnsi="Times New Roman" w:eastAsia="宋体" w:cs="Times New Roman"/>
                <w:kern w:val="0"/>
                <w:sz w:val="24"/>
                <w:szCs w:val="24"/>
                <w:highlight w:val="none"/>
                <w:lang w:val="en-US" w:eastAsia="zh-CN"/>
              </w:rPr>
              <w:t>工程施工在河槽、滩地实施钢筋砼板桩和钻孔灌注桩，并在河槽内疏浚待泊区港池，对河道断面有所扩大，对整个河道水流流速影响很小，且待泊区固化河道驳岸，不会因此产生壅水、冲刷，</w:t>
            </w:r>
            <w:r>
              <w:rPr>
                <w:rFonts w:hint="default" w:ascii="Times New Roman" w:hAnsi="Times New Roman" w:eastAsia="宋体" w:cs="Times New Roman"/>
                <w:kern w:val="0"/>
                <w:sz w:val="24"/>
                <w:szCs w:val="24"/>
                <w:highlight w:val="none"/>
                <w:lang w:val="en-US" w:eastAsia="zh-CN"/>
              </w:rPr>
              <w:t>并且这种影响是短暂的，随着施工期的结束，对水文情势的影响将减少。</w:t>
            </w:r>
          </w:p>
          <w:p w14:paraId="0027DEC8">
            <w:pPr>
              <w:spacing w:line="480" w:lineRule="exact"/>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2、</w:t>
            </w:r>
            <w:r>
              <w:rPr>
                <w:rFonts w:hint="default" w:ascii="Times New Roman" w:hAnsi="Times New Roman" w:eastAsia="宋体" w:cs="Times New Roman"/>
                <w:b w:val="0"/>
                <w:bCs w:val="0"/>
                <w:color w:val="auto"/>
                <w:kern w:val="0"/>
                <w:sz w:val="24"/>
                <w:szCs w:val="24"/>
                <w:highlight w:val="none"/>
                <w:lang w:val="en-US" w:eastAsia="zh-CN" w:bidi="ar-SA"/>
              </w:rPr>
              <w:t>疏浚</w:t>
            </w:r>
            <w:r>
              <w:rPr>
                <w:rFonts w:hint="eastAsia" w:cs="Times New Roman"/>
                <w:b w:val="0"/>
                <w:bCs w:val="0"/>
                <w:color w:val="auto"/>
                <w:kern w:val="0"/>
                <w:sz w:val="24"/>
                <w:szCs w:val="24"/>
                <w:highlight w:val="none"/>
                <w:lang w:val="en-US" w:eastAsia="zh-CN" w:bidi="ar-SA"/>
              </w:rPr>
              <w:t>施工</w:t>
            </w:r>
          </w:p>
          <w:p w14:paraId="2A83190C">
            <w:pPr>
              <w:adjustRightInd w:val="0"/>
              <w:snapToGrid w:val="0"/>
              <w:spacing w:line="480" w:lineRule="exact"/>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挖泥船施工过程中，对施工作业面的水流流向以及流速产生一定影响，类比苏南航道网整治工程等同类工程的施工，影响作业面基本为半径为20m的范围，不改变原有河道的水面面积以及流量等，并且这种影响是短暂的，随着施工期的结束，对水文情势的影响将减少。</w:t>
            </w:r>
          </w:p>
          <w:p w14:paraId="3A8A2D0F">
            <w:pPr>
              <w:adjustRightInd w:val="0"/>
              <w:snapToGrid w:val="0"/>
              <w:spacing w:line="480" w:lineRule="exact"/>
              <w:ind w:firstLine="482"/>
              <w:rPr>
                <w:b/>
                <w:bCs/>
                <w:sz w:val="24"/>
                <w:szCs w:val="24"/>
                <w:highlight w:val="none"/>
              </w:rPr>
            </w:pPr>
            <w:r>
              <w:rPr>
                <w:b/>
                <w:bCs/>
                <w:sz w:val="24"/>
                <w:szCs w:val="24"/>
                <w:highlight w:val="none"/>
              </w:rPr>
              <w:t>4.1.</w:t>
            </w:r>
            <w:r>
              <w:rPr>
                <w:rFonts w:hint="eastAsia"/>
                <w:b/>
                <w:bCs/>
                <w:sz w:val="24"/>
                <w:szCs w:val="24"/>
                <w:highlight w:val="none"/>
                <w:lang w:val="en-US" w:eastAsia="zh-CN"/>
              </w:rPr>
              <w:t>5</w:t>
            </w:r>
            <w:r>
              <w:rPr>
                <w:b/>
                <w:bCs/>
                <w:sz w:val="24"/>
                <w:szCs w:val="24"/>
                <w:highlight w:val="none"/>
              </w:rPr>
              <w:t>声环境影响分析</w:t>
            </w:r>
          </w:p>
          <w:p w14:paraId="73CFE77B">
            <w:pPr>
              <w:spacing w:line="440" w:lineRule="exact"/>
              <w:ind w:firstLine="480"/>
              <w:rPr>
                <w:sz w:val="24"/>
                <w:szCs w:val="24"/>
                <w:highlight w:val="none"/>
              </w:rPr>
            </w:pPr>
            <w:r>
              <w:rPr>
                <w:sz w:val="24"/>
                <w:szCs w:val="24"/>
                <w:highlight w:val="none"/>
              </w:rPr>
              <w:t>施工期噪声主要来源于施工机械和运输车辆，主要声源有打桩机、推土机、砼振捣器、装载机、载重车、挖掘机、施工船舶等。</w:t>
            </w:r>
          </w:p>
          <w:p w14:paraId="0F3FF902">
            <w:pPr>
              <w:spacing w:line="440" w:lineRule="exact"/>
              <w:ind w:firstLine="480"/>
              <w:rPr>
                <w:sz w:val="24"/>
                <w:szCs w:val="24"/>
                <w:highlight w:val="none"/>
              </w:rPr>
            </w:pPr>
            <w:r>
              <w:rPr>
                <w:sz w:val="24"/>
                <w:szCs w:val="24"/>
                <w:highlight w:val="none"/>
              </w:rPr>
              <w:t>施工机械的噪声可近似视为点声源处理，根据点声源噪声衰减模式，估算距离声源不同距离处的噪声值，预测模式如下：</w:t>
            </w:r>
          </w:p>
          <w:p w14:paraId="52EC1875">
            <w:pPr>
              <w:ind w:firstLine="480"/>
              <w:jc w:val="center"/>
              <w:rPr>
                <w:sz w:val="24"/>
                <w:szCs w:val="24"/>
                <w:highlight w:val="none"/>
              </w:rPr>
            </w:pPr>
            <w:r>
              <w:rPr>
                <w:position w:val="-30"/>
                <w:sz w:val="24"/>
                <w:szCs w:val="24"/>
                <w:highlight w:val="none"/>
              </w:rPr>
              <w:object>
                <v:shape id="_x0000_i1025" o:spt="75" type="#_x0000_t75" style="height:35pt;width:95pt;" o:ole="t" filled="f" o:preferrelative="t" stroked="f" coordsize="21600,21600">
                  <v:path/>
                  <v:fill on="f" alignshape="1" focussize="0,0"/>
                  <v:stroke on="f"/>
                  <v:imagedata r:id="rId28" o:title=""/>
                  <o:lock v:ext="edit" aspectratio="t"/>
                  <w10:wrap type="none"/>
                  <w10:anchorlock/>
                </v:shape>
                <o:OLEObject Type="Embed" ProgID="Equation.3" ShapeID="_x0000_i1025" DrawAspect="Content" ObjectID="_1468075725" r:id="rId27">
                  <o:LockedField>false</o:LockedField>
                </o:OLEObject>
              </w:object>
            </w:r>
            <w:r>
              <w:rPr>
                <w:sz w:val="24"/>
                <w:szCs w:val="24"/>
                <w:highlight w:val="none"/>
              </w:rPr>
              <w:t xml:space="preserve">            (r</w:t>
            </w:r>
            <w:r>
              <w:rPr>
                <w:sz w:val="24"/>
                <w:szCs w:val="24"/>
                <w:highlight w:val="none"/>
                <w:vertAlign w:val="subscript"/>
              </w:rPr>
              <w:t>2</w:t>
            </w:r>
            <w:r>
              <w:rPr>
                <w:sz w:val="24"/>
                <w:szCs w:val="24"/>
                <w:highlight w:val="none"/>
              </w:rPr>
              <w:t>&gt;r</w:t>
            </w:r>
            <w:r>
              <w:rPr>
                <w:sz w:val="24"/>
                <w:szCs w:val="24"/>
                <w:highlight w:val="none"/>
                <w:vertAlign w:val="subscript"/>
              </w:rPr>
              <w:t>1</w:t>
            </w:r>
            <w:r>
              <w:rPr>
                <w:sz w:val="24"/>
                <w:szCs w:val="24"/>
                <w:highlight w:val="none"/>
              </w:rPr>
              <w:t>)</w:t>
            </w:r>
          </w:p>
          <w:p w14:paraId="60295698">
            <w:pPr>
              <w:spacing w:line="440" w:lineRule="exact"/>
              <w:ind w:firstLine="1200" w:firstLineChars="500"/>
              <w:rPr>
                <w:sz w:val="24"/>
                <w:szCs w:val="24"/>
                <w:highlight w:val="none"/>
              </w:rPr>
            </w:pPr>
            <w:r>
              <w:rPr>
                <w:sz w:val="24"/>
                <w:szCs w:val="24"/>
                <w:highlight w:val="none"/>
              </w:rPr>
              <w:t>式中：</w:t>
            </w:r>
            <w:r>
              <w:rPr>
                <w:i/>
                <w:sz w:val="24"/>
                <w:szCs w:val="24"/>
                <w:highlight w:val="none"/>
              </w:rPr>
              <w:t>L</w:t>
            </w:r>
            <w:r>
              <w:rPr>
                <w:i/>
                <w:sz w:val="24"/>
                <w:szCs w:val="24"/>
                <w:highlight w:val="none"/>
                <w:vertAlign w:val="subscript"/>
              </w:rPr>
              <w:t>1</w:t>
            </w:r>
            <w:r>
              <w:rPr>
                <w:i/>
                <w:sz w:val="24"/>
                <w:szCs w:val="24"/>
                <w:highlight w:val="none"/>
              </w:rPr>
              <w:t>、L</w:t>
            </w:r>
            <w:r>
              <w:rPr>
                <w:i/>
                <w:sz w:val="24"/>
                <w:szCs w:val="24"/>
                <w:highlight w:val="none"/>
                <w:vertAlign w:val="subscript"/>
              </w:rPr>
              <w:t>2</w:t>
            </w:r>
            <w:r>
              <w:rPr>
                <w:sz w:val="24"/>
                <w:szCs w:val="24"/>
                <w:highlight w:val="none"/>
              </w:rPr>
              <w:t>—分别为距声源r</w:t>
            </w:r>
            <w:r>
              <w:rPr>
                <w:sz w:val="24"/>
                <w:szCs w:val="24"/>
                <w:highlight w:val="none"/>
                <w:vertAlign w:val="subscript"/>
              </w:rPr>
              <w:t>1</w:t>
            </w:r>
            <w:r>
              <w:rPr>
                <w:sz w:val="24"/>
                <w:szCs w:val="24"/>
                <w:highlight w:val="none"/>
              </w:rPr>
              <w:t>、r</w:t>
            </w:r>
            <w:r>
              <w:rPr>
                <w:sz w:val="24"/>
                <w:szCs w:val="24"/>
                <w:highlight w:val="none"/>
                <w:vertAlign w:val="subscript"/>
              </w:rPr>
              <w:t>2</w:t>
            </w:r>
            <w:r>
              <w:rPr>
                <w:sz w:val="24"/>
                <w:szCs w:val="24"/>
                <w:highlight w:val="none"/>
              </w:rPr>
              <w:t>处的等效A声级（dB(A)）；</w:t>
            </w:r>
          </w:p>
          <w:p w14:paraId="7CFB4E34">
            <w:pPr>
              <w:spacing w:line="440" w:lineRule="exact"/>
              <w:ind w:firstLine="1200" w:firstLineChars="500"/>
              <w:rPr>
                <w:sz w:val="24"/>
                <w:szCs w:val="24"/>
                <w:highlight w:val="none"/>
              </w:rPr>
            </w:pPr>
            <w:r>
              <w:rPr>
                <w:sz w:val="24"/>
                <w:szCs w:val="24"/>
                <w:highlight w:val="none"/>
              </w:rPr>
              <w:t>r</w:t>
            </w:r>
            <w:r>
              <w:rPr>
                <w:sz w:val="24"/>
                <w:szCs w:val="24"/>
                <w:highlight w:val="none"/>
                <w:vertAlign w:val="subscript"/>
              </w:rPr>
              <w:t>1</w:t>
            </w:r>
            <w:r>
              <w:rPr>
                <w:sz w:val="24"/>
                <w:szCs w:val="24"/>
                <w:highlight w:val="none"/>
              </w:rPr>
              <w:t>、r</w:t>
            </w:r>
            <w:r>
              <w:rPr>
                <w:sz w:val="24"/>
                <w:szCs w:val="24"/>
                <w:highlight w:val="none"/>
                <w:vertAlign w:val="subscript"/>
              </w:rPr>
              <w:t>2</w:t>
            </w:r>
            <w:r>
              <w:rPr>
                <w:sz w:val="24"/>
                <w:szCs w:val="24"/>
                <w:highlight w:val="none"/>
              </w:rPr>
              <w:t>—分别为接受点距声源的距离（m）。</w:t>
            </w:r>
          </w:p>
          <w:p w14:paraId="4BF51C81">
            <w:pPr>
              <w:spacing w:line="480" w:lineRule="exact"/>
              <w:ind w:firstLine="480" w:firstLineChars="200"/>
              <w:rPr>
                <w:sz w:val="24"/>
                <w:szCs w:val="24"/>
                <w:highlight w:val="none"/>
              </w:rPr>
            </w:pPr>
            <w:r>
              <w:rPr>
                <w:sz w:val="24"/>
                <w:szCs w:val="24"/>
                <w:highlight w:val="none"/>
              </w:rPr>
              <w:t>各声源在预测点产生的贡献声级LP采用以下计算模式：</w:t>
            </w:r>
          </w:p>
          <w:p w14:paraId="3F6ED9A9">
            <w:pPr>
              <w:jc w:val="center"/>
              <w:rPr>
                <w:sz w:val="24"/>
                <w:szCs w:val="24"/>
                <w:highlight w:val="none"/>
              </w:rPr>
            </w:pPr>
            <w:r>
              <w:rPr>
                <w:position w:val="-32"/>
                <w:sz w:val="24"/>
                <w:szCs w:val="24"/>
                <w:highlight w:val="none"/>
              </w:rPr>
              <w:object>
                <v:shape id="_x0000_i1026" o:spt="75" type="#_x0000_t75" style="height:41.65pt;width:133pt;" o:ole="t" fillcolor="#6D6D6D" filled="f" o:preferrelative="t" stroked="f" coordsize="21600,21600">
                  <v:path/>
                  <v:fill on="f" alignshape="1" focussize="0,0"/>
                  <v:stroke on="f"/>
                  <v:imagedata r:id="rId30" o:title=""/>
                  <o:lock v:ext="edit" aspectratio="t"/>
                  <w10:wrap type="none"/>
                  <w10:anchorlock/>
                </v:shape>
                <o:OLEObject Type="Embed" ProgID="Equation.3" ShapeID="_x0000_i1026" DrawAspect="Content" ObjectID="_1468075726" r:id="rId29">
                  <o:LockedField>false</o:LockedField>
                </o:OLEObject>
              </w:object>
            </w:r>
          </w:p>
          <w:p w14:paraId="5A5C45FC">
            <w:pPr>
              <w:spacing w:line="480" w:lineRule="exact"/>
              <w:ind w:firstLine="480" w:firstLineChars="200"/>
              <w:rPr>
                <w:sz w:val="24"/>
                <w:szCs w:val="24"/>
                <w:highlight w:val="none"/>
                <w:lang w:val="zh-CN"/>
              </w:rPr>
            </w:pPr>
            <w:r>
              <w:rPr>
                <w:sz w:val="24"/>
                <w:szCs w:val="24"/>
                <w:highlight w:val="none"/>
                <w:lang w:val="zh-CN"/>
              </w:rPr>
              <w:t>式中：T—预测计算的时间段（s）；</w:t>
            </w:r>
          </w:p>
          <w:p w14:paraId="21AE7CE3">
            <w:pPr>
              <w:spacing w:line="480" w:lineRule="exact"/>
              <w:ind w:firstLine="480" w:firstLineChars="200"/>
              <w:rPr>
                <w:sz w:val="24"/>
                <w:szCs w:val="24"/>
                <w:highlight w:val="none"/>
                <w:lang w:val="zh-CN"/>
              </w:rPr>
            </w:pPr>
            <w:r>
              <w:rPr>
                <w:i/>
                <w:sz w:val="24"/>
                <w:szCs w:val="24"/>
                <w:highlight w:val="none"/>
                <w:lang w:val="zh-CN"/>
              </w:rPr>
              <w:t>t</w:t>
            </w:r>
            <w:r>
              <w:rPr>
                <w:i/>
                <w:sz w:val="24"/>
                <w:szCs w:val="24"/>
                <w:highlight w:val="none"/>
                <w:vertAlign w:val="subscript"/>
                <w:lang w:val="zh-CN"/>
              </w:rPr>
              <w:t>i</w:t>
            </w:r>
            <w:r>
              <w:rPr>
                <w:sz w:val="24"/>
                <w:szCs w:val="24"/>
                <w:highlight w:val="none"/>
                <w:lang w:val="zh-CN"/>
              </w:rPr>
              <w:t>—i声源在T时段内的运行时间（s）。</w:t>
            </w:r>
          </w:p>
          <w:p w14:paraId="3FD90D7A">
            <w:pPr>
              <w:spacing w:line="480" w:lineRule="exact"/>
              <w:ind w:firstLine="480" w:firstLineChars="200"/>
              <w:rPr>
                <w:sz w:val="24"/>
                <w:szCs w:val="24"/>
                <w:highlight w:val="none"/>
                <w:lang w:val="zh-CN"/>
              </w:rPr>
            </w:pPr>
            <w:r>
              <w:rPr>
                <w:sz w:val="24"/>
                <w:szCs w:val="24"/>
                <w:highlight w:val="none"/>
                <w:lang w:val="zh-CN"/>
              </w:rPr>
              <w:t>不同施工机械在不同距离处的噪声预测结果见表</w:t>
            </w:r>
            <w:r>
              <w:rPr>
                <w:sz w:val="24"/>
                <w:szCs w:val="24"/>
                <w:highlight w:val="none"/>
              </w:rPr>
              <w:t>4</w:t>
            </w:r>
            <w:r>
              <w:rPr>
                <w:sz w:val="24"/>
                <w:szCs w:val="24"/>
                <w:highlight w:val="none"/>
                <w:lang w:val="zh-CN"/>
              </w:rPr>
              <w:t>.1-</w:t>
            </w:r>
            <w:r>
              <w:rPr>
                <w:rFonts w:hint="eastAsia"/>
                <w:sz w:val="24"/>
                <w:szCs w:val="24"/>
                <w:highlight w:val="none"/>
                <w:lang w:val="en-US" w:eastAsia="zh-CN"/>
              </w:rPr>
              <w:t>5</w:t>
            </w:r>
            <w:r>
              <w:rPr>
                <w:sz w:val="24"/>
                <w:szCs w:val="24"/>
                <w:highlight w:val="none"/>
                <w:lang w:val="zh-CN"/>
              </w:rPr>
              <w:t>。</w:t>
            </w:r>
          </w:p>
          <w:p w14:paraId="196996E3">
            <w:pPr>
              <w:spacing w:line="480" w:lineRule="exact"/>
              <w:ind w:firstLine="480" w:firstLineChars="200"/>
              <w:rPr>
                <w:sz w:val="24"/>
                <w:szCs w:val="24"/>
                <w:highlight w:val="none"/>
                <w:lang w:val="zh-CN"/>
              </w:rPr>
            </w:pPr>
            <w:r>
              <w:rPr>
                <w:sz w:val="24"/>
                <w:szCs w:val="24"/>
                <w:highlight w:val="none"/>
                <w:lang w:val="zh-CN"/>
              </w:rPr>
              <w:t>昼间单台施工机械的辐射噪声在距施工场地60m外可达到《建筑施工场界环境噪声排放标准》（GB12523-2011）中的相应标准限值，夜间300m外基本可达到标准限值（打桩机除外）。但在施工现场，往往是多种施工机械共同作业，因此施工现场噪声是各种不同施工机械辐射噪声以及进出施工现场的各种车辆辐射噪声共同作用的结果，其噪声达标距离要远远超过昼间40m、夜间300m的范围。</w:t>
            </w:r>
          </w:p>
          <w:p w14:paraId="6D819162">
            <w:pPr>
              <w:spacing w:line="480" w:lineRule="exact"/>
              <w:ind w:firstLine="480" w:firstLineChars="200"/>
              <w:rPr>
                <w:sz w:val="24"/>
                <w:szCs w:val="24"/>
                <w:highlight w:val="none"/>
                <w:lang w:val="zh-CN"/>
              </w:rPr>
            </w:pPr>
          </w:p>
          <w:p w14:paraId="2D0C02F5">
            <w:pPr>
              <w:pStyle w:val="161"/>
              <w:adjustRightInd w:val="0"/>
              <w:spacing w:line="480" w:lineRule="exact"/>
              <w:ind w:firstLine="480"/>
              <w:rPr>
                <w:rFonts w:hint="default" w:ascii="Times New Roman" w:hAnsi="Times New Roman" w:eastAsia="宋体" w:cs="Times New Roman"/>
                <w:b/>
                <w:bCs/>
                <w:spacing w:val="0"/>
                <w:kern w:val="2"/>
                <w:sz w:val="24"/>
                <w:szCs w:val="24"/>
                <w:highlight w:val="none"/>
                <w:lang w:val="en-US" w:eastAsia="zh-CN" w:bidi="ar-SA"/>
              </w:rPr>
            </w:pPr>
            <w:r>
              <w:rPr>
                <w:rFonts w:hint="default" w:ascii="Times New Roman" w:hAnsi="Times New Roman" w:eastAsia="宋体" w:cs="Times New Roman"/>
                <w:b/>
                <w:bCs/>
                <w:spacing w:val="0"/>
                <w:kern w:val="2"/>
                <w:sz w:val="24"/>
                <w:szCs w:val="24"/>
                <w:highlight w:val="none"/>
                <w:lang w:val="en-US" w:eastAsia="zh-CN" w:bidi="ar-SA"/>
              </w:rPr>
              <w:t>表4.1-</w:t>
            </w:r>
            <w:r>
              <w:rPr>
                <w:rFonts w:hint="eastAsia" w:ascii="Times New Roman" w:hAnsi="Times New Roman" w:eastAsia="宋体" w:cs="Times New Roman"/>
                <w:b/>
                <w:bCs/>
                <w:spacing w:val="0"/>
                <w:kern w:val="2"/>
                <w:sz w:val="24"/>
                <w:szCs w:val="24"/>
                <w:highlight w:val="none"/>
                <w:lang w:val="en-US" w:eastAsia="zh-CN" w:bidi="ar-SA"/>
              </w:rPr>
              <w:t>5</w:t>
            </w:r>
            <w:r>
              <w:rPr>
                <w:rFonts w:hint="default" w:ascii="Times New Roman" w:hAnsi="Times New Roman" w:eastAsia="宋体" w:cs="Times New Roman"/>
                <w:b/>
                <w:bCs/>
                <w:spacing w:val="0"/>
                <w:kern w:val="2"/>
                <w:sz w:val="24"/>
                <w:szCs w:val="24"/>
                <w:highlight w:val="none"/>
                <w:lang w:val="en-US" w:eastAsia="zh-CN" w:bidi="ar-SA"/>
              </w:rPr>
              <w:t xml:space="preserve">  主要施工机械在不同距离处的噪声级  单位：dB(A)</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172"/>
              <w:gridCol w:w="797"/>
              <w:gridCol w:w="795"/>
              <w:gridCol w:w="797"/>
              <w:gridCol w:w="797"/>
              <w:gridCol w:w="797"/>
              <w:gridCol w:w="795"/>
              <w:gridCol w:w="797"/>
              <w:gridCol w:w="797"/>
              <w:gridCol w:w="798"/>
              <w:gridCol w:w="793"/>
            </w:tblGrid>
            <w:tr w14:paraId="218A3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7" w:hRule="atLeast"/>
                <w:tblHeader/>
                <w:jc w:val="center"/>
              </w:trPr>
              <w:tc>
                <w:tcPr>
                  <w:tcW w:w="641" w:type="pct"/>
                  <w:tcBorders>
                    <w:tl2br w:val="nil"/>
                    <w:tr2bl w:val="nil"/>
                  </w:tcBorders>
                  <w:noWrap w:val="0"/>
                  <w:vAlign w:val="center"/>
                </w:tcPr>
                <w:p w14:paraId="20858D89">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机械名称</w:t>
                  </w:r>
                </w:p>
              </w:tc>
              <w:tc>
                <w:tcPr>
                  <w:tcW w:w="436" w:type="pct"/>
                  <w:tcBorders>
                    <w:tl2br w:val="nil"/>
                    <w:tr2bl w:val="nil"/>
                  </w:tcBorders>
                  <w:noWrap w:val="0"/>
                  <w:vAlign w:val="center"/>
                </w:tcPr>
                <w:p w14:paraId="10F8C138">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5m</w:t>
                  </w:r>
                </w:p>
              </w:tc>
              <w:tc>
                <w:tcPr>
                  <w:tcW w:w="435" w:type="pct"/>
                  <w:tcBorders>
                    <w:tl2br w:val="nil"/>
                    <w:tr2bl w:val="nil"/>
                  </w:tcBorders>
                  <w:noWrap w:val="0"/>
                  <w:vAlign w:val="center"/>
                </w:tcPr>
                <w:p w14:paraId="346F6BDF">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10m</w:t>
                  </w:r>
                </w:p>
              </w:tc>
              <w:tc>
                <w:tcPr>
                  <w:tcW w:w="436" w:type="pct"/>
                  <w:tcBorders>
                    <w:tl2br w:val="nil"/>
                    <w:tr2bl w:val="nil"/>
                  </w:tcBorders>
                  <w:noWrap w:val="0"/>
                  <w:vAlign w:val="center"/>
                </w:tcPr>
                <w:p w14:paraId="63A0DBE9">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20m</w:t>
                  </w:r>
                </w:p>
              </w:tc>
              <w:tc>
                <w:tcPr>
                  <w:tcW w:w="436" w:type="pct"/>
                  <w:tcBorders>
                    <w:tl2br w:val="nil"/>
                    <w:tr2bl w:val="nil"/>
                  </w:tcBorders>
                  <w:noWrap w:val="0"/>
                  <w:vAlign w:val="center"/>
                </w:tcPr>
                <w:p w14:paraId="0129DC14">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40m</w:t>
                  </w:r>
                </w:p>
              </w:tc>
              <w:tc>
                <w:tcPr>
                  <w:tcW w:w="436" w:type="pct"/>
                  <w:tcBorders>
                    <w:tl2br w:val="nil"/>
                    <w:tr2bl w:val="nil"/>
                  </w:tcBorders>
                  <w:noWrap w:val="0"/>
                  <w:vAlign w:val="center"/>
                </w:tcPr>
                <w:p w14:paraId="4A38DF92">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60m</w:t>
                  </w:r>
                </w:p>
              </w:tc>
              <w:tc>
                <w:tcPr>
                  <w:tcW w:w="435" w:type="pct"/>
                  <w:tcBorders>
                    <w:tl2br w:val="nil"/>
                    <w:tr2bl w:val="nil"/>
                  </w:tcBorders>
                  <w:noWrap w:val="0"/>
                  <w:vAlign w:val="center"/>
                </w:tcPr>
                <w:p w14:paraId="49B94E7C">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80m</w:t>
                  </w:r>
                </w:p>
              </w:tc>
              <w:tc>
                <w:tcPr>
                  <w:tcW w:w="436" w:type="pct"/>
                  <w:tcBorders>
                    <w:tl2br w:val="nil"/>
                    <w:tr2bl w:val="nil"/>
                  </w:tcBorders>
                  <w:noWrap w:val="0"/>
                  <w:vAlign w:val="center"/>
                </w:tcPr>
                <w:p w14:paraId="7A3D9CB1">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100m</w:t>
                  </w:r>
                </w:p>
              </w:tc>
              <w:tc>
                <w:tcPr>
                  <w:tcW w:w="436" w:type="pct"/>
                  <w:tcBorders>
                    <w:tl2br w:val="nil"/>
                    <w:tr2bl w:val="nil"/>
                  </w:tcBorders>
                  <w:noWrap w:val="0"/>
                  <w:vAlign w:val="center"/>
                </w:tcPr>
                <w:p w14:paraId="78348AAB">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150m</w:t>
                  </w:r>
                </w:p>
              </w:tc>
              <w:tc>
                <w:tcPr>
                  <w:tcW w:w="436" w:type="pct"/>
                  <w:tcBorders>
                    <w:tl2br w:val="nil"/>
                    <w:tr2bl w:val="nil"/>
                  </w:tcBorders>
                  <w:noWrap w:val="0"/>
                  <w:vAlign w:val="center"/>
                </w:tcPr>
                <w:p w14:paraId="3B887B31">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200m</w:t>
                  </w:r>
                </w:p>
              </w:tc>
              <w:tc>
                <w:tcPr>
                  <w:tcW w:w="433" w:type="pct"/>
                  <w:tcBorders>
                    <w:tl2br w:val="nil"/>
                    <w:tr2bl w:val="nil"/>
                  </w:tcBorders>
                  <w:noWrap w:val="0"/>
                  <w:vAlign w:val="center"/>
                </w:tcPr>
                <w:p w14:paraId="2A230F3A">
                  <w:pPr>
                    <w:pStyle w:val="373"/>
                    <w:adjustRightInd/>
                    <w:snapToGrid/>
                    <w:spacing w:beforeLines="0" w:afterLines="0" w:line="240" w:lineRule="auto"/>
                    <w:rPr>
                      <w:rFonts w:ascii="Times New Roman"/>
                      <w:b/>
                      <w:bCs/>
                      <w:snapToGrid w:val="0"/>
                      <w:sz w:val="21"/>
                      <w:szCs w:val="21"/>
                      <w:highlight w:val="none"/>
                    </w:rPr>
                  </w:pPr>
                  <w:r>
                    <w:rPr>
                      <w:rFonts w:ascii="Times New Roman"/>
                      <w:b/>
                      <w:bCs/>
                      <w:snapToGrid w:val="0"/>
                      <w:sz w:val="21"/>
                      <w:szCs w:val="21"/>
                      <w:highlight w:val="none"/>
                    </w:rPr>
                    <w:t>300m</w:t>
                  </w:r>
                </w:p>
              </w:tc>
            </w:tr>
            <w:tr w14:paraId="39626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7" w:hRule="atLeast"/>
                <w:jc w:val="center"/>
              </w:trPr>
              <w:tc>
                <w:tcPr>
                  <w:tcW w:w="641" w:type="pct"/>
                  <w:tcBorders>
                    <w:tl2br w:val="nil"/>
                    <w:tr2bl w:val="nil"/>
                  </w:tcBorders>
                  <w:noWrap w:val="0"/>
                  <w:vAlign w:val="center"/>
                </w:tcPr>
                <w:p w14:paraId="0A617958">
                  <w:pPr>
                    <w:jc w:val="center"/>
                    <w:rPr>
                      <w:sz w:val="21"/>
                      <w:szCs w:val="21"/>
                      <w:highlight w:val="none"/>
                    </w:rPr>
                  </w:pPr>
                  <w:r>
                    <w:rPr>
                      <w:sz w:val="21"/>
                      <w:szCs w:val="21"/>
                      <w:highlight w:val="none"/>
                    </w:rPr>
                    <w:t>打桩机</w:t>
                  </w:r>
                </w:p>
              </w:tc>
              <w:tc>
                <w:tcPr>
                  <w:tcW w:w="436" w:type="pct"/>
                  <w:tcBorders>
                    <w:tl2br w:val="nil"/>
                    <w:tr2bl w:val="nil"/>
                  </w:tcBorders>
                  <w:noWrap w:val="0"/>
                  <w:vAlign w:val="center"/>
                </w:tcPr>
                <w:p w14:paraId="19073E77">
                  <w:pPr>
                    <w:jc w:val="center"/>
                    <w:rPr>
                      <w:sz w:val="21"/>
                      <w:szCs w:val="21"/>
                      <w:highlight w:val="none"/>
                    </w:rPr>
                  </w:pPr>
                  <w:r>
                    <w:rPr>
                      <w:sz w:val="21"/>
                      <w:szCs w:val="21"/>
                      <w:highlight w:val="none"/>
                    </w:rPr>
                    <w:t>105</w:t>
                  </w:r>
                </w:p>
              </w:tc>
              <w:tc>
                <w:tcPr>
                  <w:tcW w:w="435" w:type="pct"/>
                  <w:tcBorders>
                    <w:tl2br w:val="nil"/>
                    <w:tr2bl w:val="nil"/>
                  </w:tcBorders>
                  <w:noWrap w:val="0"/>
                  <w:vAlign w:val="center"/>
                </w:tcPr>
                <w:p w14:paraId="640E20A8">
                  <w:pPr>
                    <w:jc w:val="center"/>
                    <w:rPr>
                      <w:sz w:val="21"/>
                      <w:szCs w:val="21"/>
                      <w:highlight w:val="none"/>
                    </w:rPr>
                  </w:pPr>
                  <w:r>
                    <w:rPr>
                      <w:sz w:val="21"/>
                      <w:szCs w:val="21"/>
                      <w:highlight w:val="none"/>
                    </w:rPr>
                    <w:t>99</w:t>
                  </w:r>
                </w:p>
              </w:tc>
              <w:tc>
                <w:tcPr>
                  <w:tcW w:w="436" w:type="pct"/>
                  <w:tcBorders>
                    <w:tl2br w:val="nil"/>
                    <w:tr2bl w:val="nil"/>
                  </w:tcBorders>
                  <w:noWrap w:val="0"/>
                  <w:vAlign w:val="center"/>
                </w:tcPr>
                <w:p w14:paraId="3116951D">
                  <w:pPr>
                    <w:jc w:val="center"/>
                    <w:rPr>
                      <w:sz w:val="21"/>
                      <w:szCs w:val="21"/>
                      <w:highlight w:val="none"/>
                    </w:rPr>
                  </w:pPr>
                  <w:r>
                    <w:rPr>
                      <w:sz w:val="21"/>
                      <w:szCs w:val="21"/>
                      <w:highlight w:val="none"/>
                    </w:rPr>
                    <w:t>93</w:t>
                  </w:r>
                </w:p>
              </w:tc>
              <w:tc>
                <w:tcPr>
                  <w:tcW w:w="436" w:type="pct"/>
                  <w:tcBorders>
                    <w:tl2br w:val="nil"/>
                    <w:tr2bl w:val="nil"/>
                  </w:tcBorders>
                  <w:noWrap w:val="0"/>
                  <w:vAlign w:val="center"/>
                </w:tcPr>
                <w:p w14:paraId="6750647C">
                  <w:pPr>
                    <w:jc w:val="center"/>
                    <w:rPr>
                      <w:sz w:val="21"/>
                      <w:szCs w:val="21"/>
                      <w:highlight w:val="none"/>
                    </w:rPr>
                  </w:pPr>
                  <w:r>
                    <w:rPr>
                      <w:sz w:val="21"/>
                      <w:szCs w:val="21"/>
                      <w:highlight w:val="none"/>
                    </w:rPr>
                    <w:t>86.9</w:t>
                  </w:r>
                </w:p>
              </w:tc>
              <w:tc>
                <w:tcPr>
                  <w:tcW w:w="436" w:type="pct"/>
                  <w:tcBorders>
                    <w:tl2br w:val="nil"/>
                    <w:tr2bl w:val="nil"/>
                  </w:tcBorders>
                  <w:noWrap w:val="0"/>
                  <w:vAlign w:val="center"/>
                </w:tcPr>
                <w:p w14:paraId="01009B96">
                  <w:pPr>
                    <w:jc w:val="center"/>
                    <w:rPr>
                      <w:sz w:val="21"/>
                      <w:szCs w:val="21"/>
                      <w:highlight w:val="none"/>
                    </w:rPr>
                  </w:pPr>
                  <w:r>
                    <w:rPr>
                      <w:sz w:val="21"/>
                      <w:szCs w:val="21"/>
                      <w:highlight w:val="none"/>
                    </w:rPr>
                    <w:t>83.4</w:t>
                  </w:r>
                </w:p>
              </w:tc>
              <w:tc>
                <w:tcPr>
                  <w:tcW w:w="435" w:type="pct"/>
                  <w:tcBorders>
                    <w:tl2br w:val="nil"/>
                    <w:tr2bl w:val="nil"/>
                  </w:tcBorders>
                  <w:noWrap w:val="0"/>
                  <w:vAlign w:val="center"/>
                </w:tcPr>
                <w:p w14:paraId="036ADDF4">
                  <w:pPr>
                    <w:jc w:val="center"/>
                    <w:rPr>
                      <w:sz w:val="21"/>
                      <w:szCs w:val="21"/>
                      <w:highlight w:val="none"/>
                    </w:rPr>
                  </w:pPr>
                  <w:r>
                    <w:rPr>
                      <w:sz w:val="21"/>
                      <w:szCs w:val="21"/>
                      <w:highlight w:val="none"/>
                    </w:rPr>
                    <w:t>80.9</w:t>
                  </w:r>
                </w:p>
              </w:tc>
              <w:tc>
                <w:tcPr>
                  <w:tcW w:w="436" w:type="pct"/>
                  <w:tcBorders>
                    <w:tl2br w:val="nil"/>
                    <w:tr2bl w:val="nil"/>
                  </w:tcBorders>
                  <w:noWrap w:val="0"/>
                  <w:vAlign w:val="center"/>
                </w:tcPr>
                <w:p w14:paraId="1436C2B7">
                  <w:pPr>
                    <w:jc w:val="center"/>
                    <w:rPr>
                      <w:sz w:val="21"/>
                      <w:szCs w:val="21"/>
                      <w:highlight w:val="none"/>
                    </w:rPr>
                  </w:pPr>
                  <w:r>
                    <w:rPr>
                      <w:sz w:val="21"/>
                      <w:szCs w:val="21"/>
                      <w:highlight w:val="none"/>
                    </w:rPr>
                    <w:t>79</w:t>
                  </w:r>
                </w:p>
              </w:tc>
              <w:tc>
                <w:tcPr>
                  <w:tcW w:w="436" w:type="pct"/>
                  <w:tcBorders>
                    <w:tl2br w:val="nil"/>
                    <w:tr2bl w:val="nil"/>
                  </w:tcBorders>
                  <w:noWrap w:val="0"/>
                  <w:vAlign w:val="center"/>
                </w:tcPr>
                <w:p w14:paraId="38DF2F67">
                  <w:pPr>
                    <w:jc w:val="center"/>
                    <w:rPr>
                      <w:sz w:val="21"/>
                      <w:szCs w:val="21"/>
                      <w:highlight w:val="none"/>
                    </w:rPr>
                  </w:pPr>
                  <w:r>
                    <w:rPr>
                      <w:sz w:val="21"/>
                      <w:szCs w:val="21"/>
                      <w:highlight w:val="none"/>
                    </w:rPr>
                    <w:t>75.5</w:t>
                  </w:r>
                </w:p>
              </w:tc>
              <w:tc>
                <w:tcPr>
                  <w:tcW w:w="436" w:type="pct"/>
                  <w:tcBorders>
                    <w:tl2br w:val="nil"/>
                    <w:tr2bl w:val="nil"/>
                  </w:tcBorders>
                  <w:noWrap w:val="0"/>
                  <w:vAlign w:val="center"/>
                </w:tcPr>
                <w:p w14:paraId="7357342D">
                  <w:pPr>
                    <w:jc w:val="center"/>
                    <w:rPr>
                      <w:sz w:val="21"/>
                      <w:szCs w:val="21"/>
                      <w:highlight w:val="none"/>
                    </w:rPr>
                  </w:pPr>
                  <w:r>
                    <w:rPr>
                      <w:sz w:val="21"/>
                      <w:szCs w:val="21"/>
                      <w:highlight w:val="none"/>
                    </w:rPr>
                    <w:t>73</w:t>
                  </w:r>
                </w:p>
              </w:tc>
              <w:tc>
                <w:tcPr>
                  <w:tcW w:w="433" w:type="pct"/>
                  <w:tcBorders>
                    <w:tl2br w:val="nil"/>
                    <w:tr2bl w:val="nil"/>
                  </w:tcBorders>
                  <w:noWrap w:val="0"/>
                  <w:vAlign w:val="center"/>
                </w:tcPr>
                <w:p w14:paraId="3FF49CF8">
                  <w:pPr>
                    <w:jc w:val="center"/>
                    <w:rPr>
                      <w:sz w:val="21"/>
                      <w:szCs w:val="21"/>
                      <w:highlight w:val="none"/>
                    </w:rPr>
                  </w:pPr>
                  <w:r>
                    <w:rPr>
                      <w:sz w:val="21"/>
                      <w:szCs w:val="21"/>
                      <w:highlight w:val="none"/>
                    </w:rPr>
                    <w:t>69.4</w:t>
                  </w:r>
                </w:p>
              </w:tc>
            </w:tr>
            <w:tr w14:paraId="6A025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7" w:hRule="atLeast"/>
                <w:jc w:val="center"/>
              </w:trPr>
              <w:tc>
                <w:tcPr>
                  <w:tcW w:w="641" w:type="pct"/>
                  <w:tcBorders>
                    <w:tl2br w:val="nil"/>
                    <w:tr2bl w:val="nil"/>
                  </w:tcBorders>
                  <w:noWrap w:val="0"/>
                  <w:vAlign w:val="center"/>
                </w:tcPr>
                <w:p w14:paraId="5C329CEC">
                  <w:pPr>
                    <w:jc w:val="center"/>
                    <w:rPr>
                      <w:sz w:val="21"/>
                      <w:szCs w:val="21"/>
                      <w:highlight w:val="none"/>
                    </w:rPr>
                  </w:pPr>
                  <w:r>
                    <w:rPr>
                      <w:sz w:val="21"/>
                      <w:szCs w:val="21"/>
                      <w:highlight w:val="none"/>
                    </w:rPr>
                    <w:t>推土机</w:t>
                  </w:r>
                </w:p>
              </w:tc>
              <w:tc>
                <w:tcPr>
                  <w:tcW w:w="436" w:type="pct"/>
                  <w:tcBorders>
                    <w:tl2br w:val="nil"/>
                    <w:tr2bl w:val="nil"/>
                  </w:tcBorders>
                  <w:noWrap w:val="0"/>
                  <w:vAlign w:val="center"/>
                </w:tcPr>
                <w:p w14:paraId="1C4487EF">
                  <w:pPr>
                    <w:jc w:val="center"/>
                    <w:rPr>
                      <w:sz w:val="21"/>
                      <w:szCs w:val="21"/>
                      <w:highlight w:val="none"/>
                    </w:rPr>
                  </w:pPr>
                  <w:r>
                    <w:rPr>
                      <w:sz w:val="21"/>
                      <w:szCs w:val="21"/>
                      <w:highlight w:val="none"/>
                    </w:rPr>
                    <w:t>86</w:t>
                  </w:r>
                </w:p>
              </w:tc>
              <w:tc>
                <w:tcPr>
                  <w:tcW w:w="435" w:type="pct"/>
                  <w:tcBorders>
                    <w:tl2br w:val="nil"/>
                    <w:tr2bl w:val="nil"/>
                  </w:tcBorders>
                  <w:noWrap w:val="0"/>
                  <w:vAlign w:val="center"/>
                </w:tcPr>
                <w:p w14:paraId="0D752B43">
                  <w:pPr>
                    <w:jc w:val="center"/>
                    <w:rPr>
                      <w:sz w:val="21"/>
                      <w:szCs w:val="21"/>
                      <w:highlight w:val="none"/>
                    </w:rPr>
                  </w:pPr>
                  <w:r>
                    <w:rPr>
                      <w:sz w:val="21"/>
                      <w:szCs w:val="21"/>
                      <w:highlight w:val="none"/>
                    </w:rPr>
                    <w:t>80</w:t>
                  </w:r>
                </w:p>
              </w:tc>
              <w:tc>
                <w:tcPr>
                  <w:tcW w:w="436" w:type="pct"/>
                  <w:tcBorders>
                    <w:tl2br w:val="nil"/>
                    <w:tr2bl w:val="nil"/>
                  </w:tcBorders>
                  <w:noWrap w:val="0"/>
                  <w:vAlign w:val="center"/>
                </w:tcPr>
                <w:p w14:paraId="36C2D1A4">
                  <w:pPr>
                    <w:jc w:val="center"/>
                    <w:rPr>
                      <w:sz w:val="21"/>
                      <w:szCs w:val="21"/>
                      <w:highlight w:val="none"/>
                    </w:rPr>
                  </w:pPr>
                  <w:r>
                    <w:rPr>
                      <w:sz w:val="21"/>
                      <w:szCs w:val="21"/>
                      <w:highlight w:val="none"/>
                    </w:rPr>
                    <w:t>74</w:t>
                  </w:r>
                </w:p>
              </w:tc>
              <w:tc>
                <w:tcPr>
                  <w:tcW w:w="436" w:type="pct"/>
                  <w:tcBorders>
                    <w:tl2br w:val="nil"/>
                    <w:tr2bl w:val="nil"/>
                  </w:tcBorders>
                  <w:noWrap w:val="0"/>
                  <w:vAlign w:val="center"/>
                </w:tcPr>
                <w:p w14:paraId="7CBA0AE6">
                  <w:pPr>
                    <w:jc w:val="center"/>
                    <w:rPr>
                      <w:sz w:val="21"/>
                      <w:szCs w:val="21"/>
                      <w:highlight w:val="none"/>
                    </w:rPr>
                  </w:pPr>
                  <w:r>
                    <w:rPr>
                      <w:sz w:val="21"/>
                      <w:szCs w:val="21"/>
                      <w:highlight w:val="none"/>
                    </w:rPr>
                    <w:t>67.9</w:t>
                  </w:r>
                </w:p>
              </w:tc>
              <w:tc>
                <w:tcPr>
                  <w:tcW w:w="436" w:type="pct"/>
                  <w:tcBorders>
                    <w:tl2br w:val="nil"/>
                    <w:tr2bl w:val="nil"/>
                  </w:tcBorders>
                  <w:noWrap w:val="0"/>
                  <w:vAlign w:val="center"/>
                </w:tcPr>
                <w:p w14:paraId="30F5D051">
                  <w:pPr>
                    <w:jc w:val="center"/>
                    <w:rPr>
                      <w:sz w:val="21"/>
                      <w:szCs w:val="21"/>
                      <w:highlight w:val="none"/>
                    </w:rPr>
                  </w:pPr>
                  <w:r>
                    <w:rPr>
                      <w:sz w:val="21"/>
                      <w:szCs w:val="21"/>
                      <w:highlight w:val="none"/>
                    </w:rPr>
                    <w:t>64.4</w:t>
                  </w:r>
                </w:p>
              </w:tc>
              <w:tc>
                <w:tcPr>
                  <w:tcW w:w="435" w:type="pct"/>
                  <w:tcBorders>
                    <w:tl2br w:val="nil"/>
                    <w:tr2bl w:val="nil"/>
                  </w:tcBorders>
                  <w:noWrap w:val="0"/>
                  <w:vAlign w:val="center"/>
                </w:tcPr>
                <w:p w14:paraId="40C56478">
                  <w:pPr>
                    <w:jc w:val="center"/>
                    <w:rPr>
                      <w:sz w:val="21"/>
                      <w:szCs w:val="21"/>
                      <w:highlight w:val="none"/>
                    </w:rPr>
                  </w:pPr>
                  <w:r>
                    <w:rPr>
                      <w:sz w:val="21"/>
                      <w:szCs w:val="21"/>
                      <w:highlight w:val="none"/>
                    </w:rPr>
                    <w:t>61.9</w:t>
                  </w:r>
                </w:p>
              </w:tc>
              <w:tc>
                <w:tcPr>
                  <w:tcW w:w="436" w:type="pct"/>
                  <w:tcBorders>
                    <w:tl2br w:val="nil"/>
                    <w:tr2bl w:val="nil"/>
                  </w:tcBorders>
                  <w:noWrap w:val="0"/>
                  <w:vAlign w:val="center"/>
                </w:tcPr>
                <w:p w14:paraId="65250DB7">
                  <w:pPr>
                    <w:jc w:val="center"/>
                    <w:rPr>
                      <w:sz w:val="21"/>
                      <w:szCs w:val="21"/>
                      <w:highlight w:val="none"/>
                    </w:rPr>
                  </w:pPr>
                  <w:r>
                    <w:rPr>
                      <w:sz w:val="21"/>
                      <w:szCs w:val="21"/>
                      <w:highlight w:val="none"/>
                    </w:rPr>
                    <w:t>60</w:t>
                  </w:r>
                </w:p>
              </w:tc>
              <w:tc>
                <w:tcPr>
                  <w:tcW w:w="436" w:type="pct"/>
                  <w:tcBorders>
                    <w:tl2br w:val="nil"/>
                    <w:tr2bl w:val="nil"/>
                  </w:tcBorders>
                  <w:noWrap w:val="0"/>
                  <w:vAlign w:val="center"/>
                </w:tcPr>
                <w:p w14:paraId="00349C31">
                  <w:pPr>
                    <w:jc w:val="center"/>
                    <w:rPr>
                      <w:sz w:val="21"/>
                      <w:szCs w:val="21"/>
                      <w:highlight w:val="none"/>
                    </w:rPr>
                  </w:pPr>
                  <w:r>
                    <w:rPr>
                      <w:sz w:val="21"/>
                      <w:szCs w:val="21"/>
                      <w:highlight w:val="none"/>
                    </w:rPr>
                    <w:t>56.5</w:t>
                  </w:r>
                </w:p>
              </w:tc>
              <w:tc>
                <w:tcPr>
                  <w:tcW w:w="436" w:type="pct"/>
                  <w:tcBorders>
                    <w:tl2br w:val="nil"/>
                    <w:tr2bl w:val="nil"/>
                  </w:tcBorders>
                  <w:noWrap w:val="0"/>
                  <w:vAlign w:val="center"/>
                </w:tcPr>
                <w:p w14:paraId="40EE2D7E">
                  <w:pPr>
                    <w:jc w:val="center"/>
                    <w:rPr>
                      <w:sz w:val="21"/>
                      <w:szCs w:val="21"/>
                      <w:highlight w:val="none"/>
                    </w:rPr>
                  </w:pPr>
                  <w:r>
                    <w:rPr>
                      <w:sz w:val="21"/>
                      <w:szCs w:val="21"/>
                      <w:highlight w:val="none"/>
                    </w:rPr>
                    <w:t>54</w:t>
                  </w:r>
                </w:p>
              </w:tc>
              <w:tc>
                <w:tcPr>
                  <w:tcW w:w="433" w:type="pct"/>
                  <w:tcBorders>
                    <w:tl2br w:val="nil"/>
                    <w:tr2bl w:val="nil"/>
                  </w:tcBorders>
                  <w:noWrap w:val="0"/>
                  <w:vAlign w:val="center"/>
                </w:tcPr>
                <w:p w14:paraId="6AF28C86">
                  <w:pPr>
                    <w:jc w:val="center"/>
                    <w:rPr>
                      <w:sz w:val="21"/>
                      <w:szCs w:val="21"/>
                      <w:highlight w:val="none"/>
                    </w:rPr>
                  </w:pPr>
                  <w:r>
                    <w:rPr>
                      <w:sz w:val="21"/>
                      <w:szCs w:val="21"/>
                      <w:highlight w:val="none"/>
                    </w:rPr>
                    <w:t>50.4</w:t>
                  </w:r>
                </w:p>
              </w:tc>
            </w:tr>
            <w:tr w14:paraId="51268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7" w:hRule="atLeast"/>
                <w:jc w:val="center"/>
              </w:trPr>
              <w:tc>
                <w:tcPr>
                  <w:tcW w:w="641" w:type="pct"/>
                  <w:tcBorders>
                    <w:tl2br w:val="nil"/>
                    <w:tr2bl w:val="nil"/>
                  </w:tcBorders>
                  <w:noWrap w:val="0"/>
                  <w:vAlign w:val="center"/>
                </w:tcPr>
                <w:p w14:paraId="7113F0B1">
                  <w:pPr>
                    <w:jc w:val="center"/>
                    <w:rPr>
                      <w:sz w:val="21"/>
                      <w:szCs w:val="21"/>
                      <w:highlight w:val="none"/>
                    </w:rPr>
                  </w:pPr>
                  <w:r>
                    <w:rPr>
                      <w:sz w:val="21"/>
                      <w:szCs w:val="21"/>
                      <w:highlight w:val="none"/>
                    </w:rPr>
                    <w:t>搅拌机</w:t>
                  </w:r>
                </w:p>
              </w:tc>
              <w:tc>
                <w:tcPr>
                  <w:tcW w:w="436" w:type="pct"/>
                  <w:tcBorders>
                    <w:tl2br w:val="nil"/>
                    <w:tr2bl w:val="nil"/>
                  </w:tcBorders>
                  <w:noWrap w:val="0"/>
                  <w:vAlign w:val="center"/>
                </w:tcPr>
                <w:p w14:paraId="0DC7650C">
                  <w:pPr>
                    <w:jc w:val="center"/>
                    <w:rPr>
                      <w:sz w:val="21"/>
                      <w:szCs w:val="21"/>
                      <w:highlight w:val="none"/>
                    </w:rPr>
                  </w:pPr>
                  <w:r>
                    <w:rPr>
                      <w:sz w:val="21"/>
                      <w:szCs w:val="21"/>
                      <w:highlight w:val="none"/>
                    </w:rPr>
                    <w:t>87</w:t>
                  </w:r>
                </w:p>
              </w:tc>
              <w:tc>
                <w:tcPr>
                  <w:tcW w:w="435" w:type="pct"/>
                  <w:tcBorders>
                    <w:tl2br w:val="nil"/>
                    <w:tr2bl w:val="nil"/>
                  </w:tcBorders>
                  <w:noWrap w:val="0"/>
                  <w:vAlign w:val="center"/>
                </w:tcPr>
                <w:p w14:paraId="26354F14">
                  <w:pPr>
                    <w:jc w:val="center"/>
                    <w:rPr>
                      <w:sz w:val="21"/>
                      <w:szCs w:val="21"/>
                      <w:highlight w:val="none"/>
                    </w:rPr>
                  </w:pPr>
                  <w:r>
                    <w:rPr>
                      <w:sz w:val="21"/>
                      <w:szCs w:val="21"/>
                      <w:highlight w:val="none"/>
                    </w:rPr>
                    <w:t>81</w:t>
                  </w:r>
                </w:p>
              </w:tc>
              <w:tc>
                <w:tcPr>
                  <w:tcW w:w="436" w:type="pct"/>
                  <w:tcBorders>
                    <w:tl2br w:val="nil"/>
                    <w:tr2bl w:val="nil"/>
                  </w:tcBorders>
                  <w:noWrap w:val="0"/>
                  <w:vAlign w:val="center"/>
                </w:tcPr>
                <w:p w14:paraId="676B8CA5">
                  <w:pPr>
                    <w:jc w:val="center"/>
                    <w:rPr>
                      <w:sz w:val="21"/>
                      <w:szCs w:val="21"/>
                      <w:highlight w:val="none"/>
                    </w:rPr>
                  </w:pPr>
                  <w:r>
                    <w:rPr>
                      <w:sz w:val="21"/>
                      <w:szCs w:val="21"/>
                      <w:highlight w:val="none"/>
                    </w:rPr>
                    <w:t>75</w:t>
                  </w:r>
                </w:p>
              </w:tc>
              <w:tc>
                <w:tcPr>
                  <w:tcW w:w="436" w:type="pct"/>
                  <w:tcBorders>
                    <w:tl2br w:val="nil"/>
                    <w:tr2bl w:val="nil"/>
                  </w:tcBorders>
                  <w:noWrap w:val="0"/>
                  <w:vAlign w:val="center"/>
                </w:tcPr>
                <w:p w14:paraId="655649A0">
                  <w:pPr>
                    <w:jc w:val="center"/>
                    <w:rPr>
                      <w:sz w:val="21"/>
                      <w:szCs w:val="21"/>
                      <w:highlight w:val="none"/>
                    </w:rPr>
                  </w:pPr>
                  <w:r>
                    <w:rPr>
                      <w:sz w:val="21"/>
                      <w:szCs w:val="21"/>
                      <w:highlight w:val="none"/>
                    </w:rPr>
                    <w:t>68.9</w:t>
                  </w:r>
                </w:p>
              </w:tc>
              <w:tc>
                <w:tcPr>
                  <w:tcW w:w="436" w:type="pct"/>
                  <w:tcBorders>
                    <w:tl2br w:val="nil"/>
                    <w:tr2bl w:val="nil"/>
                  </w:tcBorders>
                  <w:noWrap w:val="0"/>
                  <w:vAlign w:val="center"/>
                </w:tcPr>
                <w:p w14:paraId="2B97888D">
                  <w:pPr>
                    <w:jc w:val="center"/>
                    <w:rPr>
                      <w:sz w:val="21"/>
                      <w:szCs w:val="21"/>
                      <w:highlight w:val="none"/>
                    </w:rPr>
                  </w:pPr>
                  <w:r>
                    <w:rPr>
                      <w:sz w:val="21"/>
                      <w:szCs w:val="21"/>
                      <w:highlight w:val="none"/>
                    </w:rPr>
                    <w:t>65.4</w:t>
                  </w:r>
                </w:p>
              </w:tc>
              <w:tc>
                <w:tcPr>
                  <w:tcW w:w="435" w:type="pct"/>
                  <w:tcBorders>
                    <w:tl2br w:val="nil"/>
                    <w:tr2bl w:val="nil"/>
                  </w:tcBorders>
                  <w:noWrap w:val="0"/>
                  <w:vAlign w:val="center"/>
                </w:tcPr>
                <w:p w14:paraId="3AC21092">
                  <w:pPr>
                    <w:jc w:val="center"/>
                    <w:rPr>
                      <w:sz w:val="21"/>
                      <w:szCs w:val="21"/>
                      <w:highlight w:val="none"/>
                    </w:rPr>
                  </w:pPr>
                  <w:r>
                    <w:rPr>
                      <w:sz w:val="21"/>
                      <w:szCs w:val="21"/>
                      <w:highlight w:val="none"/>
                    </w:rPr>
                    <w:t>62.9</w:t>
                  </w:r>
                </w:p>
              </w:tc>
              <w:tc>
                <w:tcPr>
                  <w:tcW w:w="436" w:type="pct"/>
                  <w:tcBorders>
                    <w:tl2br w:val="nil"/>
                    <w:tr2bl w:val="nil"/>
                  </w:tcBorders>
                  <w:noWrap w:val="0"/>
                  <w:vAlign w:val="center"/>
                </w:tcPr>
                <w:p w14:paraId="2AA9A960">
                  <w:pPr>
                    <w:jc w:val="center"/>
                    <w:rPr>
                      <w:sz w:val="21"/>
                      <w:szCs w:val="21"/>
                      <w:highlight w:val="none"/>
                    </w:rPr>
                  </w:pPr>
                  <w:r>
                    <w:rPr>
                      <w:sz w:val="21"/>
                      <w:szCs w:val="21"/>
                      <w:highlight w:val="none"/>
                    </w:rPr>
                    <w:t>61</w:t>
                  </w:r>
                </w:p>
              </w:tc>
              <w:tc>
                <w:tcPr>
                  <w:tcW w:w="436" w:type="pct"/>
                  <w:tcBorders>
                    <w:tl2br w:val="nil"/>
                    <w:tr2bl w:val="nil"/>
                  </w:tcBorders>
                  <w:noWrap w:val="0"/>
                  <w:vAlign w:val="center"/>
                </w:tcPr>
                <w:p w14:paraId="7DF9C053">
                  <w:pPr>
                    <w:jc w:val="center"/>
                    <w:rPr>
                      <w:sz w:val="21"/>
                      <w:szCs w:val="21"/>
                      <w:highlight w:val="none"/>
                    </w:rPr>
                  </w:pPr>
                  <w:r>
                    <w:rPr>
                      <w:sz w:val="21"/>
                      <w:szCs w:val="21"/>
                      <w:highlight w:val="none"/>
                    </w:rPr>
                    <w:t>57.5</w:t>
                  </w:r>
                </w:p>
              </w:tc>
              <w:tc>
                <w:tcPr>
                  <w:tcW w:w="436" w:type="pct"/>
                  <w:tcBorders>
                    <w:tl2br w:val="nil"/>
                    <w:tr2bl w:val="nil"/>
                  </w:tcBorders>
                  <w:noWrap w:val="0"/>
                  <w:vAlign w:val="center"/>
                </w:tcPr>
                <w:p w14:paraId="406F40B7">
                  <w:pPr>
                    <w:jc w:val="center"/>
                    <w:rPr>
                      <w:sz w:val="21"/>
                      <w:szCs w:val="21"/>
                      <w:highlight w:val="none"/>
                    </w:rPr>
                  </w:pPr>
                  <w:r>
                    <w:rPr>
                      <w:sz w:val="21"/>
                      <w:szCs w:val="21"/>
                      <w:highlight w:val="none"/>
                    </w:rPr>
                    <w:t>55</w:t>
                  </w:r>
                </w:p>
              </w:tc>
              <w:tc>
                <w:tcPr>
                  <w:tcW w:w="433" w:type="pct"/>
                  <w:tcBorders>
                    <w:tl2br w:val="nil"/>
                    <w:tr2bl w:val="nil"/>
                  </w:tcBorders>
                  <w:noWrap w:val="0"/>
                  <w:vAlign w:val="center"/>
                </w:tcPr>
                <w:p w14:paraId="13847A64">
                  <w:pPr>
                    <w:jc w:val="center"/>
                    <w:rPr>
                      <w:sz w:val="21"/>
                      <w:szCs w:val="21"/>
                      <w:highlight w:val="none"/>
                    </w:rPr>
                  </w:pPr>
                  <w:r>
                    <w:rPr>
                      <w:sz w:val="21"/>
                      <w:szCs w:val="21"/>
                      <w:highlight w:val="none"/>
                    </w:rPr>
                    <w:t>51.4</w:t>
                  </w:r>
                </w:p>
              </w:tc>
            </w:tr>
            <w:tr w14:paraId="118E4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7" w:hRule="atLeast"/>
                <w:jc w:val="center"/>
              </w:trPr>
              <w:tc>
                <w:tcPr>
                  <w:tcW w:w="641" w:type="pct"/>
                  <w:tcBorders>
                    <w:tl2br w:val="nil"/>
                    <w:tr2bl w:val="nil"/>
                  </w:tcBorders>
                  <w:noWrap w:val="0"/>
                  <w:vAlign w:val="center"/>
                </w:tcPr>
                <w:p w14:paraId="19D987B8">
                  <w:pPr>
                    <w:jc w:val="center"/>
                    <w:rPr>
                      <w:sz w:val="21"/>
                      <w:szCs w:val="21"/>
                      <w:highlight w:val="none"/>
                    </w:rPr>
                  </w:pPr>
                  <w:r>
                    <w:rPr>
                      <w:sz w:val="21"/>
                      <w:szCs w:val="21"/>
                      <w:highlight w:val="none"/>
                    </w:rPr>
                    <w:t>砼振捣器</w:t>
                  </w:r>
                </w:p>
              </w:tc>
              <w:tc>
                <w:tcPr>
                  <w:tcW w:w="436" w:type="pct"/>
                  <w:tcBorders>
                    <w:tl2br w:val="nil"/>
                    <w:tr2bl w:val="nil"/>
                  </w:tcBorders>
                  <w:noWrap w:val="0"/>
                  <w:vAlign w:val="center"/>
                </w:tcPr>
                <w:p w14:paraId="6A5E8418">
                  <w:pPr>
                    <w:jc w:val="center"/>
                    <w:rPr>
                      <w:sz w:val="21"/>
                      <w:szCs w:val="21"/>
                      <w:highlight w:val="none"/>
                    </w:rPr>
                  </w:pPr>
                  <w:r>
                    <w:rPr>
                      <w:sz w:val="21"/>
                      <w:szCs w:val="21"/>
                      <w:highlight w:val="none"/>
                    </w:rPr>
                    <w:t>87</w:t>
                  </w:r>
                </w:p>
              </w:tc>
              <w:tc>
                <w:tcPr>
                  <w:tcW w:w="435" w:type="pct"/>
                  <w:tcBorders>
                    <w:tl2br w:val="nil"/>
                    <w:tr2bl w:val="nil"/>
                  </w:tcBorders>
                  <w:noWrap w:val="0"/>
                  <w:vAlign w:val="center"/>
                </w:tcPr>
                <w:p w14:paraId="7F357D1C">
                  <w:pPr>
                    <w:jc w:val="center"/>
                    <w:rPr>
                      <w:sz w:val="21"/>
                      <w:szCs w:val="21"/>
                      <w:highlight w:val="none"/>
                    </w:rPr>
                  </w:pPr>
                  <w:r>
                    <w:rPr>
                      <w:sz w:val="21"/>
                      <w:szCs w:val="21"/>
                      <w:highlight w:val="none"/>
                    </w:rPr>
                    <w:t>81</w:t>
                  </w:r>
                </w:p>
              </w:tc>
              <w:tc>
                <w:tcPr>
                  <w:tcW w:w="436" w:type="pct"/>
                  <w:tcBorders>
                    <w:tl2br w:val="nil"/>
                    <w:tr2bl w:val="nil"/>
                  </w:tcBorders>
                  <w:noWrap w:val="0"/>
                  <w:vAlign w:val="center"/>
                </w:tcPr>
                <w:p w14:paraId="7E1BEC32">
                  <w:pPr>
                    <w:jc w:val="center"/>
                    <w:rPr>
                      <w:sz w:val="21"/>
                      <w:szCs w:val="21"/>
                      <w:highlight w:val="none"/>
                    </w:rPr>
                  </w:pPr>
                  <w:r>
                    <w:rPr>
                      <w:sz w:val="21"/>
                      <w:szCs w:val="21"/>
                      <w:highlight w:val="none"/>
                    </w:rPr>
                    <w:t>75</w:t>
                  </w:r>
                </w:p>
              </w:tc>
              <w:tc>
                <w:tcPr>
                  <w:tcW w:w="436" w:type="pct"/>
                  <w:tcBorders>
                    <w:tl2br w:val="nil"/>
                    <w:tr2bl w:val="nil"/>
                  </w:tcBorders>
                  <w:noWrap w:val="0"/>
                  <w:vAlign w:val="center"/>
                </w:tcPr>
                <w:p w14:paraId="70414931">
                  <w:pPr>
                    <w:jc w:val="center"/>
                    <w:rPr>
                      <w:sz w:val="21"/>
                      <w:szCs w:val="21"/>
                      <w:highlight w:val="none"/>
                    </w:rPr>
                  </w:pPr>
                  <w:r>
                    <w:rPr>
                      <w:sz w:val="21"/>
                      <w:szCs w:val="21"/>
                      <w:highlight w:val="none"/>
                    </w:rPr>
                    <w:t>68.9</w:t>
                  </w:r>
                </w:p>
              </w:tc>
              <w:tc>
                <w:tcPr>
                  <w:tcW w:w="436" w:type="pct"/>
                  <w:tcBorders>
                    <w:tl2br w:val="nil"/>
                    <w:tr2bl w:val="nil"/>
                  </w:tcBorders>
                  <w:noWrap w:val="0"/>
                  <w:vAlign w:val="center"/>
                </w:tcPr>
                <w:p w14:paraId="37A20136">
                  <w:pPr>
                    <w:jc w:val="center"/>
                    <w:rPr>
                      <w:sz w:val="21"/>
                      <w:szCs w:val="21"/>
                      <w:highlight w:val="none"/>
                    </w:rPr>
                  </w:pPr>
                  <w:r>
                    <w:rPr>
                      <w:sz w:val="21"/>
                      <w:szCs w:val="21"/>
                      <w:highlight w:val="none"/>
                    </w:rPr>
                    <w:t>65.4</w:t>
                  </w:r>
                </w:p>
              </w:tc>
              <w:tc>
                <w:tcPr>
                  <w:tcW w:w="435" w:type="pct"/>
                  <w:tcBorders>
                    <w:tl2br w:val="nil"/>
                    <w:tr2bl w:val="nil"/>
                  </w:tcBorders>
                  <w:noWrap w:val="0"/>
                  <w:vAlign w:val="center"/>
                </w:tcPr>
                <w:p w14:paraId="2E97706A">
                  <w:pPr>
                    <w:jc w:val="center"/>
                    <w:rPr>
                      <w:sz w:val="21"/>
                      <w:szCs w:val="21"/>
                      <w:highlight w:val="none"/>
                    </w:rPr>
                  </w:pPr>
                  <w:r>
                    <w:rPr>
                      <w:sz w:val="21"/>
                      <w:szCs w:val="21"/>
                      <w:highlight w:val="none"/>
                    </w:rPr>
                    <w:t>62.9</w:t>
                  </w:r>
                </w:p>
              </w:tc>
              <w:tc>
                <w:tcPr>
                  <w:tcW w:w="436" w:type="pct"/>
                  <w:tcBorders>
                    <w:tl2br w:val="nil"/>
                    <w:tr2bl w:val="nil"/>
                  </w:tcBorders>
                  <w:noWrap w:val="0"/>
                  <w:vAlign w:val="center"/>
                </w:tcPr>
                <w:p w14:paraId="70B0CBE0">
                  <w:pPr>
                    <w:jc w:val="center"/>
                    <w:rPr>
                      <w:sz w:val="21"/>
                      <w:szCs w:val="21"/>
                      <w:highlight w:val="none"/>
                    </w:rPr>
                  </w:pPr>
                  <w:r>
                    <w:rPr>
                      <w:sz w:val="21"/>
                      <w:szCs w:val="21"/>
                      <w:highlight w:val="none"/>
                    </w:rPr>
                    <w:t>61</w:t>
                  </w:r>
                </w:p>
              </w:tc>
              <w:tc>
                <w:tcPr>
                  <w:tcW w:w="436" w:type="pct"/>
                  <w:tcBorders>
                    <w:tl2br w:val="nil"/>
                    <w:tr2bl w:val="nil"/>
                  </w:tcBorders>
                  <w:noWrap w:val="0"/>
                  <w:vAlign w:val="center"/>
                </w:tcPr>
                <w:p w14:paraId="351B0DDA">
                  <w:pPr>
                    <w:jc w:val="center"/>
                    <w:rPr>
                      <w:sz w:val="21"/>
                      <w:szCs w:val="21"/>
                      <w:highlight w:val="none"/>
                    </w:rPr>
                  </w:pPr>
                  <w:r>
                    <w:rPr>
                      <w:sz w:val="21"/>
                      <w:szCs w:val="21"/>
                      <w:highlight w:val="none"/>
                    </w:rPr>
                    <w:t>57.5</w:t>
                  </w:r>
                </w:p>
              </w:tc>
              <w:tc>
                <w:tcPr>
                  <w:tcW w:w="436" w:type="pct"/>
                  <w:tcBorders>
                    <w:tl2br w:val="nil"/>
                    <w:tr2bl w:val="nil"/>
                  </w:tcBorders>
                  <w:noWrap w:val="0"/>
                  <w:vAlign w:val="center"/>
                </w:tcPr>
                <w:p w14:paraId="0E16D035">
                  <w:pPr>
                    <w:jc w:val="center"/>
                    <w:rPr>
                      <w:sz w:val="21"/>
                      <w:szCs w:val="21"/>
                      <w:highlight w:val="none"/>
                    </w:rPr>
                  </w:pPr>
                  <w:r>
                    <w:rPr>
                      <w:sz w:val="21"/>
                      <w:szCs w:val="21"/>
                      <w:highlight w:val="none"/>
                    </w:rPr>
                    <w:t>55</w:t>
                  </w:r>
                </w:p>
              </w:tc>
              <w:tc>
                <w:tcPr>
                  <w:tcW w:w="433" w:type="pct"/>
                  <w:tcBorders>
                    <w:tl2br w:val="nil"/>
                    <w:tr2bl w:val="nil"/>
                  </w:tcBorders>
                  <w:noWrap w:val="0"/>
                  <w:vAlign w:val="center"/>
                </w:tcPr>
                <w:p w14:paraId="25539D3D">
                  <w:pPr>
                    <w:jc w:val="center"/>
                    <w:rPr>
                      <w:sz w:val="21"/>
                      <w:szCs w:val="21"/>
                      <w:highlight w:val="none"/>
                    </w:rPr>
                  </w:pPr>
                  <w:r>
                    <w:rPr>
                      <w:sz w:val="21"/>
                      <w:szCs w:val="21"/>
                      <w:highlight w:val="none"/>
                    </w:rPr>
                    <w:t>51.4</w:t>
                  </w:r>
                </w:p>
              </w:tc>
            </w:tr>
            <w:tr w14:paraId="2C4C1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641" w:type="pct"/>
                  <w:tcBorders>
                    <w:tl2br w:val="nil"/>
                    <w:tr2bl w:val="nil"/>
                  </w:tcBorders>
                  <w:noWrap w:val="0"/>
                  <w:vAlign w:val="center"/>
                </w:tcPr>
                <w:p w14:paraId="441CB409">
                  <w:pPr>
                    <w:jc w:val="center"/>
                    <w:rPr>
                      <w:sz w:val="21"/>
                      <w:szCs w:val="21"/>
                      <w:highlight w:val="none"/>
                    </w:rPr>
                  </w:pPr>
                  <w:r>
                    <w:rPr>
                      <w:sz w:val="21"/>
                      <w:szCs w:val="21"/>
                      <w:highlight w:val="none"/>
                    </w:rPr>
                    <w:t>装载机</w:t>
                  </w:r>
                </w:p>
              </w:tc>
              <w:tc>
                <w:tcPr>
                  <w:tcW w:w="436" w:type="pct"/>
                  <w:tcBorders>
                    <w:tl2br w:val="nil"/>
                    <w:tr2bl w:val="nil"/>
                  </w:tcBorders>
                  <w:noWrap w:val="0"/>
                  <w:vAlign w:val="center"/>
                </w:tcPr>
                <w:p w14:paraId="033B9EBC">
                  <w:pPr>
                    <w:jc w:val="center"/>
                    <w:rPr>
                      <w:sz w:val="21"/>
                      <w:szCs w:val="21"/>
                      <w:highlight w:val="none"/>
                    </w:rPr>
                  </w:pPr>
                  <w:r>
                    <w:rPr>
                      <w:sz w:val="21"/>
                      <w:szCs w:val="21"/>
                      <w:highlight w:val="none"/>
                    </w:rPr>
                    <w:t>90</w:t>
                  </w:r>
                </w:p>
              </w:tc>
              <w:tc>
                <w:tcPr>
                  <w:tcW w:w="435" w:type="pct"/>
                  <w:tcBorders>
                    <w:tl2br w:val="nil"/>
                    <w:tr2bl w:val="nil"/>
                  </w:tcBorders>
                  <w:noWrap w:val="0"/>
                  <w:vAlign w:val="center"/>
                </w:tcPr>
                <w:p w14:paraId="519796A4">
                  <w:pPr>
                    <w:jc w:val="center"/>
                    <w:rPr>
                      <w:sz w:val="21"/>
                      <w:szCs w:val="21"/>
                      <w:highlight w:val="none"/>
                    </w:rPr>
                  </w:pPr>
                  <w:r>
                    <w:rPr>
                      <w:sz w:val="21"/>
                      <w:szCs w:val="21"/>
                      <w:highlight w:val="none"/>
                    </w:rPr>
                    <w:t>84</w:t>
                  </w:r>
                </w:p>
              </w:tc>
              <w:tc>
                <w:tcPr>
                  <w:tcW w:w="436" w:type="pct"/>
                  <w:tcBorders>
                    <w:tl2br w:val="nil"/>
                    <w:tr2bl w:val="nil"/>
                  </w:tcBorders>
                  <w:noWrap w:val="0"/>
                  <w:vAlign w:val="center"/>
                </w:tcPr>
                <w:p w14:paraId="5A51964E">
                  <w:pPr>
                    <w:jc w:val="center"/>
                    <w:rPr>
                      <w:sz w:val="21"/>
                      <w:szCs w:val="21"/>
                      <w:highlight w:val="none"/>
                    </w:rPr>
                  </w:pPr>
                  <w:r>
                    <w:rPr>
                      <w:sz w:val="21"/>
                      <w:szCs w:val="21"/>
                      <w:highlight w:val="none"/>
                    </w:rPr>
                    <w:t>78</w:t>
                  </w:r>
                </w:p>
              </w:tc>
              <w:tc>
                <w:tcPr>
                  <w:tcW w:w="436" w:type="pct"/>
                  <w:tcBorders>
                    <w:tl2br w:val="nil"/>
                    <w:tr2bl w:val="nil"/>
                  </w:tcBorders>
                  <w:noWrap w:val="0"/>
                  <w:vAlign w:val="center"/>
                </w:tcPr>
                <w:p w14:paraId="47DB87D6">
                  <w:pPr>
                    <w:jc w:val="center"/>
                    <w:rPr>
                      <w:sz w:val="21"/>
                      <w:szCs w:val="21"/>
                      <w:highlight w:val="none"/>
                    </w:rPr>
                  </w:pPr>
                  <w:r>
                    <w:rPr>
                      <w:sz w:val="21"/>
                      <w:szCs w:val="21"/>
                      <w:highlight w:val="none"/>
                    </w:rPr>
                    <w:t>71.9</w:t>
                  </w:r>
                </w:p>
              </w:tc>
              <w:tc>
                <w:tcPr>
                  <w:tcW w:w="436" w:type="pct"/>
                  <w:tcBorders>
                    <w:tl2br w:val="nil"/>
                    <w:tr2bl w:val="nil"/>
                  </w:tcBorders>
                  <w:noWrap w:val="0"/>
                  <w:vAlign w:val="center"/>
                </w:tcPr>
                <w:p w14:paraId="39FBB837">
                  <w:pPr>
                    <w:jc w:val="center"/>
                    <w:rPr>
                      <w:sz w:val="21"/>
                      <w:szCs w:val="21"/>
                      <w:highlight w:val="none"/>
                    </w:rPr>
                  </w:pPr>
                  <w:r>
                    <w:rPr>
                      <w:sz w:val="21"/>
                      <w:szCs w:val="21"/>
                      <w:highlight w:val="none"/>
                    </w:rPr>
                    <w:t>68.4</w:t>
                  </w:r>
                </w:p>
              </w:tc>
              <w:tc>
                <w:tcPr>
                  <w:tcW w:w="435" w:type="pct"/>
                  <w:tcBorders>
                    <w:tl2br w:val="nil"/>
                    <w:tr2bl w:val="nil"/>
                  </w:tcBorders>
                  <w:noWrap w:val="0"/>
                  <w:vAlign w:val="center"/>
                </w:tcPr>
                <w:p w14:paraId="739F6787">
                  <w:pPr>
                    <w:jc w:val="center"/>
                    <w:rPr>
                      <w:sz w:val="21"/>
                      <w:szCs w:val="21"/>
                      <w:highlight w:val="none"/>
                    </w:rPr>
                  </w:pPr>
                  <w:r>
                    <w:rPr>
                      <w:sz w:val="21"/>
                      <w:szCs w:val="21"/>
                      <w:highlight w:val="none"/>
                    </w:rPr>
                    <w:t>65.9</w:t>
                  </w:r>
                </w:p>
              </w:tc>
              <w:tc>
                <w:tcPr>
                  <w:tcW w:w="436" w:type="pct"/>
                  <w:tcBorders>
                    <w:tl2br w:val="nil"/>
                    <w:tr2bl w:val="nil"/>
                  </w:tcBorders>
                  <w:noWrap w:val="0"/>
                  <w:vAlign w:val="center"/>
                </w:tcPr>
                <w:p w14:paraId="192A7517">
                  <w:pPr>
                    <w:jc w:val="center"/>
                    <w:rPr>
                      <w:sz w:val="21"/>
                      <w:szCs w:val="21"/>
                      <w:highlight w:val="none"/>
                    </w:rPr>
                  </w:pPr>
                  <w:r>
                    <w:rPr>
                      <w:sz w:val="21"/>
                      <w:szCs w:val="21"/>
                      <w:highlight w:val="none"/>
                    </w:rPr>
                    <w:t>64</w:t>
                  </w:r>
                </w:p>
              </w:tc>
              <w:tc>
                <w:tcPr>
                  <w:tcW w:w="436" w:type="pct"/>
                  <w:tcBorders>
                    <w:tl2br w:val="nil"/>
                    <w:tr2bl w:val="nil"/>
                  </w:tcBorders>
                  <w:noWrap w:val="0"/>
                  <w:vAlign w:val="center"/>
                </w:tcPr>
                <w:p w14:paraId="40F3A97D">
                  <w:pPr>
                    <w:jc w:val="center"/>
                    <w:rPr>
                      <w:sz w:val="21"/>
                      <w:szCs w:val="21"/>
                      <w:highlight w:val="none"/>
                    </w:rPr>
                  </w:pPr>
                  <w:r>
                    <w:rPr>
                      <w:sz w:val="21"/>
                      <w:szCs w:val="21"/>
                      <w:highlight w:val="none"/>
                    </w:rPr>
                    <w:t>60.5</w:t>
                  </w:r>
                </w:p>
              </w:tc>
              <w:tc>
                <w:tcPr>
                  <w:tcW w:w="436" w:type="pct"/>
                  <w:tcBorders>
                    <w:tl2br w:val="nil"/>
                    <w:tr2bl w:val="nil"/>
                  </w:tcBorders>
                  <w:noWrap w:val="0"/>
                  <w:vAlign w:val="center"/>
                </w:tcPr>
                <w:p w14:paraId="09B726DF">
                  <w:pPr>
                    <w:jc w:val="center"/>
                    <w:rPr>
                      <w:sz w:val="21"/>
                      <w:szCs w:val="21"/>
                      <w:highlight w:val="none"/>
                    </w:rPr>
                  </w:pPr>
                  <w:r>
                    <w:rPr>
                      <w:sz w:val="21"/>
                      <w:szCs w:val="21"/>
                      <w:highlight w:val="none"/>
                    </w:rPr>
                    <w:t>58</w:t>
                  </w:r>
                </w:p>
              </w:tc>
              <w:tc>
                <w:tcPr>
                  <w:tcW w:w="433" w:type="pct"/>
                  <w:tcBorders>
                    <w:tl2br w:val="nil"/>
                    <w:tr2bl w:val="nil"/>
                  </w:tcBorders>
                  <w:noWrap w:val="0"/>
                  <w:vAlign w:val="center"/>
                </w:tcPr>
                <w:p w14:paraId="0122660E">
                  <w:pPr>
                    <w:jc w:val="center"/>
                    <w:rPr>
                      <w:sz w:val="21"/>
                      <w:szCs w:val="21"/>
                      <w:highlight w:val="none"/>
                    </w:rPr>
                  </w:pPr>
                  <w:r>
                    <w:rPr>
                      <w:sz w:val="21"/>
                      <w:szCs w:val="21"/>
                      <w:highlight w:val="none"/>
                    </w:rPr>
                    <w:t>54.4</w:t>
                  </w:r>
                </w:p>
              </w:tc>
            </w:tr>
            <w:tr w14:paraId="5E97E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7" w:hRule="atLeast"/>
                <w:jc w:val="center"/>
              </w:trPr>
              <w:tc>
                <w:tcPr>
                  <w:tcW w:w="641" w:type="pct"/>
                  <w:tcBorders>
                    <w:tl2br w:val="nil"/>
                    <w:tr2bl w:val="nil"/>
                  </w:tcBorders>
                  <w:noWrap w:val="0"/>
                  <w:vAlign w:val="center"/>
                </w:tcPr>
                <w:p w14:paraId="607EFD2B">
                  <w:pPr>
                    <w:jc w:val="center"/>
                    <w:rPr>
                      <w:sz w:val="21"/>
                      <w:szCs w:val="21"/>
                      <w:highlight w:val="none"/>
                    </w:rPr>
                  </w:pPr>
                  <w:r>
                    <w:rPr>
                      <w:sz w:val="21"/>
                      <w:szCs w:val="21"/>
                      <w:highlight w:val="none"/>
                    </w:rPr>
                    <w:t>载重车</w:t>
                  </w:r>
                </w:p>
              </w:tc>
              <w:tc>
                <w:tcPr>
                  <w:tcW w:w="436" w:type="pct"/>
                  <w:tcBorders>
                    <w:tl2br w:val="nil"/>
                    <w:tr2bl w:val="nil"/>
                  </w:tcBorders>
                  <w:noWrap w:val="0"/>
                  <w:vAlign w:val="center"/>
                </w:tcPr>
                <w:p w14:paraId="25C73126">
                  <w:pPr>
                    <w:jc w:val="center"/>
                    <w:rPr>
                      <w:sz w:val="21"/>
                      <w:szCs w:val="21"/>
                      <w:highlight w:val="none"/>
                    </w:rPr>
                  </w:pPr>
                  <w:r>
                    <w:rPr>
                      <w:sz w:val="21"/>
                      <w:szCs w:val="21"/>
                      <w:highlight w:val="none"/>
                    </w:rPr>
                    <w:t>85</w:t>
                  </w:r>
                </w:p>
              </w:tc>
              <w:tc>
                <w:tcPr>
                  <w:tcW w:w="435" w:type="pct"/>
                  <w:tcBorders>
                    <w:tl2br w:val="nil"/>
                    <w:tr2bl w:val="nil"/>
                  </w:tcBorders>
                  <w:noWrap w:val="0"/>
                  <w:vAlign w:val="center"/>
                </w:tcPr>
                <w:p w14:paraId="2022ED64">
                  <w:pPr>
                    <w:jc w:val="center"/>
                    <w:rPr>
                      <w:sz w:val="21"/>
                      <w:szCs w:val="21"/>
                      <w:highlight w:val="none"/>
                    </w:rPr>
                  </w:pPr>
                  <w:r>
                    <w:rPr>
                      <w:sz w:val="21"/>
                      <w:szCs w:val="21"/>
                      <w:highlight w:val="none"/>
                    </w:rPr>
                    <w:t>79</w:t>
                  </w:r>
                </w:p>
              </w:tc>
              <w:tc>
                <w:tcPr>
                  <w:tcW w:w="436" w:type="pct"/>
                  <w:tcBorders>
                    <w:tl2br w:val="nil"/>
                    <w:tr2bl w:val="nil"/>
                  </w:tcBorders>
                  <w:noWrap w:val="0"/>
                  <w:vAlign w:val="center"/>
                </w:tcPr>
                <w:p w14:paraId="6083AF4E">
                  <w:pPr>
                    <w:jc w:val="center"/>
                    <w:rPr>
                      <w:sz w:val="21"/>
                      <w:szCs w:val="21"/>
                      <w:highlight w:val="none"/>
                    </w:rPr>
                  </w:pPr>
                  <w:r>
                    <w:rPr>
                      <w:sz w:val="21"/>
                      <w:szCs w:val="21"/>
                      <w:highlight w:val="none"/>
                    </w:rPr>
                    <w:t>73</w:t>
                  </w:r>
                </w:p>
              </w:tc>
              <w:tc>
                <w:tcPr>
                  <w:tcW w:w="436" w:type="pct"/>
                  <w:tcBorders>
                    <w:tl2br w:val="nil"/>
                    <w:tr2bl w:val="nil"/>
                  </w:tcBorders>
                  <w:noWrap w:val="0"/>
                  <w:vAlign w:val="center"/>
                </w:tcPr>
                <w:p w14:paraId="7CA6A8C1">
                  <w:pPr>
                    <w:jc w:val="center"/>
                    <w:rPr>
                      <w:sz w:val="21"/>
                      <w:szCs w:val="21"/>
                      <w:highlight w:val="none"/>
                    </w:rPr>
                  </w:pPr>
                  <w:r>
                    <w:rPr>
                      <w:sz w:val="21"/>
                      <w:szCs w:val="21"/>
                      <w:highlight w:val="none"/>
                    </w:rPr>
                    <w:t>66.9</w:t>
                  </w:r>
                </w:p>
              </w:tc>
              <w:tc>
                <w:tcPr>
                  <w:tcW w:w="436" w:type="pct"/>
                  <w:tcBorders>
                    <w:tl2br w:val="nil"/>
                    <w:tr2bl w:val="nil"/>
                  </w:tcBorders>
                  <w:noWrap w:val="0"/>
                  <w:vAlign w:val="center"/>
                </w:tcPr>
                <w:p w14:paraId="5AB629F8">
                  <w:pPr>
                    <w:jc w:val="center"/>
                    <w:rPr>
                      <w:sz w:val="21"/>
                      <w:szCs w:val="21"/>
                      <w:highlight w:val="none"/>
                    </w:rPr>
                  </w:pPr>
                  <w:r>
                    <w:rPr>
                      <w:sz w:val="21"/>
                      <w:szCs w:val="21"/>
                      <w:highlight w:val="none"/>
                    </w:rPr>
                    <w:t>63.4</w:t>
                  </w:r>
                </w:p>
              </w:tc>
              <w:tc>
                <w:tcPr>
                  <w:tcW w:w="435" w:type="pct"/>
                  <w:tcBorders>
                    <w:tl2br w:val="nil"/>
                    <w:tr2bl w:val="nil"/>
                  </w:tcBorders>
                  <w:noWrap w:val="0"/>
                  <w:vAlign w:val="center"/>
                </w:tcPr>
                <w:p w14:paraId="4DC6BCC0">
                  <w:pPr>
                    <w:jc w:val="center"/>
                    <w:rPr>
                      <w:sz w:val="21"/>
                      <w:szCs w:val="21"/>
                      <w:highlight w:val="none"/>
                    </w:rPr>
                  </w:pPr>
                  <w:r>
                    <w:rPr>
                      <w:sz w:val="21"/>
                      <w:szCs w:val="21"/>
                      <w:highlight w:val="none"/>
                    </w:rPr>
                    <w:t>60.9</w:t>
                  </w:r>
                </w:p>
              </w:tc>
              <w:tc>
                <w:tcPr>
                  <w:tcW w:w="436" w:type="pct"/>
                  <w:tcBorders>
                    <w:tl2br w:val="nil"/>
                    <w:tr2bl w:val="nil"/>
                  </w:tcBorders>
                  <w:noWrap w:val="0"/>
                  <w:vAlign w:val="center"/>
                </w:tcPr>
                <w:p w14:paraId="4F9D67F8">
                  <w:pPr>
                    <w:jc w:val="center"/>
                    <w:rPr>
                      <w:sz w:val="21"/>
                      <w:szCs w:val="21"/>
                      <w:highlight w:val="none"/>
                    </w:rPr>
                  </w:pPr>
                  <w:r>
                    <w:rPr>
                      <w:sz w:val="21"/>
                      <w:szCs w:val="21"/>
                      <w:highlight w:val="none"/>
                    </w:rPr>
                    <w:t>59</w:t>
                  </w:r>
                </w:p>
              </w:tc>
              <w:tc>
                <w:tcPr>
                  <w:tcW w:w="436" w:type="pct"/>
                  <w:tcBorders>
                    <w:tl2br w:val="nil"/>
                    <w:tr2bl w:val="nil"/>
                  </w:tcBorders>
                  <w:noWrap w:val="0"/>
                  <w:vAlign w:val="center"/>
                </w:tcPr>
                <w:p w14:paraId="6800A040">
                  <w:pPr>
                    <w:jc w:val="center"/>
                    <w:rPr>
                      <w:sz w:val="21"/>
                      <w:szCs w:val="21"/>
                      <w:highlight w:val="none"/>
                    </w:rPr>
                  </w:pPr>
                  <w:r>
                    <w:rPr>
                      <w:sz w:val="21"/>
                      <w:szCs w:val="21"/>
                      <w:highlight w:val="none"/>
                    </w:rPr>
                    <w:t>55.5</w:t>
                  </w:r>
                </w:p>
              </w:tc>
              <w:tc>
                <w:tcPr>
                  <w:tcW w:w="436" w:type="pct"/>
                  <w:tcBorders>
                    <w:tl2br w:val="nil"/>
                    <w:tr2bl w:val="nil"/>
                  </w:tcBorders>
                  <w:noWrap w:val="0"/>
                  <w:vAlign w:val="center"/>
                </w:tcPr>
                <w:p w14:paraId="77ADA0CA">
                  <w:pPr>
                    <w:jc w:val="center"/>
                    <w:rPr>
                      <w:sz w:val="21"/>
                      <w:szCs w:val="21"/>
                      <w:highlight w:val="none"/>
                    </w:rPr>
                  </w:pPr>
                  <w:r>
                    <w:rPr>
                      <w:sz w:val="21"/>
                      <w:szCs w:val="21"/>
                      <w:highlight w:val="none"/>
                    </w:rPr>
                    <w:t>53</w:t>
                  </w:r>
                </w:p>
              </w:tc>
              <w:tc>
                <w:tcPr>
                  <w:tcW w:w="433" w:type="pct"/>
                  <w:tcBorders>
                    <w:tl2br w:val="nil"/>
                    <w:tr2bl w:val="nil"/>
                  </w:tcBorders>
                  <w:noWrap w:val="0"/>
                  <w:vAlign w:val="center"/>
                </w:tcPr>
                <w:p w14:paraId="36CEEF97">
                  <w:pPr>
                    <w:jc w:val="center"/>
                    <w:rPr>
                      <w:sz w:val="21"/>
                      <w:szCs w:val="21"/>
                      <w:highlight w:val="none"/>
                    </w:rPr>
                  </w:pPr>
                  <w:r>
                    <w:rPr>
                      <w:sz w:val="21"/>
                      <w:szCs w:val="21"/>
                      <w:highlight w:val="none"/>
                    </w:rPr>
                    <w:t>49.4</w:t>
                  </w:r>
                </w:p>
              </w:tc>
            </w:tr>
            <w:tr w14:paraId="7E2DB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7" w:hRule="atLeast"/>
                <w:jc w:val="center"/>
              </w:trPr>
              <w:tc>
                <w:tcPr>
                  <w:tcW w:w="641" w:type="pct"/>
                  <w:tcBorders>
                    <w:tl2br w:val="nil"/>
                    <w:tr2bl w:val="nil"/>
                  </w:tcBorders>
                  <w:noWrap w:val="0"/>
                  <w:vAlign w:val="center"/>
                </w:tcPr>
                <w:p w14:paraId="2F8649A0">
                  <w:pPr>
                    <w:jc w:val="center"/>
                    <w:rPr>
                      <w:sz w:val="21"/>
                      <w:szCs w:val="21"/>
                      <w:highlight w:val="none"/>
                    </w:rPr>
                  </w:pPr>
                  <w:r>
                    <w:rPr>
                      <w:sz w:val="21"/>
                      <w:szCs w:val="21"/>
                      <w:highlight w:val="none"/>
                    </w:rPr>
                    <w:t>挖掘机</w:t>
                  </w:r>
                </w:p>
              </w:tc>
              <w:tc>
                <w:tcPr>
                  <w:tcW w:w="436" w:type="pct"/>
                  <w:tcBorders>
                    <w:tl2br w:val="nil"/>
                    <w:tr2bl w:val="nil"/>
                  </w:tcBorders>
                  <w:noWrap w:val="0"/>
                  <w:vAlign w:val="center"/>
                </w:tcPr>
                <w:p w14:paraId="2E9AC3AB">
                  <w:pPr>
                    <w:jc w:val="center"/>
                    <w:rPr>
                      <w:sz w:val="21"/>
                      <w:szCs w:val="21"/>
                      <w:highlight w:val="none"/>
                    </w:rPr>
                  </w:pPr>
                  <w:r>
                    <w:rPr>
                      <w:sz w:val="21"/>
                      <w:szCs w:val="21"/>
                      <w:highlight w:val="none"/>
                    </w:rPr>
                    <w:t>89</w:t>
                  </w:r>
                </w:p>
              </w:tc>
              <w:tc>
                <w:tcPr>
                  <w:tcW w:w="435" w:type="pct"/>
                  <w:tcBorders>
                    <w:tl2br w:val="nil"/>
                    <w:tr2bl w:val="nil"/>
                  </w:tcBorders>
                  <w:noWrap w:val="0"/>
                  <w:vAlign w:val="center"/>
                </w:tcPr>
                <w:p w14:paraId="2B534F88">
                  <w:pPr>
                    <w:jc w:val="center"/>
                    <w:rPr>
                      <w:sz w:val="21"/>
                      <w:szCs w:val="21"/>
                      <w:highlight w:val="none"/>
                    </w:rPr>
                  </w:pPr>
                  <w:r>
                    <w:rPr>
                      <w:sz w:val="21"/>
                      <w:szCs w:val="21"/>
                      <w:highlight w:val="none"/>
                    </w:rPr>
                    <w:t>83</w:t>
                  </w:r>
                </w:p>
              </w:tc>
              <w:tc>
                <w:tcPr>
                  <w:tcW w:w="436" w:type="pct"/>
                  <w:tcBorders>
                    <w:tl2br w:val="nil"/>
                    <w:tr2bl w:val="nil"/>
                  </w:tcBorders>
                  <w:noWrap w:val="0"/>
                  <w:vAlign w:val="center"/>
                </w:tcPr>
                <w:p w14:paraId="4475E52A">
                  <w:pPr>
                    <w:jc w:val="center"/>
                    <w:rPr>
                      <w:sz w:val="21"/>
                      <w:szCs w:val="21"/>
                      <w:highlight w:val="none"/>
                    </w:rPr>
                  </w:pPr>
                  <w:r>
                    <w:rPr>
                      <w:sz w:val="21"/>
                      <w:szCs w:val="21"/>
                      <w:highlight w:val="none"/>
                    </w:rPr>
                    <w:t>77</w:t>
                  </w:r>
                </w:p>
              </w:tc>
              <w:tc>
                <w:tcPr>
                  <w:tcW w:w="436" w:type="pct"/>
                  <w:tcBorders>
                    <w:tl2br w:val="nil"/>
                    <w:tr2bl w:val="nil"/>
                  </w:tcBorders>
                  <w:noWrap w:val="0"/>
                  <w:vAlign w:val="center"/>
                </w:tcPr>
                <w:p w14:paraId="46248778">
                  <w:pPr>
                    <w:jc w:val="center"/>
                    <w:rPr>
                      <w:sz w:val="21"/>
                      <w:szCs w:val="21"/>
                      <w:highlight w:val="none"/>
                    </w:rPr>
                  </w:pPr>
                  <w:r>
                    <w:rPr>
                      <w:sz w:val="21"/>
                      <w:szCs w:val="21"/>
                      <w:highlight w:val="none"/>
                    </w:rPr>
                    <w:t>70.9</w:t>
                  </w:r>
                </w:p>
              </w:tc>
              <w:tc>
                <w:tcPr>
                  <w:tcW w:w="436" w:type="pct"/>
                  <w:tcBorders>
                    <w:tl2br w:val="nil"/>
                    <w:tr2bl w:val="nil"/>
                  </w:tcBorders>
                  <w:noWrap w:val="0"/>
                  <w:vAlign w:val="center"/>
                </w:tcPr>
                <w:p w14:paraId="74924856">
                  <w:pPr>
                    <w:jc w:val="center"/>
                    <w:rPr>
                      <w:sz w:val="21"/>
                      <w:szCs w:val="21"/>
                      <w:highlight w:val="none"/>
                    </w:rPr>
                  </w:pPr>
                  <w:r>
                    <w:rPr>
                      <w:sz w:val="21"/>
                      <w:szCs w:val="21"/>
                      <w:highlight w:val="none"/>
                    </w:rPr>
                    <w:t>67.4</w:t>
                  </w:r>
                </w:p>
              </w:tc>
              <w:tc>
                <w:tcPr>
                  <w:tcW w:w="435" w:type="pct"/>
                  <w:tcBorders>
                    <w:tl2br w:val="nil"/>
                    <w:tr2bl w:val="nil"/>
                  </w:tcBorders>
                  <w:noWrap w:val="0"/>
                  <w:vAlign w:val="center"/>
                </w:tcPr>
                <w:p w14:paraId="3E1AEA83">
                  <w:pPr>
                    <w:jc w:val="center"/>
                    <w:rPr>
                      <w:sz w:val="21"/>
                      <w:szCs w:val="21"/>
                      <w:highlight w:val="none"/>
                    </w:rPr>
                  </w:pPr>
                  <w:r>
                    <w:rPr>
                      <w:sz w:val="21"/>
                      <w:szCs w:val="21"/>
                      <w:highlight w:val="none"/>
                    </w:rPr>
                    <w:t>64.9</w:t>
                  </w:r>
                </w:p>
              </w:tc>
              <w:tc>
                <w:tcPr>
                  <w:tcW w:w="436" w:type="pct"/>
                  <w:tcBorders>
                    <w:tl2br w:val="nil"/>
                    <w:tr2bl w:val="nil"/>
                  </w:tcBorders>
                  <w:noWrap w:val="0"/>
                  <w:vAlign w:val="center"/>
                </w:tcPr>
                <w:p w14:paraId="4E4FEE63">
                  <w:pPr>
                    <w:jc w:val="center"/>
                    <w:rPr>
                      <w:sz w:val="21"/>
                      <w:szCs w:val="21"/>
                      <w:highlight w:val="none"/>
                    </w:rPr>
                  </w:pPr>
                  <w:r>
                    <w:rPr>
                      <w:sz w:val="21"/>
                      <w:szCs w:val="21"/>
                      <w:highlight w:val="none"/>
                    </w:rPr>
                    <w:t>63</w:t>
                  </w:r>
                </w:p>
              </w:tc>
              <w:tc>
                <w:tcPr>
                  <w:tcW w:w="436" w:type="pct"/>
                  <w:tcBorders>
                    <w:tl2br w:val="nil"/>
                    <w:tr2bl w:val="nil"/>
                  </w:tcBorders>
                  <w:noWrap w:val="0"/>
                  <w:vAlign w:val="center"/>
                </w:tcPr>
                <w:p w14:paraId="078A7C08">
                  <w:pPr>
                    <w:jc w:val="center"/>
                    <w:rPr>
                      <w:sz w:val="21"/>
                      <w:szCs w:val="21"/>
                      <w:highlight w:val="none"/>
                    </w:rPr>
                  </w:pPr>
                  <w:r>
                    <w:rPr>
                      <w:sz w:val="21"/>
                      <w:szCs w:val="21"/>
                      <w:highlight w:val="none"/>
                    </w:rPr>
                    <w:t>59.5</w:t>
                  </w:r>
                </w:p>
              </w:tc>
              <w:tc>
                <w:tcPr>
                  <w:tcW w:w="436" w:type="pct"/>
                  <w:tcBorders>
                    <w:tl2br w:val="nil"/>
                    <w:tr2bl w:val="nil"/>
                  </w:tcBorders>
                  <w:noWrap w:val="0"/>
                  <w:vAlign w:val="center"/>
                </w:tcPr>
                <w:p w14:paraId="6A367B57">
                  <w:pPr>
                    <w:jc w:val="center"/>
                    <w:rPr>
                      <w:sz w:val="21"/>
                      <w:szCs w:val="21"/>
                      <w:highlight w:val="none"/>
                    </w:rPr>
                  </w:pPr>
                  <w:r>
                    <w:rPr>
                      <w:sz w:val="21"/>
                      <w:szCs w:val="21"/>
                      <w:highlight w:val="none"/>
                    </w:rPr>
                    <w:t>57</w:t>
                  </w:r>
                </w:p>
              </w:tc>
              <w:tc>
                <w:tcPr>
                  <w:tcW w:w="433" w:type="pct"/>
                  <w:tcBorders>
                    <w:tl2br w:val="nil"/>
                    <w:tr2bl w:val="nil"/>
                  </w:tcBorders>
                  <w:noWrap w:val="0"/>
                  <w:vAlign w:val="center"/>
                </w:tcPr>
                <w:p w14:paraId="6823EED3">
                  <w:pPr>
                    <w:jc w:val="center"/>
                    <w:rPr>
                      <w:sz w:val="21"/>
                      <w:szCs w:val="21"/>
                      <w:highlight w:val="none"/>
                    </w:rPr>
                  </w:pPr>
                  <w:r>
                    <w:rPr>
                      <w:sz w:val="21"/>
                      <w:szCs w:val="21"/>
                      <w:highlight w:val="none"/>
                    </w:rPr>
                    <w:t>53.4</w:t>
                  </w:r>
                </w:p>
              </w:tc>
            </w:tr>
            <w:tr w14:paraId="14529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7" w:hRule="atLeast"/>
                <w:jc w:val="center"/>
              </w:trPr>
              <w:tc>
                <w:tcPr>
                  <w:tcW w:w="641" w:type="pct"/>
                  <w:tcBorders>
                    <w:tl2br w:val="nil"/>
                    <w:tr2bl w:val="nil"/>
                  </w:tcBorders>
                  <w:noWrap w:val="0"/>
                  <w:vAlign w:val="center"/>
                </w:tcPr>
                <w:p w14:paraId="59AD3BA6">
                  <w:pPr>
                    <w:jc w:val="center"/>
                    <w:rPr>
                      <w:sz w:val="21"/>
                      <w:szCs w:val="21"/>
                      <w:highlight w:val="none"/>
                    </w:rPr>
                  </w:pPr>
                  <w:r>
                    <w:rPr>
                      <w:sz w:val="21"/>
                      <w:szCs w:val="21"/>
                      <w:highlight w:val="none"/>
                    </w:rPr>
                    <w:t>船舶鸣笛</w:t>
                  </w:r>
                </w:p>
              </w:tc>
              <w:tc>
                <w:tcPr>
                  <w:tcW w:w="436" w:type="pct"/>
                  <w:tcBorders>
                    <w:tl2br w:val="nil"/>
                    <w:tr2bl w:val="nil"/>
                  </w:tcBorders>
                  <w:noWrap w:val="0"/>
                  <w:vAlign w:val="center"/>
                </w:tcPr>
                <w:p w14:paraId="78509783">
                  <w:pPr>
                    <w:jc w:val="center"/>
                    <w:rPr>
                      <w:sz w:val="21"/>
                      <w:szCs w:val="21"/>
                      <w:highlight w:val="none"/>
                    </w:rPr>
                  </w:pPr>
                  <w:r>
                    <w:rPr>
                      <w:sz w:val="21"/>
                      <w:szCs w:val="21"/>
                      <w:highlight w:val="none"/>
                    </w:rPr>
                    <w:t>85</w:t>
                  </w:r>
                </w:p>
              </w:tc>
              <w:tc>
                <w:tcPr>
                  <w:tcW w:w="435" w:type="pct"/>
                  <w:tcBorders>
                    <w:tl2br w:val="nil"/>
                    <w:tr2bl w:val="nil"/>
                  </w:tcBorders>
                  <w:noWrap w:val="0"/>
                  <w:vAlign w:val="center"/>
                </w:tcPr>
                <w:p w14:paraId="74FA66DB">
                  <w:pPr>
                    <w:jc w:val="center"/>
                    <w:rPr>
                      <w:sz w:val="21"/>
                      <w:szCs w:val="21"/>
                      <w:highlight w:val="none"/>
                    </w:rPr>
                  </w:pPr>
                  <w:r>
                    <w:rPr>
                      <w:sz w:val="21"/>
                      <w:szCs w:val="21"/>
                      <w:highlight w:val="none"/>
                    </w:rPr>
                    <w:t>79.0</w:t>
                  </w:r>
                </w:p>
              </w:tc>
              <w:tc>
                <w:tcPr>
                  <w:tcW w:w="436" w:type="pct"/>
                  <w:tcBorders>
                    <w:tl2br w:val="nil"/>
                    <w:tr2bl w:val="nil"/>
                  </w:tcBorders>
                  <w:noWrap w:val="0"/>
                  <w:vAlign w:val="center"/>
                </w:tcPr>
                <w:p w14:paraId="29FC852F">
                  <w:pPr>
                    <w:jc w:val="center"/>
                    <w:rPr>
                      <w:sz w:val="21"/>
                      <w:szCs w:val="21"/>
                      <w:highlight w:val="none"/>
                    </w:rPr>
                  </w:pPr>
                  <w:r>
                    <w:rPr>
                      <w:sz w:val="21"/>
                      <w:szCs w:val="21"/>
                      <w:highlight w:val="none"/>
                    </w:rPr>
                    <w:t>73.0</w:t>
                  </w:r>
                </w:p>
              </w:tc>
              <w:tc>
                <w:tcPr>
                  <w:tcW w:w="436" w:type="pct"/>
                  <w:tcBorders>
                    <w:tl2br w:val="nil"/>
                    <w:tr2bl w:val="nil"/>
                  </w:tcBorders>
                  <w:noWrap w:val="0"/>
                  <w:vAlign w:val="center"/>
                </w:tcPr>
                <w:p w14:paraId="528B8CD4">
                  <w:pPr>
                    <w:jc w:val="center"/>
                    <w:rPr>
                      <w:sz w:val="21"/>
                      <w:szCs w:val="21"/>
                      <w:highlight w:val="none"/>
                    </w:rPr>
                  </w:pPr>
                  <w:r>
                    <w:rPr>
                      <w:sz w:val="21"/>
                      <w:szCs w:val="21"/>
                      <w:highlight w:val="none"/>
                    </w:rPr>
                    <w:t>66.9</w:t>
                  </w:r>
                </w:p>
              </w:tc>
              <w:tc>
                <w:tcPr>
                  <w:tcW w:w="436" w:type="pct"/>
                  <w:tcBorders>
                    <w:tl2br w:val="nil"/>
                    <w:tr2bl w:val="nil"/>
                  </w:tcBorders>
                  <w:noWrap w:val="0"/>
                  <w:vAlign w:val="center"/>
                </w:tcPr>
                <w:p w14:paraId="1467E69D">
                  <w:pPr>
                    <w:jc w:val="center"/>
                    <w:rPr>
                      <w:sz w:val="21"/>
                      <w:szCs w:val="21"/>
                      <w:highlight w:val="none"/>
                    </w:rPr>
                  </w:pPr>
                  <w:r>
                    <w:rPr>
                      <w:sz w:val="21"/>
                      <w:szCs w:val="21"/>
                      <w:highlight w:val="none"/>
                    </w:rPr>
                    <w:t>63.4</w:t>
                  </w:r>
                </w:p>
              </w:tc>
              <w:tc>
                <w:tcPr>
                  <w:tcW w:w="435" w:type="pct"/>
                  <w:tcBorders>
                    <w:tl2br w:val="nil"/>
                    <w:tr2bl w:val="nil"/>
                  </w:tcBorders>
                  <w:noWrap w:val="0"/>
                  <w:vAlign w:val="center"/>
                </w:tcPr>
                <w:p w14:paraId="6684F804">
                  <w:pPr>
                    <w:jc w:val="center"/>
                    <w:rPr>
                      <w:sz w:val="21"/>
                      <w:szCs w:val="21"/>
                      <w:highlight w:val="none"/>
                    </w:rPr>
                  </w:pPr>
                  <w:r>
                    <w:rPr>
                      <w:sz w:val="21"/>
                      <w:szCs w:val="21"/>
                      <w:highlight w:val="none"/>
                    </w:rPr>
                    <w:t>60.9</w:t>
                  </w:r>
                </w:p>
              </w:tc>
              <w:tc>
                <w:tcPr>
                  <w:tcW w:w="436" w:type="pct"/>
                  <w:tcBorders>
                    <w:tl2br w:val="nil"/>
                    <w:tr2bl w:val="nil"/>
                  </w:tcBorders>
                  <w:noWrap w:val="0"/>
                  <w:vAlign w:val="center"/>
                </w:tcPr>
                <w:p w14:paraId="739372ED">
                  <w:pPr>
                    <w:jc w:val="center"/>
                    <w:rPr>
                      <w:sz w:val="21"/>
                      <w:szCs w:val="21"/>
                      <w:highlight w:val="none"/>
                    </w:rPr>
                  </w:pPr>
                  <w:r>
                    <w:rPr>
                      <w:sz w:val="21"/>
                      <w:szCs w:val="21"/>
                      <w:highlight w:val="none"/>
                    </w:rPr>
                    <w:t>59.0</w:t>
                  </w:r>
                </w:p>
              </w:tc>
              <w:tc>
                <w:tcPr>
                  <w:tcW w:w="436" w:type="pct"/>
                  <w:tcBorders>
                    <w:tl2br w:val="nil"/>
                    <w:tr2bl w:val="nil"/>
                  </w:tcBorders>
                  <w:noWrap w:val="0"/>
                  <w:vAlign w:val="center"/>
                </w:tcPr>
                <w:p w14:paraId="49B4972C">
                  <w:pPr>
                    <w:jc w:val="center"/>
                    <w:rPr>
                      <w:sz w:val="21"/>
                      <w:szCs w:val="21"/>
                      <w:highlight w:val="none"/>
                    </w:rPr>
                  </w:pPr>
                  <w:r>
                    <w:rPr>
                      <w:sz w:val="21"/>
                      <w:szCs w:val="21"/>
                      <w:highlight w:val="none"/>
                    </w:rPr>
                    <w:t>55.5</w:t>
                  </w:r>
                </w:p>
              </w:tc>
              <w:tc>
                <w:tcPr>
                  <w:tcW w:w="436" w:type="pct"/>
                  <w:tcBorders>
                    <w:tl2br w:val="nil"/>
                    <w:tr2bl w:val="nil"/>
                  </w:tcBorders>
                  <w:noWrap w:val="0"/>
                  <w:vAlign w:val="center"/>
                </w:tcPr>
                <w:p w14:paraId="20FD5494">
                  <w:pPr>
                    <w:jc w:val="center"/>
                    <w:rPr>
                      <w:sz w:val="21"/>
                      <w:szCs w:val="21"/>
                      <w:highlight w:val="none"/>
                    </w:rPr>
                  </w:pPr>
                  <w:r>
                    <w:rPr>
                      <w:sz w:val="21"/>
                      <w:szCs w:val="21"/>
                      <w:highlight w:val="none"/>
                    </w:rPr>
                    <w:t>53.0</w:t>
                  </w:r>
                </w:p>
              </w:tc>
              <w:tc>
                <w:tcPr>
                  <w:tcW w:w="433" w:type="pct"/>
                  <w:tcBorders>
                    <w:tl2br w:val="nil"/>
                    <w:tr2bl w:val="nil"/>
                  </w:tcBorders>
                  <w:noWrap w:val="0"/>
                  <w:vAlign w:val="center"/>
                </w:tcPr>
                <w:p w14:paraId="103F56EC">
                  <w:pPr>
                    <w:jc w:val="center"/>
                    <w:rPr>
                      <w:sz w:val="21"/>
                      <w:szCs w:val="21"/>
                      <w:highlight w:val="none"/>
                    </w:rPr>
                  </w:pPr>
                  <w:r>
                    <w:rPr>
                      <w:sz w:val="21"/>
                      <w:szCs w:val="21"/>
                      <w:highlight w:val="none"/>
                    </w:rPr>
                    <w:t>49.4</w:t>
                  </w:r>
                </w:p>
              </w:tc>
            </w:tr>
            <w:tr w14:paraId="6E5B6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7" w:hRule="atLeast"/>
                <w:jc w:val="center"/>
              </w:trPr>
              <w:tc>
                <w:tcPr>
                  <w:tcW w:w="641" w:type="pct"/>
                  <w:tcBorders>
                    <w:tl2br w:val="nil"/>
                    <w:tr2bl w:val="nil"/>
                  </w:tcBorders>
                  <w:noWrap w:val="0"/>
                  <w:vAlign w:val="center"/>
                </w:tcPr>
                <w:p w14:paraId="0C1A5B9E">
                  <w:pPr>
                    <w:pStyle w:val="375"/>
                    <w:widowControl w:val="0"/>
                    <w:jc w:val="center"/>
                    <w:rPr>
                      <w:sz w:val="21"/>
                      <w:szCs w:val="21"/>
                      <w:highlight w:val="none"/>
                      <w:lang w:val="en-US"/>
                    </w:rPr>
                  </w:pPr>
                  <w:r>
                    <w:rPr>
                      <w:sz w:val="21"/>
                      <w:szCs w:val="21"/>
                      <w:highlight w:val="none"/>
                      <w:lang w:val="en-US"/>
                    </w:rPr>
                    <w:t>船舶施工</w:t>
                  </w:r>
                </w:p>
              </w:tc>
              <w:tc>
                <w:tcPr>
                  <w:tcW w:w="436" w:type="pct"/>
                  <w:tcBorders>
                    <w:tl2br w:val="nil"/>
                    <w:tr2bl w:val="nil"/>
                  </w:tcBorders>
                  <w:noWrap w:val="0"/>
                  <w:vAlign w:val="center"/>
                </w:tcPr>
                <w:p w14:paraId="1A66420A">
                  <w:pPr>
                    <w:jc w:val="center"/>
                    <w:rPr>
                      <w:sz w:val="21"/>
                      <w:szCs w:val="21"/>
                      <w:highlight w:val="none"/>
                    </w:rPr>
                  </w:pPr>
                  <w:r>
                    <w:rPr>
                      <w:sz w:val="21"/>
                      <w:szCs w:val="21"/>
                      <w:highlight w:val="none"/>
                    </w:rPr>
                    <w:t>90</w:t>
                  </w:r>
                </w:p>
              </w:tc>
              <w:tc>
                <w:tcPr>
                  <w:tcW w:w="435" w:type="pct"/>
                  <w:tcBorders>
                    <w:tl2br w:val="nil"/>
                    <w:tr2bl w:val="nil"/>
                  </w:tcBorders>
                  <w:noWrap w:val="0"/>
                  <w:vAlign w:val="center"/>
                </w:tcPr>
                <w:p w14:paraId="7ED13939">
                  <w:pPr>
                    <w:jc w:val="center"/>
                    <w:rPr>
                      <w:sz w:val="21"/>
                      <w:szCs w:val="21"/>
                      <w:highlight w:val="none"/>
                    </w:rPr>
                  </w:pPr>
                  <w:r>
                    <w:rPr>
                      <w:sz w:val="21"/>
                      <w:szCs w:val="21"/>
                      <w:highlight w:val="none"/>
                    </w:rPr>
                    <w:t>84.0</w:t>
                  </w:r>
                </w:p>
              </w:tc>
              <w:tc>
                <w:tcPr>
                  <w:tcW w:w="436" w:type="pct"/>
                  <w:tcBorders>
                    <w:tl2br w:val="nil"/>
                    <w:tr2bl w:val="nil"/>
                  </w:tcBorders>
                  <w:noWrap w:val="0"/>
                  <w:vAlign w:val="center"/>
                </w:tcPr>
                <w:p w14:paraId="494F3BB4">
                  <w:pPr>
                    <w:jc w:val="center"/>
                    <w:rPr>
                      <w:sz w:val="21"/>
                      <w:szCs w:val="21"/>
                      <w:highlight w:val="none"/>
                    </w:rPr>
                  </w:pPr>
                  <w:r>
                    <w:rPr>
                      <w:sz w:val="21"/>
                      <w:szCs w:val="21"/>
                      <w:highlight w:val="none"/>
                    </w:rPr>
                    <w:t>78.0</w:t>
                  </w:r>
                </w:p>
              </w:tc>
              <w:tc>
                <w:tcPr>
                  <w:tcW w:w="436" w:type="pct"/>
                  <w:tcBorders>
                    <w:tl2br w:val="nil"/>
                    <w:tr2bl w:val="nil"/>
                  </w:tcBorders>
                  <w:noWrap w:val="0"/>
                  <w:vAlign w:val="center"/>
                </w:tcPr>
                <w:p w14:paraId="5103AAB1">
                  <w:pPr>
                    <w:jc w:val="center"/>
                    <w:rPr>
                      <w:sz w:val="21"/>
                      <w:szCs w:val="21"/>
                      <w:highlight w:val="none"/>
                    </w:rPr>
                  </w:pPr>
                  <w:r>
                    <w:rPr>
                      <w:sz w:val="21"/>
                      <w:szCs w:val="21"/>
                      <w:highlight w:val="none"/>
                    </w:rPr>
                    <w:t>71.9</w:t>
                  </w:r>
                </w:p>
              </w:tc>
              <w:tc>
                <w:tcPr>
                  <w:tcW w:w="436" w:type="pct"/>
                  <w:tcBorders>
                    <w:tl2br w:val="nil"/>
                    <w:tr2bl w:val="nil"/>
                  </w:tcBorders>
                  <w:noWrap w:val="0"/>
                  <w:vAlign w:val="center"/>
                </w:tcPr>
                <w:p w14:paraId="2C7D505E">
                  <w:pPr>
                    <w:jc w:val="center"/>
                    <w:rPr>
                      <w:sz w:val="21"/>
                      <w:szCs w:val="21"/>
                      <w:highlight w:val="none"/>
                    </w:rPr>
                  </w:pPr>
                  <w:r>
                    <w:rPr>
                      <w:sz w:val="21"/>
                      <w:szCs w:val="21"/>
                      <w:highlight w:val="none"/>
                    </w:rPr>
                    <w:t>68.4</w:t>
                  </w:r>
                </w:p>
              </w:tc>
              <w:tc>
                <w:tcPr>
                  <w:tcW w:w="435" w:type="pct"/>
                  <w:tcBorders>
                    <w:tl2br w:val="nil"/>
                    <w:tr2bl w:val="nil"/>
                  </w:tcBorders>
                  <w:noWrap w:val="0"/>
                  <w:vAlign w:val="center"/>
                </w:tcPr>
                <w:p w14:paraId="5948D0FB">
                  <w:pPr>
                    <w:jc w:val="center"/>
                    <w:rPr>
                      <w:sz w:val="21"/>
                      <w:szCs w:val="21"/>
                      <w:highlight w:val="none"/>
                    </w:rPr>
                  </w:pPr>
                  <w:r>
                    <w:rPr>
                      <w:sz w:val="21"/>
                      <w:szCs w:val="21"/>
                      <w:highlight w:val="none"/>
                    </w:rPr>
                    <w:t>65.9</w:t>
                  </w:r>
                </w:p>
              </w:tc>
              <w:tc>
                <w:tcPr>
                  <w:tcW w:w="436" w:type="pct"/>
                  <w:tcBorders>
                    <w:tl2br w:val="nil"/>
                    <w:tr2bl w:val="nil"/>
                  </w:tcBorders>
                  <w:noWrap w:val="0"/>
                  <w:vAlign w:val="center"/>
                </w:tcPr>
                <w:p w14:paraId="6471CEA0">
                  <w:pPr>
                    <w:jc w:val="center"/>
                    <w:rPr>
                      <w:sz w:val="21"/>
                      <w:szCs w:val="21"/>
                      <w:highlight w:val="none"/>
                    </w:rPr>
                  </w:pPr>
                  <w:r>
                    <w:rPr>
                      <w:sz w:val="21"/>
                      <w:szCs w:val="21"/>
                      <w:highlight w:val="none"/>
                    </w:rPr>
                    <w:t>64.0</w:t>
                  </w:r>
                </w:p>
              </w:tc>
              <w:tc>
                <w:tcPr>
                  <w:tcW w:w="436" w:type="pct"/>
                  <w:tcBorders>
                    <w:tl2br w:val="nil"/>
                    <w:tr2bl w:val="nil"/>
                  </w:tcBorders>
                  <w:noWrap w:val="0"/>
                  <w:vAlign w:val="center"/>
                </w:tcPr>
                <w:p w14:paraId="073C8656">
                  <w:pPr>
                    <w:jc w:val="center"/>
                    <w:rPr>
                      <w:sz w:val="21"/>
                      <w:szCs w:val="21"/>
                      <w:highlight w:val="none"/>
                    </w:rPr>
                  </w:pPr>
                  <w:r>
                    <w:rPr>
                      <w:sz w:val="21"/>
                      <w:szCs w:val="21"/>
                      <w:highlight w:val="none"/>
                    </w:rPr>
                    <w:t>60.5</w:t>
                  </w:r>
                </w:p>
              </w:tc>
              <w:tc>
                <w:tcPr>
                  <w:tcW w:w="436" w:type="pct"/>
                  <w:tcBorders>
                    <w:tl2br w:val="nil"/>
                    <w:tr2bl w:val="nil"/>
                  </w:tcBorders>
                  <w:noWrap w:val="0"/>
                  <w:vAlign w:val="center"/>
                </w:tcPr>
                <w:p w14:paraId="2679A0B9">
                  <w:pPr>
                    <w:jc w:val="center"/>
                    <w:rPr>
                      <w:sz w:val="21"/>
                      <w:szCs w:val="21"/>
                      <w:highlight w:val="none"/>
                    </w:rPr>
                  </w:pPr>
                  <w:r>
                    <w:rPr>
                      <w:sz w:val="21"/>
                      <w:szCs w:val="21"/>
                      <w:highlight w:val="none"/>
                    </w:rPr>
                    <w:t>58.0</w:t>
                  </w:r>
                </w:p>
              </w:tc>
              <w:tc>
                <w:tcPr>
                  <w:tcW w:w="433" w:type="pct"/>
                  <w:tcBorders>
                    <w:tl2br w:val="nil"/>
                    <w:tr2bl w:val="nil"/>
                  </w:tcBorders>
                  <w:noWrap w:val="0"/>
                  <w:vAlign w:val="center"/>
                </w:tcPr>
                <w:p w14:paraId="1E79B9A2">
                  <w:pPr>
                    <w:jc w:val="center"/>
                    <w:rPr>
                      <w:sz w:val="21"/>
                      <w:szCs w:val="21"/>
                      <w:highlight w:val="none"/>
                    </w:rPr>
                  </w:pPr>
                  <w:r>
                    <w:rPr>
                      <w:sz w:val="21"/>
                      <w:szCs w:val="21"/>
                      <w:highlight w:val="none"/>
                    </w:rPr>
                    <w:t>54.4</w:t>
                  </w:r>
                </w:p>
              </w:tc>
            </w:tr>
          </w:tbl>
          <w:p w14:paraId="2A9B363F">
            <w:pPr>
              <w:spacing w:line="480" w:lineRule="exact"/>
              <w:ind w:firstLine="480" w:firstLineChars="200"/>
              <w:rPr>
                <w:sz w:val="24"/>
                <w:szCs w:val="24"/>
                <w:highlight w:val="none"/>
                <w:lang w:val="zh-CN"/>
              </w:rPr>
            </w:pPr>
            <w:r>
              <w:rPr>
                <w:sz w:val="24"/>
                <w:szCs w:val="24"/>
                <w:highlight w:val="none"/>
                <w:lang w:val="zh-CN"/>
              </w:rPr>
              <w:t>本工程应按照要求做好施工围挡，夜间应禁止高噪声设备使用，如因特殊情况必须夜间施工，施工单位应按规定及时办理相关手续，并做好相应的防护措施。</w:t>
            </w:r>
          </w:p>
          <w:p w14:paraId="3C64150A">
            <w:pPr>
              <w:spacing w:line="480" w:lineRule="exact"/>
              <w:ind w:firstLine="480" w:firstLineChars="200"/>
              <w:rPr>
                <w:sz w:val="24"/>
                <w:szCs w:val="24"/>
                <w:highlight w:val="none"/>
                <w:lang w:val="zh-CN"/>
              </w:rPr>
            </w:pPr>
            <w:r>
              <w:rPr>
                <w:sz w:val="24"/>
                <w:szCs w:val="24"/>
                <w:highlight w:val="none"/>
                <w:lang w:val="zh-CN"/>
              </w:rPr>
              <w:t>除上述施工机械产生的噪声外，施工过程中各种运输车辆的运行，还将会引起项目周边区域噪声级的增加，因此，应加强对运输车辆的管理，设置合理的运输路线（走</w:t>
            </w:r>
            <w:r>
              <w:rPr>
                <w:rFonts w:hint="eastAsia"/>
                <w:sz w:val="24"/>
                <w:szCs w:val="24"/>
                <w:highlight w:val="none"/>
                <w:lang w:val="zh-CN"/>
              </w:rPr>
              <w:t>河</w:t>
            </w:r>
            <w:r>
              <w:rPr>
                <w:sz w:val="24"/>
                <w:szCs w:val="24"/>
                <w:highlight w:val="none"/>
                <w:lang w:val="zh-CN"/>
              </w:rPr>
              <w:t>堤而不经过居民点），尽量压缩区域汽车数量和行车密度，控制汽车鸣笛。</w:t>
            </w:r>
          </w:p>
          <w:p w14:paraId="1002BAE4">
            <w:pPr>
              <w:adjustRightInd w:val="0"/>
              <w:snapToGrid w:val="0"/>
              <w:spacing w:line="480" w:lineRule="exact"/>
              <w:ind w:firstLine="482"/>
              <w:rPr>
                <w:sz w:val="24"/>
                <w:szCs w:val="24"/>
                <w:highlight w:val="none"/>
              </w:rPr>
            </w:pPr>
            <w:r>
              <w:rPr>
                <w:sz w:val="24"/>
                <w:szCs w:val="24"/>
                <w:highlight w:val="none"/>
                <w:lang w:val="zh-CN"/>
              </w:rPr>
              <w:t>由于施工期是暂时的，随着施工的结束，施工噪声的影响也将消失。因此，本工程施工在采用低噪声机械、设置施工围挡和合理安排夜间施工时段、合理设置运输路线等措施的前提下，对项目所在地声环境质量的影响较小。</w:t>
            </w:r>
          </w:p>
          <w:p w14:paraId="1F2C0D79">
            <w:pPr>
              <w:adjustRightInd w:val="0"/>
              <w:snapToGrid w:val="0"/>
              <w:spacing w:line="480" w:lineRule="exact"/>
              <w:ind w:firstLine="482"/>
              <w:rPr>
                <w:b/>
                <w:bCs/>
                <w:sz w:val="24"/>
                <w:szCs w:val="24"/>
                <w:highlight w:val="none"/>
              </w:rPr>
            </w:pPr>
            <w:r>
              <w:rPr>
                <w:b/>
                <w:bCs/>
                <w:sz w:val="24"/>
                <w:szCs w:val="24"/>
                <w:highlight w:val="none"/>
              </w:rPr>
              <w:t>4.1.</w:t>
            </w:r>
            <w:r>
              <w:rPr>
                <w:rFonts w:hint="eastAsia"/>
                <w:b/>
                <w:bCs/>
                <w:sz w:val="24"/>
                <w:szCs w:val="24"/>
                <w:highlight w:val="none"/>
                <w:lang w:val="en-US" w:eastAsia="zh-CN"/>
              </w:rPr>
              <w:t>6</w:t>
            </w:r>
            <w:r>
              <w:rPr>
                <w:b/>
                <w:bCs/>
                <w:sz w:val="24"/>
                <w:szCs w:val="24"/>
                <w:highlight w:val="none"/>
              </w:rPr>
              <w:t>固体废物影响分析</w:t>
            </w:r>
          </w:p>
          <w:p w14:paraId="486BEC75">
            <w:pPr>
              <w:adjustRightInd w:val="0"/>
              <w:snapToGrid w:val="0"/>
              <w:spacing w:line="480" w:lineRule="exact"/>
              <w:ind w:firstLine="482" w:firstLineChars="0"/>
              <w:rPr>
                <w:rFonts w:ascii="Times New Roman" w:hAnsi="Times New Roman" w:eastAsia="宋体" w:cs="Times New Roman"/>
                <w:sz w:val="24"/>
                <w:szCs w:val="24"/>
                <w:highlight w:val="none"/>
                <w:lang w:val="zh-CN"/>
              </w:rPr>
            </w:pPr>
            <w:r>
              <w:rPr>
                <w:rFonts w:ascii="Times New Roman" w:hAnsi="Times New Roman" w:eastAsia="宋体" w:cs="Times New Roman"/>
                <w:sz w:val="24"/>
                <w:szCs w:val="24"/>
                <w:highlight w:val="none"/>
                <w:lang w:val="zh-CN" w:eastAsia="zh-CN"/>
              </w:rPr>
              <w:t>（1）</w:t>
            </w:r>
            <w:r>
              <w:rPr>
                <w:rFonts w:hint="eastAsia" w:ascii="Times New Roman" w:hAnsi="Times New Roman" w:eastAsia="宋体" w:cs="Times New Roman"/>
                <w:kern w:val="2"/>
                <w:sz w:val="24"/>
                <w:szCs w:val="24"/>
                <w:highlight w:val="none"/>
                <w:lang w:val="en-US" w:eastAsia="zh-CN"/>
              </w:rPr>
              <w:t>船舶</w:t>
            </w:r>
            <w:r>
              <w:rPr>
                <w:rFonts w:hint="default" w:ascii="Times New Roman" w:hAnsi="Times New Roman" w:eastAsia="宋体" w:cs="Times New Roman"/>
                <w:kern w:val="2"/>
                <w:sz w:val="24"/>
                <w:szCs w:val="24"/>
                <w:highlight w:val="none"/>
                <w:lang w:val="en-US" w:eastAsia="zh-CN"/>
              </w:rPr>
              <w:t>生活垃圾</w:t>
            </w:r>
            <w:r>
              <w:rPr>
                <w:rFonts w:hint="eastAsia" w:ascii="Times New Roman" w:hAnsi="Times New Roman" w:eastAsia="宋体" w:cs="Times New Roman"/>
                <w:kern w:val="2"/>
                <w:sz w:val="24"/>
                <w:szCs w:val="24"/>
                <w:highlight w:val="none"/>
                <w:lang w:val="en-US" w:eastAsia="zh-CN"/>
              </w:rPr>
              <w:t>和陆域生活垃圾</w:t>
            </w:r>
            <w:r>
              <w:rPr>
                <w:rFonts w:hint="default" w:ascii="Times New Roman" w:hAnsi="Times New Roman" w:eastAsia="宋体" w:cs="Times New Roman"/>
                <w:kern w:val="2"/>
                <w:sz w:val="24"/>
                <w:szCs w:val="24"/>
                <w:highlight w:val="none"/>
                <w:lang w:val="en-US" w:eastAsia="zh-CN"/>
              </w:rPr>
              <w:t>收集后</w:t>
            </w:r>
            <w:r>
              <w:rPr>
                <w:rFonts w:hint="default" w:ascii="Times New Roman" w:hAnsi="Times New Roman" w:eastAsia="宋体" w:cs="Times New Roman"/>
                <w:kern w:val="2"/>
                <w:sz w:val="24"/>
                <w:szCs w:val="24"/>
                <w:highlight w:val="none"/>
                <w:lang w:val="zh-CN"/>
              </w:rPr>
              <w:t>交由当地环卫部</w:t>
            </w:r>
            <w:r>
              <w:rPr>
                <w:rFonts w:hint="default" w:ascii="Times New Roman" w:hAnsi="Times New Roman" w:eastAsia="宋体" w:cs="Times New Roman"/>
                <w:kern w:val="2"/>
                <w:sz w:val="24"/>
                <w:szCs w:val="24"/>
                <w:highlight w:val="none"/>
                <w:lang w:val="zh-CN" w:eastAsia="zh-CN" w:bidi="ar"/>
              </w:rPr>
              <w:t>门接收处理</w:t>
            </w:r>
            <w:r>
              <w:rPr>
                <w:rFonts w:hint="eastAsia" w:cs="Times New Roman"/>
                <w:kern w:val="2"/>
                <w:sz w:val="24"/>
                <w:szCs w:val="24"/>
                <w:highlight w:val="none"/>
                <w:lang w:val="zh-CN" w:eastAsia="zh-CN" w:bidi="ar"/>
              </w:rPr>
              <w:t>，</w:t>
            </w:r>
            <w:r>
              <w:rPr>
                <w:rFonts w:hint="eastAsia" w:cs="Times New Roman"/>
                <w:kern w:val="2"/>
                <w:sz w:val="24"/>
                <w:szCs w:val="24"/>
                <w:highlight w:val="none"/>
                <w:lang w:val="en-US" w:eastAsia="zh-CN" w:bidi="ar"/>
              </w:rPr>
              <w:t>对环境影响较小。</w:t>
            </w:r>
            <w:r>
              <w:rPr>
                <w:rFonts w:ascii="Times New Roman" w:hAnsi="Times New Roman" w:eastAsia="宋体" w:cs="Times New Roman"/>
                <w:sz w:val="24"/>
                <w:szCs w:val="24"/>
                <w:highlight w:val="none"/>
                <w:lang w:val="zh-CN" w:eastAsia="zh-CN"/>
              </w:rPr>
              <w:t xml:space="preserve"> </w:t>
            </w:r>
          </w:p>
          <w:p w14:paraId="03872EFF">
            <w:pPr>
              <w:adjustRightInd w:val="0"/>
              <w:snapToGrid w:val="0"/>
              <w:spacing w:line="480" w:lineRule="exact"/>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sz w:val="24"/>
                <w:szCs w:val="24"/>
                <w:highlight w:val="none"/>
                <w:lang w:val="zh-CN" w:eastAsia="zh-CN"/>
              </w:rPr>
              <w:t>（2）</w:t>
            </w:r>
            <w:r>
              <w:rPr>
                <w:rFonts w:hint="eastAsia" w:cs="Times New Roman"/>
                <w:kern w:val="2"/>
                <w:sz w:val="24"/>
                <w:szCs w:val="24"/>
                <w:highlight w:val="none"/>
                <w:lang w:val="zh-CN" w:eastAsia="zh-CN" w:bidi="ar"/>
              </w:rPr>
              <w:t>疏浚产生的淤泥配泥驳转运至拟定污泥干化场，</w:t>
            </w:r>
            <w:r>
              <w:rPr>
                <w:sz w:val="24"/>
                <w:highlight w:val="none"/>
              </w:rPr>
              <w:t>根据底泥监测结果，沿线监测底泥均满足《土壤环境质量 农用地土壤污染风险管控标准（试行）》（GB15618-2018）、相应标准要求</w:t>
            </w:r>
            <w:r>
              <w:rPr>
                <w:rFonts w:hint="eastAsia" w:cs="Times New Roman"/>
                <w:kern w:val="2"/>
                <w:sz w:val="24"/>
                <w:szCs w:val="24"/>
                <w:highlight w:val="none"/>
                <w:lang w:val="zh-CN" w:eastAsia="zh-CN" w:bidi="ar"/>
              </w:rPr>
              <w:t>，干化过程中不加入药剂，不会破坏底泥现有状态，干化后</w:t>
            </w:r>
            <w:r>
              <w:rPr>
                <w:rFonts w:hint="eastAsia" w:cs="Times New Roman"/>
                <w:kern w:val="2"/>
                <w:sz w:val="24"/>
                <w:szCs w:val="24"/>
                <w:highlight w:val="none"/>
                <w:lang w:val="en-US" w:eastAsia="zh-CN" w:bidi="ar"/>
              </w:rPr>
              <w:t>就地回填。</w:t>
            </w:r>
            <w:r>
              <w:rPr>
                <w:rFonts w:hint="eastAsia" w:cs="Times New Roman"/>
                <w:kern w:val="2"/>
                <w:sz w:val="24"/>
                <w:szCs w:val="24"/>
                <w:highlight w:val="none"/>
                <w:lang w:val="zh-CN" w:eastAsia="zh-CN" w:bidi="ar"/>
              </w:rPr>
              <w:t>施工后期，</w:t>
            </w:r>
            <w:r>
              <w:rPr>
                <w:rFonts w:hint="eastAsia" w:cs="Times New Roman"/>
                <w:kern w:val="2"/>
                <w:sz w:val="24"/>
                <w:szCs w:val="24"/>
                <w:highlight w:val="none"/>
                <w:lang w:val="en-US" w:eastAsia="zh-CN" w:bidi="ar"/>
              </w:rPr>
              <w:t>干化场</w:t>
            </w:r>
            <w:r>
              <w:rPr>
                <w:rFonts w:hint="eastAsia" w:cs="Times New Roman"/>
                <w:kern w:val="2"/>
                <w:sz w:val="24"/>
                <w:szCs w:val="24"/>
                <w:highlight w:val="none"/>
                <w:lang w:val="zh-CN" w:eastAsia="zh-CN" w:bidi="ar"/>
              </w:rPr>
              <w:t>表层覆盖耕植土，进行绿化或者复耕，恶臭影响进一步降低。</w:t>
            </w:r>
          </w:p>
        </w:tc>
      </w:tr>
      <w:tr w14:paraId="42DA9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49" w:type="dxa"/>
            <w:tcMar>
              <w:left w:w="28" w:type="dxa"/>
              <w:right w:w="28" w:type="dxa"/>
            </w:tcMar>
            <w:vAlign w:val="center"/>
          </w:tcPr>
          <w:p w14:paraId="389C25A4">
            <w:pPr>
              <w:adjustRightInd w:val="0"/>
              <w:snapToGrid w:val="0"/>
              <w:jc w:val="center"/>
              <w:rPr>
                <w:rFonts w:hint="default" w:ascii="Times New Roman" w:hAnsi="Times New Roman" w:eastAsia="宋体" w:cs="Times New Roman"/>
                <w:bCs/>
                <w:sz w:val="24"/>
                <w:szCs w:val="24"/>
              </w:rPr>
            </w:pPr>
            <w:r>
              <w:rPr>
                <w:rFonts w:hint="eastAsia" w:cs="宋体"/>
                <w:bCs/>
                <w:spacing w:val="10"/>
                <w:kern w:val="2"/>
                <w:sz w:val="21"/>
                <w:szCs w:val="21"/>
              </w:rPr>
              <w:t>运营期生态环境影响分析</w:t>
            </w:r>
          </w:p>
        </w:tc>
        <w:tc>
          <w:tcPr>
            <w:tcW w:w="7993" w:type="dxa"/>
            <w:vAlign w:val="center"/>
          </w:tcPr>
          <w:p w14:paraId="78AB0B60">
            <w:pPr>
              <w:adjustRightInd w:val="0"/>
              <w:snapToGrid w:val="0"/>
              <w:spacing w:line="480" w:lineRule="exact"/>
              <w:ind w:left="480"/>
              <w:rPr>
                <w:b/>
                <w:bCs/>
                <w:sz w:val="24"/>
                <w:szCs w:val="24"/>
              </w:rPr>
            </w:pPr>
            <w:r>
              <w:rPr>
                <w:b/>
                <w:bCs/>
                <w:sz w:val="24"/>
                <w:szCs w:val="24"/>
              </w:rPr>
              <w:t>4.2运营期生态环境影响分析</w:t>
            </w:r>
          </w:p>
          <w:p w14:paraId="09AB33CC">
            <w:pPr>
              <w:adjustRightInd w:val="0"/>
              <w:snapToGrid w:val="0"/>
              <w:spacing w:line="480" w:lineRule="exact"/>
              <w:ind w:firstLine="482"/>
              <w:rPr>
                <w:b/>
                <w:bCs/>
                <w:sz w:val="24"/>
                <w:szCs w:val="24"/>
              </w:rPr>
            </w:pPr>
            <w:r>
              <w:rPr>
                <w:b/>
                <w:bCs/>
                <w:sz w:val="24"/>
                <w:szCs w:val="24"/>
              </w:rPr>
              <w:t>4.2.1生态环境影响分析</w:t>
            </w:r>
          </w:p>
          <w:p w14:paraId="1DD58235">
            <w:pPr>
              <w:snapToGrid w:val="0"/>
              <w:spacing w:line="480" w:lineRule="exact"/>
              <w:ind w:firstLine="480" w:firstLineChars="200"/>
              <w:rPr>
                <w:sz w:val="24"/>
                <w:szCs w:val="24"/>
              </w:rPr>
            </w:pPr>
            <w:r>
              <w:rPr>
                <w:sz w:val="24"/>
                <w:szCs w:val="24"/>
              </w:rPr>
              <w:t>1、含油污水的环境影响</w:t>
            </w:r>
          </w:p>
          <w:p w14:paraId="4EFE5D1C">
            <w:pPr>
              <w:snapToGrid w:val="0"/>
              <w:spacing w:line="480" w:lineRule="exact"/>
              <w:ind w:firstLine="480" w:firstLineChars="200"/>
              <w:rPr>
                <w:sz w:val="24"/>
                <w:szCs w:val="24"/>
              </w:rPr>
            </w:pPr>
            <w:r>
              <w:rPr>
                <w:sz w:val="24"/>
                <w:szCs w:val="24"/>
              </w:rPr>
              <w:t>含油污水主要包括船舶舱底含油污水。如果这部分污水不加处理直接排入</w:t>
            </w:r>
            <w:r>
              <w:rPr>
                <w:rFonts w:hint="eastAsia"/>
                <w:sz w:val="24"/>
                <w:szCs w:val="24"/>
                <w:lang w:val="en-US" w:eastAsia="zh-CN"/>
              </w:rPr>
              <w:t>京杭运河</w:t>
            </w:r>
            <w:r>
              <w:rPr>
                <w:rFonts w:hint="eastAsia"/>
                <w:sz w:val="24"/>
                <w:szCs w:val="24"/>
              </w:rPr>
              <w:t>及</w:t>
            </w:r>
            <w:r>
              <w:rPr>
                <w:sz w:val="24"/>
                <w:szCs w:val="24"/>
              </w:rPr>
              <w:t>周边河流，将会对该水域一定范围内的水生生物产生一定影响。主要表现为：</w:t>
            </w:r>
          </w:p>
          <w:p w14:paraId="6E4D2EDD">
            <w:pPr>
              <w:snapToGrid w:val="0"/>
              <w:spacing w:line="480" w:lineRule="exact"/>
              <w:ind w:firstLine="480" w:firstLineChars="200"/>
              <w:rPr>
                <w:sz w:val="24"/>
                <w:szCs w:val="24"/>
              </w:rPr>
            </w:pPr>
            <w:r>
              <w:rPr>
                <w:sz w:val="24"/>
                <w:szCs w:val="24"/>
              </w:rPr>
              <w:t>（1）如果油膜较厚且连成片，将使排放点附近水域水体的阳光透射率下降，降低浮游植物的光合作用，从而影响水域的初级生产力，同时干扰浮游动物的昼夜垂直迁移。</w:t>
            </w:r>
          </w:p>
          <w:p w14:paraId="63BD40B8">
            <w:pPr>
              <w:snapToGrid w:val="0"/>
              <w:spacing w:line="480" w:lineRule="exact"/>
              <w:ind w:firstLine="480" w:firstLineChars="200"/>
              <w:rPr>
                <w:sz w:val="24"/>
                <w:szCs w:val="24"/>
              </w:rPr>
            </w:pPr>
            <w:r>
              <w:rPr>
                <w:sz w:val="24"/>
                <w:szCs w:val="24"/>
              </w:rPr>
              <w:t>（2）油污染还可能伤害水生生物的化学感应器，干扰、破坏生物的趋化性，使其感应系统发生紊乱。</w:t>
            </w:r>
          </w:p>
          <w:p w14:paraId="3232550F">
            <w:pPr>
              <w:snapToGrid w:val="0"/>
              <w:spacing w:line="480" w:lineRule="exact"/>
              <w:ind w:firstLine="480" w:firstLineChars="200"/>
              <w:rPr>
                <w:sz w:val="24"/>
                <w:szCs w:val="24"/>
              </w:rPr>
            </w:pPr>
            <w:r>
              <w:rPr>
                <w:sz w:val="24"/>
                <w:szCs w:val="24"/>
              </w:rPr>
              <w:t>（3）动物的卵和幼体对油污染非常敏感，而且由于卵和幼体大多漂浮在水体表层，若表层油污染浓度较高，那对生物种类的破坏性较大。</w:t>
            </w:r>
          </w:p>
          <w:p w14:paraId="7F68C285">
            <w:pPr>
              <w:snapToGrid w:val="0"/>
              <w:spacing w:line="480" w:lineRule="exact"/>
              <w:ind w:firstLine="480" w:firstLineChars="200"/>
              <w:rPr>
                <w:sz w:val="24"/>
                <w:szCs w:val="24"/>
              </w:rPr>
            </w:pPr>
            <w:r>
              <w:rPr>
                <w:sz w:val="24"/>
                <w:szCs w:val="24"/>
              </w:rPr>
              <w:t>（4）溶解和分散在水体中的油类，较易侵入水生生物的上皮细胞，破坏动植物的细胞质膜和线粒体膜，损害生物的酶系统和蛋白质结构，导致基础代谢活动出现障碍，引起生物种类异常。</w:t>
            </w:r>
          </w:p>
          <w:p w14:paraId="4BFFD44E">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w:t>
            </w:r>
            <w:r>
              <w:rPr>
                <w:rFonts w:hint="eastAsia" w:ascii="Times New Roman" w:hAnsi="Times New Roman" w:eastAsia="宋体" w:cs="Times New Roman"/>
                <w:sz w:val="24"/>
                <w:szCs w:val="24"/>
                <w:lang w:val="en-US" w:eastAsia="zh-CN"/>
              </w:rPr>
              <w:t>锚地</w:t>
            </w:r>
            <w:r>
              <w:rPr>
                <w:rFonts w:hint="default" w:ascii="Times New Roman" w:hAnsi="Times New Roman" w:eastAsia="宋体" w:cs="Times New Roman"/>
                <w:sz w:val="24"/>
                <w:szCs w:val="24"/>
              </w:rPr>
              <w:t>建成投产后，</w:t>
            </w:r>
            <w:r>
              <w:rPr>
                <w:rFonts w:hint="default" w:ascii="Times New Roman" w:hAnsi="Times New Roman" w:eastAsia="宋体" w:cs="Times New Roman"/>
                <w:kern w:val="2"/>
                <w:sz w:val="24"/>
                <w:szCs w:val="24"/>
                <w:lang w:val="en-US" w:eastAsia="zh-CN"/>
              </w:rPr>
              <w:t>船舶含油污水</w:t>
            </w:r>
            <w:r>
              <w:rPr>
                <w:rFonts w:hint="default" w:ascii="Times New Roman" w:hAnsi="Times New Roman" w:eastAsia="宋体" w:cs="Times New Roman"/>
                <w:kern w:val="2"/>
                <w:sz w:val="24"/>
                <w:szCs w:val="24"/>
              </w:rPr>
              <w:t>由当地交通运输部门认可的有资质的</w:t>
            </w:r>
            <w:r>
              <w:rPr>
                <w:rFonts w:hint="default" w:ascii="Times New Roman" w:hAnsi="Times New Roman" w:eastAsia="宋体" w:cs="Times New Roman"/>
                <w:kern w:val="2"/>
                <w:sz w:val="24"/>
                <w:szCs w:val="24"/>
                <w:lang w:val="en-US" w:eastAsia="zh-CN"/>
              </w:rPr>
              <w:t>单位</w:t>
            </w:r>
            <w:r>
              <w:rPr>
                <w:rFonts w:hint="default" w:ascii="Times New Roman" w:hAnsi="Times New Roman" w:eastAsia="宋体" w:cs="Times New Roman"/>
                <w:kern w:val="2"/>
                <w:sz w:val="24"/>
                <w:szCs w:val="24"/>
              </w:rPr>
              <w:t>接收处理</w:t>
            </w:r>
            <w:r>
              <w:rPr>
                <w:rFonts w:hint="default" w:ascii="Times New Roman" w:hAnsi="Times New Roman" w:eastAsia="宋体" w:cs="Times New Roman"/>
                <w:sz w:val="24"/>
                <w:szCs w:val="24"/>
              </w:rPr>
              <w:t>。禁止船舶舱底油污水在码头附近水域排放。</w:t>
            </w:r>
          </w:p>
          <w:p w14:paraId="54FFD987">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因此，本项目建设不会对工程所在水域水质及水生生物产生较大影响。</w:t>
            </w:r>
          </w:p>
          <w:p w14:paraId="30365878">
            <w:pPr>
              <w:adjustRightInd w:val="0"/>
              <w:snapToGrid w:val="0"/>
              <w:spacing w:line="460" w:lineRule="exac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锚地</w:t>
            </w:r>
            <w:r>
              <w:rPr>
                <w:rFonts w:hint="default" w:ascii="Times New Roman" w:hAnsi="Times New Roman" w:eastAsia="宋体" w:cs="Times New Roman"/>
                <w:sz w:val="24"/>
                <w:szCs w:val="24"/>
              </w:rPr>
              <w:t>营运期对鱼类的影响</w:t>
            </w:r>
          </w:p>
          <w:p w14:paraId="41FD9D22">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本项目不占用主航道水域，对附近水域河势演变及泥沙运动影响较小，不会对鱼类生存及洄游产生不利的影响。</w:t>
            </w:r>
          </w:p>
          <w:p w14:paraId="6479F16A">
            <w:pPr>
              <w:adjustRightInd w:val="0"/>
              <w:snapToGrid w:val="0"/>
              <w:spacing w:line="460" w:lineRule="exac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、船舶航行对浮游及底栖生物的影响</w:t>
            </w:r>
          </w:p>
          <w:p w14:paraId="75361D93">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船舶航行会对周围水体产生扰动，这些扰动会对内河水生生物的生物量、种类及栖息环境产生一定影响。由于船舶是在水体上层航行，主要影响也集中在上层水域，水生生物除浮游生物在水体表层活动强度较大外，其它生物多在中层及底层活动，且水生生物的浮（游）动性较强，会自动规避船舶带来的扰动。因此，船舶航行对水生生物的影响较小，不会根本改变水生生物的栖息环境，也不会使生物种类、数量明显减少。</w:t>
            </w:r>
          </w:p>
          <w:p w14:paraId="1E6138EB">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此外，停留船舶若使用有害防污底系统，可能会对内河水生生物环境造成不利影响。</w:t>
            </w:r>
          </w:p>
          <w:p w14:paraId="7FA61AE5">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内河船舶法定检验技术规则》（2011年）的规定，自2012年起，船舶防污底系统不应用含有生物杀灭剂的有机锡化合物。因此建设单位应监督船舶公司，禁止使用船舶有害防污底系统，尽可能缩短船舶在泊时间，可将不利影响降到最低。</w:t>
            </w:r>
          </w:p>
          <w:p w14:paraId="2E31F66D">
            <w:pPr>
              <w:adjustRightInd w:val="0"/>
              <w:snapToGrid w:val="0"/>
              <w:spacing w:line="460" w:lineRule="exac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、船舶溢油对水生生态环境的影响分析</w:t>
            </w:r>
          </w:p>
          <w:p w14:paraId="0C72C09F">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间，存在因船舶碰撞、船撞码头等导致溢油事故的风险，一旦发生溢油事故，将对影响水域的水生生态环境造成严重影响。石油类可能引起水生动植物急性中毒，诱变生物的基因，影响植物的光合作用。船舶溢油事故发生率很小，若企业能严格落实风险防范措施和事故应急预案，将可以有效减少溢油风险事故对水生生态环境的影响。</w:t>
            </w:r>
          </w:p>
          <w:p w14:paraId="26030759">
            <w:pPr>
              <w:adjustRightInd w:val="0"/>
              <w:snapToGrid w:val="0"/>
              <w:spacing w:line="480" w:lineRule="exact"/>
              <w:ind w:firstLine="482"/>
              <w:rPr>
                <w:rFonts w:hint="eastAsia"/>
                <w:b/>
                <w:bCs/>
                <w:sz w:val="24"/>
                <w:szCs w:val="24"/>
                <w:lang w:val="en-US" w:eastAsia="zh-CN"/>
              </w:rPr>
            </w:pPr>
            <w:r>
              <w:rPr>
                <w:rFonts w:hint="eastAsia"/>
                <w:b/>
                <w:bCs/>
                <w:sz w:val="24"/>
                <w:szCs w:val="24"/>
                <w:lang w:val="en-US" w:eastAsia="zh-CN"/>
              </w:rPr>
              <w:t>4.2.2大气</w:t>
            </w:r>
            <w:r>
              <w:rPr>
                <w:b/>
                <w:bCs/>
                <w:sz w:val="24"/>
                <w:szCs w:val="24"/>
              </w:rPr>
              <w:t>环境影响分析</w:t>
            </w:r>
          </w:p>
          <w:p w14:paraId="36E9158B">
            <w:pPr>
              <w:widowControl/>
              <w:spacing w:line="46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营运期主要废气锚泊船舶在进出锚地时的燃油废气，由于在锚泊时启动时间很短，在使用合规油品的情况下，船舶废气污染强度不大，因此燃油废气排放强度十分有限，对周围大气环境影响不大。</w:t>
            </w:r>
          </w:p>
          <w:p w14:paraId="3D8E7170">
            <w:pPr>
              <w:adjustRightInd w:val="0"/>
              <w:snapToGrid w:val="0"/>
              <w:spacing w:line="480" w:lineRule="exact"/>
              <w:ind w:firstLine="482"/>
              <w:rPr>
                <w:rFonts w:hint="default"/>
                <w:b/>
                <w:bCs/>
                <w:sz w:val="24"/>
                <w:szCs w:val="24"/>
                <w:lang w:val="en-US" w:eastAsia="zh-CN"/>
              </w:rPr>
            </w:pPr>
            <w:r>
              <w:rPr>
                <w:rFonts w:hint="eastAsia"/>
                <w:b/>
                <w:bCs/>
                <w:sz w:val="24"/>
                <w:szCs w:val="24"/>
                <w:lang w:val="en-US" w:eastAsia="zh-CN"/>
              </w:rPr>
              <w:t>4.2.3地表水</w:t>
            </w:r>
            <w:r>
              <w:rPr>
                <w:b/>
                <w:bCs/>
                <w:sz w:val="24"/>
                <w:szCs w:val="24"/>
              </w:rPr>
              <w:t>环境影响分析</w:t>
            </w:r>
          </w:p>
          <w:p w14:paraId="40DC7DAE">
            <w:pPr>
              <w:widowControl/>
              <w:spacing w:line="46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本项目为锚地项目，项目营运期主要为停泊船舶的含油污水、人员的生活污水和初期雨水，其中</w:t>
            </w:r>
            <w:r>
              <w:rPr>
                <w:rFonts w:hint="eastAsia" w:ascii="Times New Roman" w:hAnsi="Times New Roman" w:eastAsia="宋体" w:cs="Times New Roman"/>
                <w:kern w:val="2"/>
                <w:sz w:val="24"/>
                <w:szCs w:val="24"/>
                <w:lang w:val="en-US" w:eastAsia="zh-CN"/>
              </w:rPr>
              <w:t>船舶含油污水</w:t>
            </w:r>
            <w:r>
              <w:rPr>
                <w:rFonts w:hint="eastAsia" w:ascii="Times New Roman" w:hAnsi="Times New Roman" w:eastAsia="宋体" w:cs="Times New Roman"/>
                <w:kern w:val="2"/>
                <w:sz w:val="24"/>
                <w:szCs w:val="24"/>
              </w:rPr>
              <w:t>由当地交通运输部门认可的有资质的</w:t>
            </w:r>
            <w:r>
              <w:rPr>
                <w:rFonts w:hint="eastAsia" w:ascii="Times New Roman" w:hAnsi="Times New Roman" w:eastAsia="宋体" w:cs="Times New Roman"/>
                <w:kern w:val="2"/>
                <w:sz w:val="24"/>
                <w:szCs w:val="24"/>
                <w:lang w:val="en-US" w:eastAsia="zh-CN"/>
              </w:rPr>
              <w:t>单位</w:t>
            </w:r>
            <w:r>
              <w:rPr>
                <w:rFonts w:hint="eastAsia" w:ascii="Times New Roman" w:hAnsi="Times New Roman" w:eastAsia="宋体" w:cs="Times New Roman"/>
                <w:kern w:val="2"/>
                <w:sz w:val="24"/>
                <w:szCs w:val="24"/>
              </w:rPr>
              <w:t>接收处理</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bCs w:val="0"/>
                <w:sz w:val="24"/>
                <w:szCs w:val="24"/>
                <w:lang w:val="en-US" w:eastAsia="zh-CN"/>
              </w:rPr>
              <w:t>船舶生活污水经</w:t>
            </w:r>
            <w:r>
              <w:rPr>
                <w:rFonts w:hint="eastAsia" w:ascii="Times New Roman" w:hAnsi="Times New Roman" w:eastAsia="宋体" w:cs="Times New Roman"/>
                <w:kern w:val="2"/>
                <w:sz w:val="24"/>
                <w:szCs w:val="24"/>
                <w:lang w:val="en-US" w:eastAsia="zh-CN" w:bidi="ar"/>
              </w:rPr>
              <w:t>锚地后沿污水箱收集后定期外运处理</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bCs w:val="0"/>
                <w:sz w:val="24"/>
                <w:szCs w:val="24"/>
                <w:lang w:val="en-US" w:eastAsia="zh-CN"/>
              </w:rPr>
              <w:t>初期雨水经收集后外运处理。</w:t>
            </w:r>
            <w:r>
              <w:rPr>
                <w:rFonts w:hint="eastAsia" w:cs="Times New Roman"/>
                <w:sz w:val="24"/>
                <w:szCs w:val="24"/>
                <w:lang w:val="en-US" w:eastAsia="zh-CN"/>
              </w:rPr>
              <w:t>运营期</w:t>
            </w:r>
            <w:r>
              <w:rPr>
                <w:sz w:val="24"/>
                <w:szCs w:val="24"/>
              </w:rPr>
              <w:t>各</w:t>
            </w:r>
            <w:r>
              <w:rPr>
                <w:rFonts w:hint="eastAsia"/>
                <w:sz w:val="24"/>
                <w:szCs w:val="24"/>
              </w:rPr>
              <w:t>废水</w:t>
            </w:r>
            <w:r>
              <w:rPr>
                <w:sz w:val="24"/>
                <w:szCs w:val="24"/>
              </w:rPr>
              <w:t>均得到有效处理处置</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不会对水环境产生明显影响。</w:t>
            </w:r>
          </w:p>
          <w:p w14:paraId="1E8C3BE0">
            <w:pPr>
              <w:adjustRightInd w:val="0"/>
              <w:snapToGrid w:val="0"/>
              <w:spacing w:line="480" w:lineRule="exact"/>
              <w:ind w:firstLine="482"/>
              <w:rPr>
                <w:rFonts w:hint="default"/>
                <w:b/>
                <w:bCs/>
                <w:sz w:val="24"/>
                <w:szCs w:val="24"/>
                <w:lang w:val="en-US" w:eastAsia="zh-CN"/>
              </w:rPr>
            </w:pPr>
            <w:r>
              <w:rPr>
                <w:rFonts w:hint="eastAsia"/>
                <w:b/>
                <w:bCs/>
                <w:sz w:val="24"/>
                <w:szCs w:val="24"/>
                <w:lang w:val="en-US" w:eastAsia="zh-CN"/>
              </w:rPr>
              <w:t>4.2.4声</w:t>
            </w:r>
            <w:r>
              <w:rPr>
                <w:b/>
                <w:bCs/>
                <w:sz w:val="24"/>
                <w:szCs w:val="24"/>
              </w:rPr>
              <w:t>环境影响分析</w:t>
            </w:r>
          </w:p>
          <w:p w14:paraId="60A7B836">
            <w:pPr>
              <w:adjustRightInd w:val="0"/>
              <w:snapToGrid w:val="0"/>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营运期主要噪声主要为船舶的鸣笛，属于偶发噪声，但噪声级很大，鸣笛期间会对</w:t>
            </w:r>
            <w:r>
              <w:rPr>
                <w:rFonts w:hint="eastAsia" w:cs="Times New Roman"/>
                <w:sz w:val="24"/>
                <w:szCs w:val="24"/>
                <w:lang w:val="en-US" w:eastAsia="zh-CN"/>
              </w:rPr>
              <w:t>声环境</w:t>
            </w:r>
            <w:r>
              <w:rPr>
                <w:rFonts w:hint="default" w:ascii="Times New Roman" w:hAnsi="Times New Roman" w:eastAsia="宋体" w:cs="Times New Roman"/>
                <w:sz w:val="24"/>
                <w:szCs w:val="24"/>
              </w:rPr>
              <w:t>造成一定影响。项目营运期应采取严格的管理措施，进出港船舶必须按相关要求合理使用鸣笛设备</w:t>
            </w:r>
            <w:r>
              <w:rPr>
                <w:rFonts w:hint="eastAsia" w:cs="Times New Roman"/>
                <w:sz w:val="24"/>
                <w:szCs w:val="24"/>
                <w:lang w:eastAsia="zh-CN"/>
              </w:rPr>
              <w:t>，减少</w:t>
            </w:r>
            <w:r>
              <w:rPr>
                <w:rFonts w:hint="default" w:ascii="Times New Roman" w:hAnsi="Times New Roman" w:eastAsia="宋体" w:cs="Times New Roman"/>
                <w:sz w:val="24"/>
                <w:szCs w:val="24"/>
              </w:rPr>
              <w:t>偶发噪声对周围声环境的影响。</w:t>
            </w:r>
          </w:p>
          <w:p w14:paraId="572AD875">
            <w:pPr>
              <w:adjustRightInd w:val="0"/>
              <w:snapToGrid w:val="0"/>
              <w:spacing w:line="480" w:lineRule="exact"/>
              <w:ind w:firstLine="482"/>
              <w:rPr>
                <w:rFonts w:hint="default"/>
                <w:b/>
                <w:bCs/>
                <w:sz w:val="24"/>
                <w:szCs w:val="24"/>
                <w:lang w:val="en-US" w:eastAsia="zh-CN"/>
              </w:rPr>
            </w:pPr>
            <w:r>
              <w:rPr>
                <w:rFonts w:hint="eastAsia"/>
                <w:b/>
                <w:bCs/>
                <w:sz w:val="24"/>
                <w:szCs w:val="24"/>
                <w:lang w:val="en-US" w:eastAsia="zh-CN"/>
              </w:rPr>
              <w:t>4.2.5固废</w:t>
            </w:r>
            <w:r>
              <w:rPr>
                <w:b/>
                <w:bCs/>
                <w:sz w:val="24"/>
                <w:szCs w:val="24"/>
              </w:rPr>
              <w:t>环境影响分析</w:t>
            </w:r>
          </w:p>
          <w:p w14:paraId="11B3BCFE">
            <w:pPr>
              <w:autoSpaceDE w:val="0"/>
              <w:autoSpaceDN w:val="0"/>
              <w:adjustRightInd w:val="0"/>
              <w:snapToGrid w:val="0"/>
              <w:spacing w:line="480" w:lineRule="exact"/>
              <w:ind w:firstLine="480" w:firstLineChars="200"/>
              <w:rPr>
                <w:rFonts w:hint="eastAsia"/>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本项目营运期固废主要为港船舶垃圾</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val="0"/>
                <w:bCs w:val="0"/>
                <w:kern w:val="2"/>
                <w:sz w:val="24"/>
                <w:szCs w:val="24"/>
                <w:highlight w:val="none"/>
                <w:lang w:eastAsia="zh-CN" w:bidi="ar"/>
              </w:rPr>
              <w:t>船舶生活垃圾收集后交由当地环卫部门接收处理；船舶保养产生的固体废物属于HW08类</w:t>
            </w:r>
            <w:r>
              <w:rPr>
                <w:rFonts w:hint="eastAsia" w:cs="Times New Roman"/>
                <w:b w:val="0"/>
                <w:bCs w:val="0"/>
                <w:kern w:val="2"/>
                <w:sz w:val="24"/>
                <w:szCs w:val="24"/>
                <w:highlight w:val="none"/>
                <w:lang w:eastAsia="zh-CN" w:bidi="ar"/>
              </w:rPr>
              <w:t>（</w:t>
            </w:r>
            <w:r>
              <w:rPr>
                <w:rFonts w:hint="default" w:ascii="Times New Roman" w:hAnsi="Times New Roman" w:eastAsia="宋体" w:cs="Times New Roman"/>
                <w:b w:val="0"/>
                <w:bCs w:val="0"/>
                <w:kern w:val="2"/>
                <w:sz w:val="24"/>
                <w:szCs w:val="24"/>
                <w:highlight w:val="none"/>
                <w:lang w:eastAsia="zh-CN" w:bidi="ar"/>
              </w:rPr>
              <w:t>代码900-214-08</w:t>
            </w:r>
            <w:r>
              <w:rPr>
                <w:rFonts w:hint="eastAsia" w:cs="Times New Roman"/>
                <w:b w:val="0"/>
                <w:bCs w:val="0"/>
                <w:kern w:val="2"/>
                <w:sz w:val="24"/>
                <w:szCs w:val="24"/>
                <w:highlight w:val="none"/>
                <w:lang w:eastAsia="zh-CN" w:bidi="ar"/>
              </w:rPr>
              <w:t>）</w:t>
            </w:r>
            <w:r>
              <w:rPr>
                <w:rFonts w:hint="default" w:ascii="Times New Roman" w:hAnsi="Times New Roman" w:eastAsia="宋体" w:cs="Times New Roman"/>
                <w:b w:val="0"/>
                <w:bCs w:val="0"/>
                <w:kern w:val="2"/>
                <w:sz w:val="24"/>
                <w:szCs w:val="24"/>
                <w:highlight w:val="none"/>
                <w:lang w:eastAsia="zh-CN" w:bidi="ar"/>
              </w:rPr>
              <w:t>交由海事部门指定有资质单位接收处理。</w:t>
            </w:r>
            <w:r>
              <w:rPr>
                <w:rFonts w:hint="eastAsia" w:cs="Times New Roman"/>
                <w:sz w:val="24"/>
                <w:szCs w:val="24"/>
                <w:highlight w:val="none"/>
                <w:lang w:val="en-US" w:eastAsia="zh-CN"/>
              </w:rPr>
              <w:t>综上所述，</w:t>
            </w:r>
            <w:r>
              <w:rPr>
                <w:rFonts w:hint="default" w:ascii="Times New Roman" w:hAnsi="Times New Roman" w:eastAsia="宋体" w:cs="Times New Roman"/>
                <w:kern w:val="0"/>
                <w:sz w:val="24"/>
                <w:szCs w:val="24"/>
                <w:highlight w:val="none"/>
              </w:rPr>
              <w:t>固废的处置情况来看，各类固废都得到了合理安全的处置，对周围环境的影响不大</w:t>
            </w:r>
            <w:r>
              <w:rPr>
                <w:rFonts w:hint="eastAsia" w:cs="Times New Roman"/>
                <w:kern w:val="0"/>
                <w:sz w:val="24"/>
                <w:szCs w:val="24"/>
                <w:highlight w:val="none"/>
                <w:lang w:eastAsia="zh-CN"/>
              </w:rPr>
              <w:t>。</w:t>
            </w:r>
          </w:p>
          <w:p w14:paraId="03E28F70">
            <w:pPr>
              <w:adjustRightInd w:val="0"/>
              <w:snapToGrid w:val="0"/>
              <w:spacing w:line="480" w:lineRule="exact"/>
              <w:ind w:firstLine="482" w:firstLineChars="200"/>
              <w:rPr>
                <w:b/>
                <w:bCs/>
                <w:sz w:val="24"/>
                <w:szCs w:val="24"/>
                <w:highlight w:val="none"/>
              </w:rPr>
            </w:pPr>
            <w:r>
              <w:rPr>
                <w:b/>
                <w:bCs/>
                <w:sz w:val="24"/>
                <w:szCs w:val="24"/>
                <w:highlight w:val="none"/>
              </w:rPr>
              <w:t>4.3环境风险分析</w:t>
            </w:r>
          </w:p>
          <w:p w14:paraId="198F536B">
            <w:pPr>
              <w:adjustRightInd w:val="0"/>
              <w:snapToGrid w:val="0"/>
              <w:spacing w:line="480" w:lineRule="exact"/>
              <w:ind w:firstLine="482"/>
              <w:rPr>
                <w:rFonts w:hint="eastAsia"/>
                <w:b/>
                <w:bCs/>
                <w:sz w:val="24"/>
                <w:szCs w:val="24"/>
                <w:lang w:val="en-US" w:eastAsia="zh-CN"/>
              </w:rPr>
            </w:pPr>
            <w:r>
              <w:rPr>
                <w:rFonts w:hint="eastAsia"/>
                <w:b/>
                <w:bCs/>
                <w:sz w:val="24"/>
                <w:szCs w:val="24"/>
                <w:lang w:val="en-US" w:eastAsia="zh-CN"/>
              </w:rPr>
              <w:t>4.3.1风险调查</w:t>
            </w:r>
          </w:p>
          <w:p w14:paraId="4C6A5F27">
            <w:pPr>
              <w:autoSpaceDE w:val="0"/>
              <w:autoSpaceDN w:val="0"/>
              <w:adjustRightInd w:val="0"/>
              <w:snapToGrid w:val="0"/>
              <w:spacing w:line="480" w:lineRule="exact"/>
              <w:ind w:firstLine="480" w:firstLineChars="200"/>
              <w:rPr>
                <w:sz w:val="24"/>
                <w:szCs w:val="24"/>
                <w:highlight w:val="none"/>
              </w:rPr>
            </w:pPr>
            <w:r>
              <w:rPr>
                <w:sz w:val="24"/>
                <w:szCs w:val="24"/>
                <w:highlight w:val="none"/>
              </w:rPr>
              <w:t>本</w:t>
            </w:r>
            <w:r>
              <w:rPr>
                <w:rFonts w:hint="eastAsia"/>
                <w:sz w:val="24"/>
                <w:szCs w:val="24"/>
                <w:highlight w:val="none"/>
                <w:lang w:val="en-US" w:eastAsia="zh-CN"/>
              </w:rPr>
              <w:t>项目为锚地项目</w:t>
            </w:r>
            <w:r>
              <w:rPr>
                <w:sz w:val="24"/>
                <w:szCs w:val="24"/>
                <w:highlight w:val="none"/>
              </w:rPr>
              <w:t>，经分析筛选，</w:t>
            </w:r>
            <w:r>
              <w:rPr>
                <w:rFonts w:hint="eastAsia"/>
                <w:sz w:val="24"/>
                <w:szCs w:val="24"/>
                <w:highlight w:val="none"/>
                <w:lang w:val="en-US" w:eastAsia="zh-CN"/>
              </w:rPr>
              <w:t>本工程</w:t>
            </w:r>
            <w:r>
              <w:rPr>
                <w:sz w:val="24"/>
                <w:szCs w:val="24"/>
                <w:highlight w:val="none"/>
              </w:rPr>
              <w:t>事故污染的环境主要为：</w:t>
            </w:r>
            <w:r>
              <w:rPr>
                <w:rFonts w:hint="eastAsia"/>
                <w:sz w:val="24"/>
                <w:szCs w:val="24"/>
                <w:highlight w:val="none"/>
                <w:lang w:eastAsia="zh-CN"/>
              </w:rPr>
              <w:t>（</w:t>
            </w:r>
            <w:r>
              <w:rPr>
                <w:rFonts w:hint="eastAsia"/>
                <w:sz w:val="24"/>
                <w:szCs w:val="24"/>
                <w:highlight w:val="none"/>
                <w:lang w:val="en-US" w:eastAsia="zh-CN"/>
              </w:rPr>
              <w:t>1</w:t>
            </w:r>
            <w:r>
              <w:rPr>
                <w:rFonts w:hint="eastAsia"/>
                <w:sz w:val="24"/>
                <w:szCs w:val="24"/>
                <w:highlight w:val="none"/>
                <w:lang w:eastAsia="zh-CN"/>
              </w:rPr>
              <w:t>）</w:t>
            </w:r>
            <w:r>
              <w:rPr>
                <w:rFonts w:hint="eastAsia"/>
                <w:sz w:val="24"/>
                <w:szCs w:val="24"/>
                <w:highlight w:val="none"/>
                <w:lang w:val="en-US" w:eastAsia="zh-CN"/>
              </w:rPr>
              <w:t>施工</w:t>
            </w:r>
            <w:r>
              <w:rPr>
                <w:rFonts w:hint="eastAsia" w:ascii="Times New Roman" w:hAnsi="Times New Roman" w:eastAsia="宋体" w:cs="Times New Roman"/>
                <w:sz w:val="24"/>
                <w:szCs w:val="24"/>
                <w:highlight w:val="none"/>
                <w:lang w:val="en-US" w:eastAsia="zh-CN"/>
              </w:rPr>
              <w:t>期</w:t>
            </w:r>
            <w:r>
              <w:rPr>
                <w:rFonts w:hint="default" w:ascii="Times New Roman" w:hAnsi="Times New Roman" w:eastAsia="宋体" w:cs="Times New Roman"/>
                <w:sz w:val="24"/>
                <w:szCs w:val="24"/>
                <w:highlight w:val="none"/>
                <w:lang w:val="en-US" w:eastAsia="zh-CN"/>
              </w:rPr>
              <w:t>挖泥船发生碰撞，造成燃油箱破损柴油泄漏入河事故</w:t>
            </w:r>
            <w:r>
              <w:rPr>
                <w:rFonts w:hint="eastAsia"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运营期</w:t>
            </w:r>
            <w:r>
              <w:rPr>
                <w:rFonts w:hint="default" w:ascii="Times New Roman" w:hAnsi="Times New Roman" w:eastAsia="宋体" w:cs="Times New Roman"/>
                <w:sz w:val="24"/>
                <w:szCs w:val="24"/>
                <w:highlight w:val="none"/>
                <w:lang w:val="en-US" w:eastAsia="zh-CN"/>
              </w:rPr>
              <w:t>到（离）船舶发生碰</w:t>
            </w:r>
            <w:r>
              <w:rPr>
                <w:sz w:val="24"/>
                <w:szCs w:val="24"/>
                <w:highlight w:val="none"/>
              </w:rPr>
              <w:t>撞造成燃料油箱破裂，导致燃料油泄漏。</w:t>
            </w:r>
          </w:p>
          <w:p w14:paraId="2338E19A">
            <w:pPr>
              <w:adjustRightInd w:val="0"/>
              <w:snapToGrid w:val="0"/>
              <w:spacing w:line="480" w:lineRule="exact"/>
              <w:ind w:firstLine="480" w:firstLineChars="200"/>
              <w:rPr>
                <w:sz w:val="24"/>
                <w:szCs w:val="24"/>
                <w:highlight w:val="none"/>
              </w:rPr>
            </w:pPr>
            <w:r>
              <w:rPr>
                <w:sz w:val="24"/>
                <w:szCs w:val="24"/>
                <w:highlight w:val="none"/>
              </w:rPr>
              <w:t>根据以往事故发生的规律，船舶事故主要发生在</w:t>
            </w:r>
            <w:r>
              <w:rPr>
                <w:rFonts w:hint="eastAsia"/>
                <w:sz w:val="24"/>
                <w:szCs w:val="24"/>
                <w:highlight w:val="none"/>
                <w:lang w:val="en-US" w:eastAsia="zh-CN"/>
              </w:rPr>
              <w:t>锚地</w:t>
            </w:r>
            <w:r>
              <w:rPr>
                <w:sz w:val="24"/>
                <w:szCs w:val="24"/>
                <w:highlight w:val="none"/>
              </w:rPr>
              <w:t>和</w:t>
            </w:r>
            <w:r>
              <w:rPr>
                <w:rFonts w:hint="eastAsia"/>
                <w:sz w:val="24"/>
                <w:szCs w:val="24"/>
                <w:highlight w:val="none"/>
                <w:lang w:val="en-US" w:eastAsia="zh-CN"/>
              </w:rPr>
              <w:t>疏浚施工点处</w:t>
            </w:r>
            <w:r>
              <w:rPr>
                <w:sz w:val="24"/>
                <w:szCs w:val="24"/>
                <w:highlight w:val="none"/>
              </w:rPr>
              <w:t>。根据多项事故类型和事故诱因的统计分析，船舶航行事故占各类事故的70%，且90%的船舶航行事故发生于港区或沿岸地区。</w:t>
            </w:r>
          </w:p>
          <w:p w14:paraId="7B405B0E">
            <w:pPr>
              <w:pStyle w:val="112"/>
              <w:spacing w:line="480" w:lineRule="exact"/>
              <w:ind w:firstLine="482" w:firstLineChars="200"/>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经识别，本工程事故风险主要来源为突发性事故溢油泄漏。</w:t>
            </w:r>
          </w:p>
          <w:p w14:paraId="4AC59B1C">
            <w:pPr>
              <w:adjustRightInd w:val="0"/>
              <w:snapToGrid w:val="0"/>
              <w:spacing w:line="480" w:lineRule="exact"/>
              <w:ind w:firstLine="482"/>
              <w:rPr>
                <w:rFonts w:hint="eastAsia"/>
                <w:b/>
                <w:bCs/>
                <w:sz w:val="24"/>
                <w:szCs w:val="24"/>
                <w:lang w:val="en-US" w:eastAsia="zh-CN"/>
              </w:rPr>
            </w:pPr>
            <w:r>
              <w:rPr>
                <w:rFonts w:hint="eastAsia"/>
                <w:b/>
                <w:bCs/>
                <w:sz w:val="24"/>
                <w:szCs w:val="24"/>
                <w:lang w:val="en-US" w:eastAsia="zh-CN"/>
              </w:rPr>
              <w:t>4.3.2风险潜势初判</w:t>
            </w:r>
          </w:p>
          <w:p w14:paraId="017BA6A3">
            <w:pPr>
              <w:spacing w:line="480" w:lineRule="exact"/>
              <w:ind w:firstLine="480"/>
              <w:rPr>
                <w:sz w:val="24"/>
                <w:szCs w:val="24"/>
                <w:highlight w:val="none"/>
              </w:rPr>
            </w:pPr>
            <w:r>
              <w:rPr>
                <w:sz w:val="24"/>
                <w:szCs w:val="24"/>
                <w:highlight w:val="none"/>
              </w:rPr>
              <w:t>（1）危险物质及工艺系统危害性（P）的确定</w:t>
            </w:r>
          </w:p>
          <w:p w14:paraId="263FD95C">
            <w:pPr>
              <w:spacing w:line="480" w:lineRule="exact"/>
              <w:ind w:firstLine="480"/>
              <w:rPr>
                <w:sz w:val="24"/>
                <w:szCs w:val="24"/>
                <w:highlight w:val="none"/>
              </w:rPr>
            </w:pPr>
            <w:r>
              <w:rPr>
                <w:sz w:val="24"/>
                <w:szCs w:val="24"/>
                <w:highlight w:val="none"/>
              </w:rPr>
              <w:t>根据《建设项目环境风险评价技术导则》（HJ 169</w:t>
            </w:r>
            <w:r>
              <w:rPr>
                <w:rFonts w:hint="eastAsia"/>
                <w:sz w:val="24"/>
                <w:szCs w:val="24"/>
                <w:highlight w:val="none"/>
              </w:rPr>
              <w:t>-</w:t>
            </w:r>
            <w:r>
              <w:rPr>
                <w:sz w:val="24"/>
                <w:szCs w:val="24"/>
                <w:highlight w:val="none"/>
              </w:rPr>
              <w:t>2018），危险物质及工艺系统危害性（P）应根据危险物质数量与临界量的比值（Q）和行业及生产工艺（M）确定。</w:t>
            </w:r>
          </w:p>
          <w:p w14:paraId="3516BC54">
            <w:pPr>
              <w:spacing w:line="480" w:lineRule="exact"/>
              <w:ind w:firstLine="480"/>
              <w:rPr>
                <w:sz w:val="24"/>
                <w:szCs w:val="24"/>
                <w:highlight w:val="none"/>
              </w:rPr>
            </w:pPr>
            <w:r>
              <w:rPr>
                <w:sz w:val="24"/>
                <w:szCs w:val="24"/>
                <w:highlight w:val="none"/>
              </w:rPr>
              <w:t>（2）Q值确定</w:t>
            </w:r>
          </w:p>
          <w:p w14:paraId="633ACABD">
            <w:pPr>
              <w:spacing w:line="480" w:lineRule="exact"/>
              <w:ind w:firstLine="480"/>
              <w:rPr>
                <w:sz w:val="24"/>
                <w:szCs w:val="24"/>
                <w:highlight w:val="none"/>
              </w:rPr>
            </w:pPr>
            <w:r>
              <w:rPr>
                <w:sz w:val="24"/>
                <w:szCs w:val="24"/>
                <w:highlight w:val="none"/>
              </w:rPr>
              <w:t>根据《建设项目环境风险评价技术导则》（HJ 169－2018）附录C，Q按下式进行计算：</w:t>
            </w:r>
          </w:p>
          <w:p w14:paraId="5642C5CC">
            <w:pPr>
              <w:jc w:val="center"/>
              <w:rPr>
                <w:sz w:val="24"/>
                <w:szCs w:val="24"/>
                <w:highlight w:val="none"/>
              </w:rPr>
            </w:pPr>
            <w:r>
              <w:rPr>
                <w:sz w:val="24"/>
                <w:szCs w:val="24"/>
                <w:highlight w:val="none"/>
              </w:rPr>
              <w:drawing>
                <wp:inline distT="0" distB="0" distL="114300" distR="114300">
                  <wp:extent cx="1924050" cy="601345"/>
                  <wp:effectExtent l="0" t="0" r="0" b="825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1"/>
                          <a:stretch>
                            <a:fillRect/>
                          </a:stretch>
                        </pic:blipFill>
                        <pic:spPr>
                          <a:xfrm>
                            <a:off x="0" y="0"/>
                            <a:ext cx="1924050" cy="601345"/>
                          </a:xfrm>
                          <a:prstGeom prst="rect">
                            <a:avLst/>
                          </a:prstGeom>
                          <a:noFill/>
                          <a:ln>
                            <a:noFill/>
                          </a:ln>
                        </pic:spPr>
                      </pic:pic>
                    </a:graphicData>
                  </a:graphic>
                </wp:inline>
              </w:drawing>
            </w:r>
          </w:p>
          <w:p w14:paraId="32C58877">
            <w:pPr>
              <w:spacing w:line="480" w:lineRule="exact"/>
              <w:ind w:firstLine="480" w:firstLineChars="200"/>
              <w:rPr>
                <w:sz w:val="24"/>
                <w:szCs w:val="24"/>
                <w:highlight w:val="none"/>
              </w:rPr>
            </w:pPr>
            <w:r>
              <w:rPr>
                <w:sz w:val="24"/>
                <w:szCs w:val="24"/>
                <w:highlight w:val="none"/>
              </w:rPr>
              <w:t>式中：q1，q2……qn—每种危险物质的最大存在量，t；</w:t>
            </w:r>
          </w:p>
          <w:p w14:paraId="5CDAD05D">
            <w:pPr>
              <w:spacing w:line="480" w:lineRule="exact"/>
              <w:ind w:firstLine="720" w:firstLineChars="300"/>
              <w:rPr>
                <w:sz w:val="24"/>
                <w:szCs w:val="24"/>
                <w:highlight w:val="none"/>
              </w:rPr>
            </w:pPr>
            <w:r>
              <w:rPr>
                <w:sz w:val="24"/>
                <w:szCs w:val="24"/>
                <w:highlight w:val="none"/>
              </w:rPr>
              <w:t>Q1，Q2…Qn—每种危险物质的临界量，t；</w:t>
            </w:r>
          </w:p>
          <w:p w14:paraId="0FB47ECD">
            <w:pPr>
              <w:spacing w:line="480" w:lineRule="exact"/>
              <w:ind w:firstLine="720" w:firstLineChars="300"/>
              <w:rPr>
                <w:sz w:val="24"/>
                <w:szCs w:val="24"/>
                <w:highlight w:val="none"/>
              </w:rPr>
            </w:pPr>
            <w:r>
              <w:rPr>
                <w:sz w:val="24"/>
                <w:szCs w:val="24"/>
                <w:highlight w:val="none"/>
              </w:rPr>
              <w:t>当Q＜1时，该项目环境风险潜势为I；</w:t>
            </w:r>
          </w:p>
          <w:p w14:paraId="2370A75A">
            <w:pPr>
              <w:spacing w:line="480" w:lineRule="exact"/>
              <w:ind w:firstLine="720" w:firstLineChars="300"/>
              <w:rPr>
                <w:sz w:val="24"/>
                <w:szCs w:val="24"/>
                <w:highlight w:val="none"/>
              </w:rPr>
            </w:pPr>
            <w:r>
              <w:rPr>
                <w:sz w:val="24"/>
                <w:szCs w:val="24"/>
                <w:highlight w:val="none"/>
              </w:rPr>
              <w:t>当Q≥1时，将Q值划分为：（1）1≤Q＜10；（2）10≤Q＜100；（3）Q≥100。</w:t>
            </w:r>
          </w:p>
          <w:p w14:paraId="2740B8A6">
            <w:pPr>
              <w:spacing w:line="480" w:lineRule="exact"/>
              <w:ind w:firstLine="480"/>
              <w:rPr>
                <w:sz w:val="24"/>
                <w:szCs w:val="24"/>
                <w:highlight w:val="none"/>
              </w:rPr>
            </w:pPr>
            <w:r>
              <w:rPr>
                <w:sz w:val="24"/>
                <w:szCs w:val="24"/>
                <w:highlight w:val="none"/>
              </w:rPr>
              <w:t>根据《建设项目环境风险技术导则》（HJ169-2018）和《危险化学品重大危险源辨识》（GB18218-2018），长期或临时生产、加工、搬运、使用或储存危险物质，且危险物质的数量等于或超过临界量的单元均为重大危险源。经过危险物质识别和生产过程分析，码头重大危险源辨识相关物质主要为船舶进出港事故过程中溢出的燃料油（轻柴油）。</w:t>
            </w:r>
          </w:p>
          <w:p w14:paraId="31AB276D">
            <w:pPr>
              <w:spacing w:line="480" w:lineRule="exact"/>
              <w:ind w:firstLine="480"/>
              <w:rPr>
                <w:sz w:val="24"/>
                <w:szCs w:val="24"/>
                <w:highlight w:val="none"/>
              </w:rPr>
            </w:pPr>
            <w:r>
              <w:rPr>
                <w:sz w:val="24"/>
                <w:szCs w:val="24"/>
                <w:highlight w:val="none"/>
              </w:rPr>
              <w:t>根据《水上溢油环境风险评估技术导则》（HJ/T1143-2017），新建水运工程建设项目的可能最大水上溢油事故溢油量，按照设计代表船型的1个货油燃料油边舱的容积确定。根据《水上溢油环境风险评估技术导则》（JT T 1143-2017），1000~3000吨级成品油船单个货舱油量82~319m</w:t>
            </w:r>
            <w:r>
              <w:rPr>
                <w:sz w:val="24"/>
                <w:szCs w:val="24"/>
                <w:highlight w:val="none"/>
                <w:vertAlign w:val="superscript"/>
              </w:rPr>
              <w:t>3</w:t>
            </w:r>
            <w:r>
              <w:rPr>
                <w:rFonts w:hint="eastAsia"/>
                <w:sz w:val="24"/>
                <w:szCs w:val="24"/>
                <w:highlight w:val="none"/>
                <w:lang w:eastAsia="zh-CN"/>
              </w:rPr>
              <w:t>，</w:t>
            </w:r>
            <w:r>
              <w:rPr>
                <w:sz w:val="24"/>
                <w:szCs w:val="24"/>
                <w:highlight w:val="none"/>
              </w:rPr>
              <w:t>本项目设计船型为</w:t>
            </w:r>
            <w:r>
              <w:rPr>
                <w:rFonts w:hint="eastAsia"/>
                <w:sz w:val="24"/>
                <w:szCs w:val="24"/>
                <w:highlight w:val="none"/>
                <w:lang w:val="en-US" w:eastAsia="zh-CN"/>
              </w:rPr>
              <w:t>10</w:t>
            </w:r>
            <w:r>
              <w:rPr>
                <w:sz w:val="24"/>
                <w:szCs w:val="24"/>
                <w:highlight w:val="none"/>
              </w:rPr>
              <w:t>00吨，根据调查，</w:t>
            </w:r>
            <w:r>
              <w:rPr>
                <w:rFonts w:hint="eastAsia"/>
                <w:sz w:val="24"/>
                <w:szCs w:val="24"/>
                <w:highlight w:val="none"/>
                <w:lang w:val="en-US" w:eastAsia="zh-CN"/>
              </w:rPr>
              <w:t>10</w:t>
            </w:r>
            <w:r>
              <w:rPr>
                <w:sz w:val="24"/>
                <w:szCs w:val="24"/>
                <w:highlight w:val="none"/>
              </w:rPr>
              <w:t>00吨散货船单舱燃油量一般在</w:t>
            </w:r>
            <w:r>
              <w:rPr>
                <w:rFonts w:hint="eastAsia"/>
                <w:sz w:val="24"/>
                <w:szCs w:val="24"/>
                <w:highlight w:val="none"/>
                <w:lang w:val="en-US" w:eastAsia="zh-CN"/>
              </w:rPr>
              <w:t>70</w:t>
            </w:r>
            <w:r>
              <w:rPr>
                <w:rFonts w:hint="eastAsia"/>
                <w:sz w:val="24"/>
                <w:szCs w:val="24"/>
                <w:highlight w:val="none"/>
              </w:rPr>
              <w:t>t</w:t>
            </w:r>
            <w:r>
              <w:rPr>
                <w:sz w:val="24"/>
                <w:szCs w:val="24"/>
                <w:highlight w:val="none"/>
              </w:rPr>
              <w:t>左右，因此本项目营运期停靠船舶在进港或离港期间发生碰撞造成的船舶燃料油泄漏量取</w:t>
            </w:r>
            <w:r>
              <w:rPr>
                <w:rFonts w:hint="eastAsia"/>
                <w:sz w:val="24"/>
                <w:szCs w:val="24"/>
                <w:highlight w:val="none"/>
                <w:lang w:val="en-US" w:eastAsia="zh-CN"/>
              </w:rPr>
              <w:t>70</w:t>
            </w:r>
            <w:r>
              <w:rPr>
                <w:sz w:val="24"/>
                <w:szCs w:val="24"/>
                <w:highlight w:val="none"/>
              </w:rPr>
              <w:t>t/次。</w:t>
            </w:r>
          </w:p>
          <w:p w14:paraId="03C6802E">
            <w:pPr>
              <w:adjustRightInd w:val="0"/>
              <w:snapToGrid w:val="0"/>
              <w:spacing w:line="480" w:lineRule="exact"/>
              <w:ind w:firstLine="480" w:firstLineChars="200"/>
              <w:rPr>
                <w:sz w:val="24"/>
                <w:szCs w:val="24"/>
                <w:highlight w:val="none"/>
              </w:rPr>
            </w:pPr>
            <w:r>
              <w:rPr>
                <w:sz w:val="24"/>
                <w:szCs w:val="24"/>
                <w:highlight w:val="none"/>
              </w:rPr>
              <w:t>本项目Q值确定见下表</w:t>
            </w:r>
            <w:r>
              <w:rPr>
                <w:rFonts w:hint="eastAsia"/>
                <w:sz w:val="24"/>
                <w:szCs w:val="24"/>
                <w:highlight w:val="none"/>
              </w:rPr>
              <w:t>：</w:t>
            </w:r>
          </w:p>
          <w:p w14:paraId="64F2CA02">
            <w:pPr>
              <w:spacing w:line="480" w:lineRule="exact"/>
              <w:jc w:val="center"/>
              <w:rPr>
                <w:rFonts w:eastAsia="黑体"/>
                <w:sz w:val="24"/>
                <w:szCs w:val="24"/>
                <w:highlight w:val="none"/>
                <w:lang w:val="zh-CN"/>
              </w:rPr>
            </w:pPr>
            <w:r>
              <w:rPr>
                <w:rFonts w:hint="default" w:ascii="Times New Roman" w:hAnsi="Times New Roman" w:eastAsia="宋体" w:cs="Times New Roman"/>
                <w:b/>
                <w:bCs/>
                <w:kern w:val="2"/>
                <w:sz w:val="24"/>
                <w:szCs w:val="24"/>
                <w:lang w:val="zh-CN" w:eastAsia="zh-CN" w:bidi="ar-SA"/>
              </w:rPr>
              <w:t>表</w:t>
            </w:r>
            <w:r>
              <w:rPr>
                <w:rFonts w:hint="default" w:ascii="Times New Roman" w:hAnsi="Times New Roman" w:eastAsia="宋体" w:cs="Times New Roman"/>
                <w:b/>
                <w:bCs/>
                <w:kern w:val="2"/>
                <w:sz w:val="24"/>
                <w:szCs w:val="24"/>
                <w:lang w:val="en-US" w:eastAsia="zh-CN" w:bidi="ar-SA"/>
              </w:rPr>
              <w:t>4</w:t>
            </w:r>
            <w:r>
              <w:rPr>
                <w:rFonts w:hint="default" w:ascii="Times New Roman" w:hAnsi="Times New Roman" w:eastAsia="宋体" w:cs="Times New Roman"/>
                <w:b/>
                <w:bCs/>
                <w:kern w:val="2"/>
                <w:sz w:val="24"/>
                <w:szCs w:val="24"/>
                <w:lang w:val="zh-CN" w:eastAsia="zh-CN" w:bidi="ar-SA"/>
              </w:rPr>
              <w:t>.</w:t>
            </w:r>
            <w:r>
              <w:rPr>
                <w:rFonts w:hint="default" w:ascii="Times New Roman" w:hAnsi="Times New Roman" w:eastAsia="宋体" w:cs="Times New Roman"/>
                <w:b/>
                <w:bCs/>
                <w:kern w:val="2"/>
                <w:sz w:val="24"/>
                <w:szCs w:val="24"/>
                <w:lang w:val="en-US" w:eastAsia="zh-CN" w:bidi="ar-SA"/>
              </w:rPr>
              <w:t>3</w:t>
            </w:r>
            <w:r>
              <w:rPr>
                <w:rFonts w:hint="default" w:ascii="Times New Roman" w:hAnsi="Times New Roman" w:eastAsia="宋体" w:cs="Times New Roman"/>
                <w:b/>
                <w:bCs/>
                <w:kern w:val="2"/>
                <w:sz w:val="24"/>
                <w:szCs w:val="24"/>
                <w:lang w:val="zh-CN" w:eastAsia="zh-CN" w:bidi="ar-SA"/>
              </w:rPr>
              <w:t>-1  建设项目Q值确定表</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51"/>
              <w:gridCol w:w="1717"/>
              <w:gridCol w:w="1516"/>
              <w:gridCol w:w="2067"/>
              <w:gridCol w:w="1248"/>
              <w:gridCol w:w="1436"/>
            </w:tblGrid>
            <w:tr w14:paraId="26CE6A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0" w:type="pct"/>
                  <w:tcBorders>
                    <w:tl2br w:val="nil"/>
                    <w:tr2bl w:val="nil"/>
                  </w:tcBorders>
                  <w:noWrap w:val="0"/>
                  <w:vAlign w:val="center"/>
                </w:tcPr>
                <w:p w14:paraId="1087B088">
                  <w:pPr>
                    <w:widowControl/>
                    <w:adjustRightInd w:val="0"/>
                    <w:snapToGrid w:val="0"/>
                    <w:jc w:val="center"/>
                    <w:rPr>
                      <w:sz w:val="24"/>
                      <w:szCs w:val="24"/>
                      <w:highlight w:val="none"/>
                    </w:rPr>
                  </w:pPr>
                  <w:r>
                    <w:rPr>
                      <w:sz w:val="24"/>
                      <w:szCs w:val="24"/>
                      <w:highlight w:val="none"/>
                    </w:rPr>
                    <w:t>序号</w:t>
                  </w:r>
                </w:p>
              </w:tc>
              <w:tc>
                <w:tcPr>
                  <w:tcW w:w="940" w:type="pct"/>
                  <w:tcBorders>
                    <w:tl2br w:val="nil"/>
                    <w:tr2bl w:val="nil"/>
                  </w:tcBorders>
                  <w:noWrap w:val="0"/>
                  <w:vAlign w:val="center"/>
                </w:tcPr>
                <w:p w14:paraId="6E5FC954">
                  <w:pPr>
                    <w:widowControl/>
                    <w:adjustRightInd w:val="0"/>
                    <w:snapToGrid w:val="0"/>
                    <w:jc w:val="center"/>
                    <w:rPr>
                      <w:sz w:val="24"/>
                      <w:szCs w:val="24"/>
                      <w:highlight w:val="none"/>
                    </w:rPr>
                  </w:pPr>
                  <w:r>
                    <w:rPr>
                      <w:sz w:val="24"/>
                      <w:szCs w:val="24"/>
                      <w:highlight w:val="none"/>
                    </w:rPr>
                    <w:t>危险物质名称</w:t>
                  </w:r>
                </w:p>
              </w:tc>
              <w:tc>
                <w:tcPr>
                  <w:tcW w:w="830" w:type="pct"/>
                  <w:tcBorders>
                    <w:tl2br w:val="nil"/>
                    <w:tr2bl w:val="nil"/>
                  </w:tcBorders>
                  <w:noWrap w:val="0"/>
                  <w:vAlign w:val="center"/>
                </w:tcPr>
                <w:p w14:paraId="74B10E34">
                  <w:pPr>
                    <w:widowControl/>
                    <w:adjustRightInd w:val="0"/>
                    <w:snapToGrid w:val="0"/>
                    <w:jc w:val="center"/>
                    <w:rPr>
                      <w:sz w:val="24"/>
                      <w:szCs w:val="24"/>
                      <w:highlight w:val="none"/>
                    </w:rPr>
                  </w:pPr>
                  <w:r>
                    <w:rPr>
                      <w:sz w:val="24"/>
                      <w:szCs w:val="24"/>
                      <w:highlight w:val="none"/>
                    </w:rPr>
                    <w:t>CAS号</w:t>
                  </w:r>
                </w:p>
              </w:tc>
              <w:tc>
                <w:tcPr>
                  <w:tcW w:w="1131" w:type="pct"/>
                  <w:tcBorders>
                    <w:tl2br w:val="nil"/>
                    <w:tr2bl w:val="nil"/>
                  </w:tcBorders>
                  <w:noWrap w:val="0"/>
                  <w:vAlign w:val="center"/>
                </w:tcPr>
                <w:p w14:paraId="76B4322C">
                  <w:pPr>
                    <w:widowControl/>
                    <w:adjustRightInd w:val="0"/>
                    <w:snapToGrid w:val="0"/>
                    <w:jc w:val="center"/>
                    <w:rPr>
                      <w:sz w:val="24"/>
                      <w:szCs w:val="24"/>
                      <w:highlight w:val="none"/>
                    </w:rPr>
                  </w:pPr>
                  <w:r>
                    <w:rPr>
                      <w:sz w:val="24"/>
                      <w:szCs w:val="24"/>
                      <w:highlight w:val="none"/>
                    </w:rPr>
                    <w:t>最大存在总量</w:t>
                  </w:r>
                  <w:r>
                    <w:rPr>
                      <w:i/>
                      <w:iCs/>
                      <w:sz w:val="24"/>
                      <w:szCs w:val="24"/>
                      <w:highlight w:val="none"/>
                    </w:rPr>
                    <w:t>qn</w:t>
                  </w:r>
                  <w:r>
                    <w:rPr>
                      <w:sz w:val="24"/>
                      <w:szCs w:val="24"/>
                      <w:highlight w:val="none"/>
                    </w:rPr>
                    <w:t>/t</w:t>
                  </w:r>
                </w:p>
              </w:tc>
              <w:tc>
                <w:tcPr>
                  <w:tcW w:w="683" w:type="pct"/>
                  <w:tcBorders>
                    <w:tl2br w:val="nil"/>
                    <w:tr2bl w:val="nil"/>
                  </w:tcBorders>
                  <w:noWrap w:val="0"/>
                  <w:vAlign w:val="center"/>
                </w:tcPr>
                <w:p w14:paraId="59FCF8DB">
                  <w:pPr>
                    <w:widowControl/>
                    <w:adjustRightInd w:val="0"/>
                    <w:snapToGrid w:val="0"/>
                    <w:jc w:val="center"/>
                    <w:rPr>
                      <w:sz w:val="24"/>
                      <w:szCs w:val="24"/>
                      <w:highlight w:val="none"/>
                    </w:rPr>
                  </w:pPr>
                  <w:r>
                    <w:rPr>
                      <w:sz w:val="24"/>
                      <w:szCs w:val="24"/>
                      <w:highlight w:val="none"/>
                    </w:rPr>
                    <w:t>临界量</w:t>
                  </w:r>
                  <w:r>
                    <w:rPr>
                      <w:i/>
                      <w:iCs/>
                      <w:sz w:val="24"/>
                      <w:szCs w:val="24"/>
                      <w:highlight w:val="none"/>
                    </w:rPr>
                    <w:t>Qn</w:t>
                  </w:r>
                  <w:r>
                    <w:rPr>
                      <w:sz w:val="24"/>
                      <w:szCs w:val="24"/>
                      <w:highlight w:val="none"/>
                    </w:rPr>
                    <w:t>/t</w:t>
                  </w:r>
                </w:p>
              </w:tc>
              <w:tc>
                <w:tcPr>
                  <w:tcW w:w="786" w:type="pct"/>
                  <w:tcBorders>
                    <w:tl2br w:val="nil"/>
                    <w:tr2bl w:val="nil"/>
                  </w:tcBorders>
                  <w:noWrap w:val="0"/>
                  <w:vAlign w:val="center"/>
                </w:tcPr>
                <w:p w14:paraId="4136D75B">
                  <w:pPr>
                    <w:widowControl/>
                    <w:adjustRightInd w:val="0"/>
                    <w:snapToGrid w:val="0"/>
                    <w:jc w:val="center"/>
                    <w:rPr>
                      <w:sz w:val="24"/>
                      <w:szCs w:val="24"/>
                      <w:highlight w:val="none"/>
                    </w:rPr>
                  </w:pPr>
                  <w:r>
                    <w:rPr>
                      <w:sz w:val="24"/>
                      <w:szCs w:val="24"/>
                      <w:highlight w:val="none"/>
                    </w:rPr>
                    <w:t>该种危险物质</w:t>
                  </w:r>
                  <w:r>
                    <w:rPr>
                      <w:i/>
                      <w:iCs/>
                      <w:sz w:val="24"/>
                      <w:szCs w:val="24"/>
                      <w:highlight w:val="none"/>
                    </w:rPr>
                    <w:t>Q</w:t>
                  </w:r>
                  <w:r>
                    <w:rPr>
                      <w:sz w:val="24"/>
                      <w:szCs w:val="24"/>
                      <w:highlight w:val="none"/>
                    </w:rPr>
                    <w:t>值</w:t>
                  </w:r>
                </w:p>
              </w:tc>
            </w:tr>
            <w:tr w14:paraId="66A047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0" w:type="pct"/>
                  <w:tcBorders>
                    <w:tl2br w:val="nil"/>
                    <w:tr2bl w:val="nil"/>
                  </w:tcBorders>
                  <w:noWrap w:val="0"/>
                  <w:vAlign w:val="center"/>
                </w:tcPr>
                <w:p w14:paraId="71D2BFA0">
                  <w:pPr>
                    <w:widowControl/>
                    <w:adjustRightInd w:val="0"/>
                    <w:snapToGrid w:val="0"/>
                    <w:jc w:val="center"/>
                    <w:rPr>
                      <w:sz w:val="24"/>
                      <w:szCs w:val="24"/>
                      <w:highlight w:val="none"/>
                    </w:rPr>
                  </w:pPr>
                  <w:r>
                    <w:rPr>
                      <w:sz w:val="24"/>
                      <w:szCs w:val="24"/>
                      <w:highlight w:val="none"/>
                    </w:rPr>
                    <w:t>1</w:t>
                  </w:r>
                </w:p>
              </w:tc>
              <w:tc>
                <w:tcPr>
                  <w:tcW w:w="940" w:type="pct"/>
                  <w:tcBorders>
                    <w:tl2br w:val="nil"/>
                    <w:tr2bl w:val="nil"/>
                  </w:tcBorders>
                  <w:noWrap w:val="0"/>
                  <w:vAlign w:val="center"/>
                </w:tcPr>
                <w:p w14:paraId="4B636DB6">
                  <w:pPr>
                    <w:widowControl/>
                    <w:adjustRightInd w:val="0"/>
                    <w:snapToGrid w:val="0"/>
                    <w:jc w:val="center"/>
                    <w:rPr>
                      <w:sz w:val="24"/>
                      <w:szCs w:val="24"/>
                      <w:highlight w:val="none"/>
                    </w:rPr>
                  </w:pPr>
                  <w:r>
                    <w:rPr>
                      <w:sz w:val="24"/>
                      <w:szCs w:val="24"/>
                      <w:highlight w:val="none"/>
                    </w:rPr>
                    <w:t>燃料油</w:t>
                  </w:r>
                </w:p>
              </w:tc>
              <w:tc>
                <w:tcPr>
                  <w:tcW w:w="830" w:type="pct"/>
                  <w:tcBorders>
                    <w:tl2br w:val="nil"/>
                    <w:tr2bl w:val="nil"/>
                  </w:tcBorders>
                  <w:noWrap w:val="0"/>
                  <w:vAlign w:val="center"/>
                </w:tcPr>
                <w:p w14:paraId="17A43ADE">
                  <w:pPr>
                    <w:widowControl/>
                    <w:adjustRightInd w:val="0"/>
                    <w:snapToGrid w:val="0"/>
                    <w:jc w:val="center"/>
                    <w:rPr>
                      <w:sz w:val="24"/>
                      <w:szCs w:val="24"/>
                      <w:highlight w:val="none"/>
                    </w:rPr>
                  </w:pPr>
                  <w:r>
                    <w:rPr>
                      <w:sz w:val="24"/>
                      <w:szCs w:val="24"/>
                      <w:highlight w:val="none"/>
                    </w:rPr>
                    <w:t>/</w:t>
                  </w:r>
                </w:p>
              </w:tc>
              <w:tc>
                <w:tcPr>
                  <w:tcW w:w="1131" w:type="pct"/>
                  <w:tcBorders>
                    <w:tl2br w:val="nil"/>
                    <w:tr2bl w:val="nil"/>
                  </w:tcBorders>
                  <w:noWrap w:val="0"/>
                  <w:vAlign w:val="center"/>
                </w:tcPr>
                <w:p w14:paraId="67939B58">
                  <w:pPr>
                    <w:widowControl/>
                    <w:adjustRightInd w:val="0"/>
                    <w:snapToGrid w:val="0"/>
                    <w:jc w:val="center"/>
                    <w:rPr>
                      <w:sz w:val="24"/>
                      <w:szCs w:val="24"/>
                      <w:highlight w:val="none"/>
                    </w:rPr>
                  </w:pPr>
                  <w:r>
                    <w:rPr>
                      <w:rFonts w:hint="eastAsia"/>
                      <w:sz w:val="24"/>
                      <w:szCs w:val="24"/>
                      <w:highlight w:val="none"/>
                      <w:lang w:val="en-US" w:eastAsia="zh-CN"/>
                    </w:rPr>
                    <w:t>840</w:t>
                  </w:r>
                  <w:r>
                    <w:rPr>
                      <w:sz w:val="24"/>
                      <w:szCs w:val="24"/>
                      <w:highlight w:val="none"/>
                    </w:rPr>
                    <w:t>（</w:t>
                  </w:r>
                  <w:r>
                    <w:rPr>
                      <w:rFonts w:hint="eastAsia"/>
                      <w:sz w:val="24"/>
                      <w:szCs w:val="24"/>
                      <w:highlight w:val="none"/>
                      <w:lang w:val="en-US" w:eastAsia="zh-CN"/>
                    </w:rPr>
                    <w:t>70</w:t>
                  </w:r>
                  <w:r>
                    <w:rPr>
                      <w:sz w:val="24"/>
                      <w:szCs w:val="24"/>
                      <w:highlight w:val="none"/>
                    </w:rPr>
                    <w:t>*</w:t>
                  </w:r>
                  <w:r>
                    <w:rPr>
                      <w:rFonts w:hint="eastAsia"/>
                      <w:sz w:val="24"/>
                      <w:szCs w:val="24"/>
                      <w:highlight w:val="none"/>
                      <w:lang w:val="en-US" w:eastAsia="zh-CN"/>
                    </w:rPr>
                    <w:t>12</w:t>
                  </w:r>
                  <w:r>
                    <w:rPr>
                      <w:sz w:val="24"/>
                      <w:szCs w:val="24"/>
                      <w:highlight w:val="none"/>
                    </w:rPr>
                    <w:t>）</w:t>
                  </w:r>
                </w:p>
              </w:tc>
              <w:tc>
                <w:tcPr>
                  <w:tcW w:w="683" w:type="pct"/>
                  <w:tcBorders>
                    <w:tl2br w:val="nil"/>
                    <w:tr2bl w:val="nil"/>
                  </w:tcBorders>
                  <w:noWrap w:val="0"/>
                  <w:vAlign w:val="center"/>
                </w:tcPr>
                <w:p w14:paraId="6479702C">
                  <w:pPr>
                    <w:widowControl/>
                    <w:adjustRightInd w:val="0"/>
                    <w:snapToGrid w:val="0"/>
                    <w:jc w:val="center"/>
                    <w:rPr>
                      <w:sz w:val="24"/>
                      <w:szCs w:val="24"/>
                      <w:highlight w:val="none"/>
                    </w:rPr>
                  </w:pPr>
                  <w:r>
                    <w:rPr>
                      <w:sz w:val="24"/>
                      <w:szCs w:val="24"/>
                      <w:highlight w:val="none"/>
                    </w:rPr>
                    <w:t>2500</w:t>
                  </w:r>
                </w:p>
              </w:tc>
              <w:tc>
                <w:tcPr>
                  <w:tcW w:w="786" w:type="pct"/>
                  <w:tcBorders>
                    <w:tl2br w:val="nil"/>
                    <w:tr2bl w:val="nil"/>
                  </w:tcBorders>
                  <w:noWrap w:val="0"/>
                  <w:vAlign w:val="center"/>
                </w:tcPr>
                <w:p w14:paraId="07AEBD7A">
                  <w:pPr>
                    <w:widowControl/>
                    <w:adjustRightInd w:val="0"/>
                    <w:snapToGrid w:val="0"/>
                    <w:jc w:val="center"/>
                    <w:rPr>
                      <w:rFonts w:hint="default" w:eastAsia="宋体"/>
                      <w:sz w:val="24"/>
                      <w:szCs w:val="24"/>
                      <w:highlight w:val="none"/>
                      <w:lang w:val="en-US" w:eastAsia="zh-CN"/>
                    </w:rPr>
                  </w:pPr>
                  <w:r>
                    <w:rPr>
                      <w:sz w:val="24"/>
                      <w:szCs w:val="24"/>
                      <w:highlight w:val="none"/>
                    </w:rPr>
                    <w:t>0.</w:t>
                  </w:r>
                  <w:r>
                    <w:rPr>
                      <w:rFonts w:hint="eastAsia"/>
                      <w:sz w:val="24"/>
                      <w:szCs w:val="24"/>
                      <w:highlight w:val="none"/>
                      <w:lang w:val="en-US" w:eastAsia="zh-CN"/>
                    </w:rPr>
                    <w:t>336</w:t>
                  </w:r>
                </w:p>
              </w:tc>
            </w:tr>
            <w:tr w14:paraId="07C4A1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14" w:type="pct"/>
                  <w:gridSpan w:val="5"/>
                  <w:tcBorders>
                    <w:tl2br w:val="nil"/>
                    <w:tr2bl w:val="nil"/>
                  </w:tcBorders>
                  <w:noWrap w:val="0"/>
                  <w:vAlign w:val="center"/>
                </w:tcPr>
                <w:p w14:paraId="6F156CBF">
                  <w:pPr>
                    <w:widowControl/>
                    <w:adjustRightInd w:val="0"/>
                    <w:snapToGrid w:val="0"/>
                    <w:jc w:val="center"/>
                    <w:rPr>
                      <w:sz w:val="24"/>
                      <w:szCs w:val="24"/>
                      <w:highlight w:val="none"/>
                    </w:rPr>
                  </w:pPr>
                  <w:r>
                    <w:rPr>
                      <w:sz w:val="24"/>
                      <w:szCs w:val="24"/>
                      <w:highlight w:val="none"/>
                    </w:rPr>
                    <w:t>项目</w:t>
                  </w:r>
                  <w:r>
                    <w:rPr>
                      <w:i/>
                      <w:iCs/>
                      <w:sz w:val="24"/>
                      <w:szCs w:val="24"/>
                      <w:highlight w:val="none"/>
                    </w:rPr>
                    <w:t>Q</w:t>
                  </w:r>
                  <w:r>
                    <w:rPr>
                      <w:sz w:val="24"/>
                      <w:szCs w:val="24"/>
                      <w:highlight w:val="none"/>
                    </w:rPr>
                    <w:t>值∑</w:t>
                  </w:r>
                </w:p>
              </w:tc>
              <w:tc>
                <w:tcPr>
                  <w:tcW w:w="786" w:type="pct"/>
                  <w:tcBorders>
                    <w:tl2br w:val="nil"/>
                    <w:tr2bl w:val="nil"/>
                  </w:tcBorders>
                  <w:noWrap w:val="0"/>
                  <w:vAlign w:val="center"/>
                </w:tcPr>
                <w:p w14:paraId="70D1466E">
                  <w:pPr>
                    <w:widowControl/>
                    <w:adjustRightInd w:val="0"/>
                    <w:snapToGrid w:val="0"/>
                    <w:jc w:val="center"/>
                    <w:rPr>
                      <w:rFonts w:hint="default" w:eastAsia="宋体"/>
                      <w:sz w:val="24"/>
                      <w:szCs w:val="24"/>
                      <w:highlight w:val="none"/>
                      <w:lang w:val="en-US" w:eastAsia="zh-CN"/>
                    </w:rPr>
                  </w:pPr>
                  <w:r>
                    <w:rPr>
                      <w:rFonts w:hint="eastAsia"/>
                      <w:sz w:val="24"/>
                      <w:szCs w:val="24"/>
                      <w:highlight w:val="none"/>
                      <w:lang w:val="en-US" w:eastAsia="zh-CN"/>
                    </w:rPr>
                    <w:t>0.336</w:t>
                  </w:r>
                </w:p>
              </w:tc>
            </w:tr>
          </w:tbl>
          <w:p w14:paraId="410D1C97">
            <w:pPr>
              <w:spacing w:line="480" w:lineRule="exact"/>
              <w:ind w:firstLine="480"/>
              <w:rPr>
                <w:sz w:val="24"/>
                <w:szCs w:val="24"/>
                <w:highlight w:val="none"/>
              </w:rPr>
            </w:pPr>
            <w:r>
              <w:rPr>
                <w:sz w:val="24"/>
                <w:szCs w:val="24"/>
                <w:highlight w:val="none"/>
              </w:rPr>
              <w:t>经计算，本项目Q＜1，因此项目环境风险潜势为I。</w:t>
            </w:r>
          </w:p>
          <w:p w14:paraId="1D6CCBDE">
            <w:pPr>
              <w:adjustRightInd w:val="0"/>
              <w:snapToGrid w:val="0"/>
              <w:spacing w:line="440" w:lineRule="exact"/>
              <w:ind w:firstLine="480" w:firstLineChars="200"/>
              <w:rPr>
                <w:sz w:val="24"/>
                <w:szCs w:val="24"/>
                <w:highlight w:val="none"/>
              </w:rPr>
            </w:pPr>
            <w:r>
              <w:rPr>
                <w:sz w:val="24"/>
                <w:szCs w:val="24"/>
                <w:highlight w:val="none"/>
              </w:rPr>
              <w:t>（3）评价等级确定</w:t>
            </w:r>
          </w:p>
          <w:p w14:paraId="78B1E3C4">
            <w:pPr>
              <w:spacing w:line="480" w:lineRule="exact"/>
              <w:ind w:firstLine="480"/>
              <w:rPr>
                <w:rFonts w:hint="eastAsia"/>
                <w:sz w:val="24"/>
                <w:szCs w:val="24"/>
                <w:highlight w:val="none"/>
              </w:rPr>
            </w:pPr>
            <w:r>
              <w:rPr>
                <w:sz w:val="24"/>
                <w:szCs w:val="24"/>
                <w:highlight w:val="none"/>
              </w:rPr>
              <w:t>根据《建设项目环境风险评价技术导则》（HJ169-2018）给出的评价工作等级确定原则，判定本项目评价等级为简单分析。</w:t>
            </w:r>
          </w:p>
          <w:p w14:paraId="1282A528">
            <w:pPr>
              <w:spacing w:line="480" w:lineRule="exact"/>
              <w:jc w:val="center"/>
              <w:rPr>
                <w:rFonts w:eastAsia="黑体"/>
                <w:sz w:val="24"/>
                <w:szCs w:val="24"/>
                <w:highlight w:val="none"/>
              </w:rPr>
            </w:pPr>
            <w:r>
              <w:rPr>
                <w:rFonts w:hint="default" w:ascii="Times New Roman" w:hAnsi="Times New Roman" w:eastAsia="宋体" w:cs="Times New Roman"/>
                <w:b/>
                <w:bCs/>
                <w:kern w:val="2"/>
                <w:sz w:val="24"/>
                <w:szCs w:val="24"/>
                <w:lang w:val="en-US" w:eastAsia="zh-CN" w:bidi="ar-SA"/>
              </w:rPr>
              <w:t>表4.3-2  环境风险评价工作级别</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2153"/>
              <w:gridCol w:w="2273"/>
              <w:gridCol w:w="1683"/>
              <w:gridCol w:w="1551"/>
              <w:gridCol w:w="1475"/>
            </w:tblGrid>
            <w:tr w14:paraId="0F9BFB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340" w:hRule="atLeast"/>
                <w:jc w:val="center"/>
              </w:trPr>
              <w:tc>
                <w:tcPr>
                  <w:tcW w:w="1179" w:type="pct"/>
                  <w:tcBorders>
                    <w:tl2br w:val="nil"/>
                    <w:tr2bl w:val="nil"/>
                  </w:tcBorders>
                  <w:shd w:val="clear" w:color="auto" w:fill="FFFFFF"/>
                  <w:noWrap w:val="0"/>
                  <w:vAlign w:val="center"/>
                </w:tcPr>
                <w:p w14:paraId="6D82E0FC">
                  <w:pPr>
                    <w:adjustRightInd w:val="0"/>
                    <w:snapToGrid w:val="0"/>
                    <w:jc w:val="center"/>
                    <w:rPr>
                      <w:sz w:val="24"/>
                      <w:szCs w:val="24"/>
                      <w:highlight w:val="none"/>
                    </w:rPr>
                  </w:pPr>
                  <w:r>
                    <w:rPr>
                      <w:sz w:val="24"/>
                      <w:szCs w:val="24"/>
                      <w:highlight w:val="none"/>
                    </w:rPr>
                    <w:t>环境风险潜势</w:t>
                  </w:r>
                </w:p>
              </w:tc>
              <w:tc>
                <w:tcPr>
                  <w:tcW w:w="1244" w:type="pct"/>
                  <w:tcBorders>
                    <w:tl2br w:val="nil"/>
                    <w:tr2bl w:val="nil"/>
                  </w:tcBorders>
                  <w:shd w:val="clear" w:color="auto" w:fill="FFFFFF"/>
                  <w:noWrap w:val="0"/>
                  <w:vAlign w:val="center"/>
                </w:tcPr>
                <w:p w14:paraId="622BA51E">
                  <w:pPr>
                    <w:adjustRightInd w:val="0"/>
                    <w:snapToGrid w:val="0"/>
                    <w:jc w:val="center"/>
                    <w:rPr>
                      <w:sz w:val="24"/>
                      <w:szCs w:val="24"/>
                      <w:highlight w:val="none"/>
                    </w:rPr>
                  </w:pPr>
                  <w:r>
                    <w:rPr>
                      <w:rFonts w:hint="eastAsia" w:ascii="宋体" w:hAnsi="宋体" w:cs="宋体"/>
                      <w:sz w:val="24"/>
                      <w:szCs w:val="24"/>
                      <w:highlight w:val="none"/>
                    </w:rPr>
                    <w:t>Ⅳ</w:t>
                  </w:r>
                  <w:r>
                    <w:rPr>
                      <w:sz w:val="24"/>
                      <w:szCs w:val="24"/>
                      <w:highlight w:val="none"/>
                    </w:rPr>
                    <w:t>、</w:t>
                  </w:r>
                  <w:r>
                    <w:rPr>
                      <w:rFonts w:hint="eastAsia" w:ascii="宋体" w:hAnsi="宋体" w:cs="宋体"/>
                      <w:sz w:val="24"/>
                      <w:szCs w:val="24"/>
                      <w:highlight w:val="none"/>
                    </w:rPr>
                    <w:t>Ⅳ</w:t>
                  </w:r>
                  <w:r>
                    <w:rPr>
                      <w:sz w:val="24"/>
                      <w:szCs w:val="24"/>
                      <w:highlight w:val="none"/>
                      <w:vertAlign w:val="superscript"/>
                    </w:rPr>
                    <w:t>+</w:t>
                  </w:r>
                </w:p>
              </w:tc>
              <w:tc>
                <w:tcPr>
                  <w:tcW w:w="921" w:type="pct"/>
                  <w:tcBorders>
                    <w:tl2br w:val="nil"/>
                    <w:tr2bl w:val="nil"/>
                  </w:tcBorders>
                  <w:shd w:val="clear" w:color="auto" w:fill="FFFFFF"/>
                  <w:noWrap w:val="0"/>
                  <w:vAlign w:val="center"/>
                </w:tcPr>
                <w:p w14:paraId="31F4D674">
                  <w:pPr>
                    <w:adjustRightInd w:val="0"/>
                    <w:snapToGrid w:val="0"/>
                    <w:jc w:val="center"/>
                    <w:rPr>
                      <w:sz w:val="24"/>
                      <w:szCs w:val="24"/>
                      <w:highlight w:val="none"/>
                    </w:rPr>
                  </w:pPr>
                  <w:r>
                    <w:rPr>
                      <w:rFonts w:hint="eastAsia" w:ascii="宋体" w:hAnsi="宋体" w:cs="宋体"/>
                      <w:sz w:val="24"/>
                      <w:szCs w:val="24"/>
                      <w:highlight w:val="none"/>
                    </w:rPr>
                    <w:t>Ⅲ</w:t>
                  </w:r>
                </w:p>
              </w:tc>
              <w:tc>
                <w:tcPr>
                  <w:tcW w:w="849" w:type="pct"/>
                  <w:tcBorders>
                    <w:tl2br w:val="nil"/>
                    <w:tr2bl w:val="nil"/>
                  </w:tcBorders>
                  <w:shd w:val="clear" w:color="auto" w:fill="auto"/>
                  <w:noWrap w:val="0"/>
                  <w:vAlign w:val="center"/>
                </w:tcPr>
                <w:p w14:paraId="4D51C52A">
                  <w:pPr>
                    <w:adjustRightInd w:val="0"/>
                    <w:snapToGrid w:val="0"/>
                    <w:jc w:val="center"/>
                    <w:rPr>
                      <w:sz w:val="24"/>
                      <w:szCs w:val="24"/>
                      <w:highlight w:val="none"/>
                    </w:rPr>
                  </w:pPr>
                  <w:r>
                    <w:rPr>
                      <w:rFonts w:hint="eastAsia" w:ascii="宋体" w:hAnsi="宋体" w:cs="宋体"/>
                      <w:sz w:val="24"/>
                      <w:szCs w:val="24"/>
                      <w:highlight w:val="none"/>
                    </w:rPr>
                    <w:t>Ⅱ</w:t>
                  </w:r>
                </w:p>
              </w:tc>
              <w:tc>
                <w:tcPr>
                  <w:tcW w:w="807" w:type="pct"/>
                  <w:tcBorders>
                    <w:tl2br w:val="nil"/>
                    <w:tr2bl w:val="nil"/>
                  </w:tcBorders>
                  <w:shd w:val="clear" w:color="auto" w:fill="BFBFBF"/>
                  <w:noWrap w:val="0"/>
                  <w:vAlign w:val="center"/>
                </w:tcPr>
                <w:p w14:paraId="0F929FF6">
                  <w:pPr>
                    <w:adjustRightInd w:val="0"/>
                    <w:snapToGrid w:val="0"/>
                    <w:jc w:val="center"/>
                    <w:rPr>
                      <w:sz w:val="24"/>
                      <w:szCs w:val="24"/>
                      <w:highlight w:val="none"/>
                    </w:rPr>
                  </w:pPr>
                  <w:r>
                    <w:rPr>
                      <w:rFonts w:hint="eastAsia" w:ascii="宋体" w:hAnsi="宋体" w:cs="宋体"/>
                      <w:sz w:val="24"/>
                      <w:szCs w:val="24"/>
                      <w:highlight w:val="none"/>
                    </w:rPr>
                    <w:t>Ⅰ</w:t>
                  </w:r>
                </w:p>
              </w:tc>
            </w:tr>
            <w:tr w14:paraId="4A727A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340" w:hRule="atLeast"/>
                <w:jc w:val="center"/>
              </w:trPr>
              <w:tc>
                <w:tcPr>
                  <w:tcW w:w="1179" w:type="pct"/>
                  <w:tcBorders>
                    <w:tl2br w:val="nil"/>
                    <w:tr2bl w:val="nil"/>
                  </w:tcBorders>
                  <w:shd w:val="clear" w:color="auto" w:fill="FFFFFF"/>
                  <w:noWrap w:val="0"/>
                  <w:vAlign w:val="center"/>
                </w:tcPr>
                <w:p w14:paraId="2254F118">
                  <w:pPr>
                    <w:adjustRightInd w:val="0"/>
                    <w:snapToGrid w:val="0"/>
                    <w:jc w:val="center"/>
                    <w:rPr>
                      <w:sz w:val="24"/>
                      <w:szCs w:val="24"/>
                      <w:highlight w:val="none"/>
                    </w:rPr>
                  </w:pPr>
                  <w:r>
                    <w:rPr>
                      <w:sz w:val="24"/>
                      <w:szCs w:val="24"/>
                      <w:highlight w:val="none"/>
                    </w:rPr>
                    <w:t>评价工作等级</w:t>
                  </w:r>
                </w:p>
              </w:tc>
              <w:tc>
                <w:tcPr>
                  <w:tcW w:w="1244" w:type="pct"/>
                  <w:tcBorders>
                    <w:tl2br w:val="nil"/>
                    <w:tr2bl w:val="nil"/>
                  </w:tcBorders>
                  <w:shd w:val="clear" w:color="auto" w:fill="FFFFFF"/>
                  <w:noWrap w:val="0"/>
                  <w:vAlign w:val="center"/>
                </w:tcPr>
                <w:p w14:paraId="13DE7392">
                  <w:pPr>
                    <w:adjustRightInd w:val="0"/>
                    <w:snapToGrid w:val="0"/>
                    <w:jc w:val="center"/>
                    <w:rPr>
                      <w:sz w:val="24"/>
                      <w:szCs w:val="24"/>
                      <w:highlight w:val="none"/>
                    </w:rPr>
                  </w:pPr>
                  <w:r>
                    <w:rPr>
                      <w:sz w:val="24"/>
                      <w:szCs w:val="24"/>
                      <w:highlight w:val="none"/>
                    </w:rPr>
                    <w:t>一</w:t>
                  </w:r>
                </w:p>
              </w:tc>
              <w:tc>
                <w:tcPr>
                  <w:tcW w:w="921" w:type="pct"/>
                  <w:tcBorders>
                    <w:tl2br w:val="nil"/>
                    <w:tr2bl w:val="nil"/>
                  </w:tcBorders>
                  <w:shd w:val="clear" w:color="auto" w:fill="FFFFFF"/>
                  <w:noWrap w:val="0"/>
                  <w:vAlign w:val="center"/>
                </w:tcPr>
                <w:p w14:paraId="7E5635F7">
                  <w:pPr>
                    <w:adjustRightInd w:val="0"/>
                    <w:snapToGrid w:val="0"/>
                    <w:jc w:val="center"/>
                    <w:rPr>
                      <w:sz w:val="24"/>
                      <w:szCs w:val="24"/>
                      <w:highlight w:val="none"/>
                    </w:rPr>
                  </w:pPr>
                  <w:r>
                    <w:rPr>
                      <w:sz w:val="24"/>
                      <w:szCs w:val="24"/>
                      <w:highlight w:val="none"/>
                    </w:rPr>
                    <w:t>二</w:t>
                  </w:r>
                </w:p>
              </w:tc>
              <w:tc>
                <w:tcPr>
                  <w:tcW w:w="849" w:type="pct"/>
                  <w:tcBorders>
                    <w:tl2br w:val="nil"/>
                    <w:tr2bl w:val="nil"/>
                  </w:tcBorders>
                  <w:shd w:val="clear" w:color="auto" w:fill="auto"/>
                  <w:noWrap w:val="0"/>
                  <w:vAlign w:val="center"/>
                </w:tcPr>
                <w:p w14:paraId="6FCCB3C5">
                  <w:pPr>
                    <w:adjustRightInd w:val="0"/>
                    <w:snapToGrid w:val="0"/>
                    <w:jc w:val="center"/>
                    <w:rPr>
                      <w:sz w:val="24"/>
                      <w:szCs w:val="24"/>
                      <w:highlight w:val="none"/>
                    </w:rPr>
                  </w:pPr>
                  <w:r>
                    <w:rPr>
                      <w:sz w:val="24"/>
                      <w:szCs w:val="24"/>
                      <w:highlight w:val="none"/>
                    </w:rPr>
                    <w:t>三</w:t>
                  </w:r>
                </w:p>
              </w:tc>
              <w:tc>
                <w:tcPr>
                  <w:tcW w:w="807" w:type="pct"/>
                  <w:tcBorders>
                    <w:tl2br w:val="nil"/>
                    <w:tr2bl w:val="nil"/>
                  </w:tcBorders>
                  <w:shd w:val="clear" w:color="auto" w:fill="BFBFBF"/>
                  <w:noWrap w:val="0"/>
                  <w:vAlign w:val="center"/>
                </w:tcPr>
                <w:p w14:paraId="46F32C6B">
                  <w:pPr>
                    <w:adjustRightInd w:val="0"/>
                    <w:snapToGrid w:val="0"/>
                    <w:jc w:val="center"/>
                    <w:rPr>
                      <w:sz w:val="24"/>
                      <w:szCs w:val="24"/>
                      <w:highlight w:val="none"/>
                    </w:rPr>
                  </w:pPr>
                  <w:r>
                    <w:rPr>
                      <w:sz w:val="24"/>
                      <w:szCs w:val="24"/>
                      <w:highlight w:val="none"/>
                    </w:rPr>
                    <w:t>简单分析</w:t>
                  </w:r>
                  <w:r>
                    <w:rPr>
                      <w:sz w:val="24"/>
                      <w:szCs w:val="24"/>
                      <w:highlight w:val="none"/>
                      <w:vertAlign w:val="superscript"/>
                    </w:rPr>
                    <w:t>a</w:t>
                  </w:r>
                </w:p>
              </w:tc>
            </w:tr>
            <w:tr w14:paraId="1FCF2E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340" w:hRule="atLeast"/>
                <w:jc w:val="center"/>
              </w:trPr>
              <w:tc>
                <w:tcPr>
                  <w:tcW w:w="5000" w:type="pct"/>
                  <w:gridSpan w:val="5"/>
                  <w:tcBorders>
                    <w:tl2br w:val="nil"/>
                    <w:tr2bl w:val="nil"/>
                  </w:tcBorders>
                  <w:shd w:val="clear" w:color="auto" w:fill="FFFFFF"/>
                  <w:noWrap w:val="0"/>
                  <w:vAlign w:val="center"/>
                </w:tcPr>
                <w:p w14:paraId="222B8E0B">
                  <w:pPr>
                    <w:adjustRightInd w:val="0"/>
                    <w:snapToGrid w:val="0"/>
                    <w:jc w:val="center"/>
                    <w:rPr>
                      <w:sz w:val="24"/>
                      <w:szCs w:val="24"/>
                      <w:highlight w:val="none"/>
                    </w:rPr>
                  </w:pPr>
                  <w:r>
                    <w:rPr>
                      <w:sz w:val="24"/>
                      <w:szCs w:val="24"/>
                      <w:highlight w:val="none"/>
                    </w:rPr>
                    <w:t>a 是相对于详细评价工作内容而言，在描述危险物质、环境影响途径、环境危害后果、风险防范措施等方面给出定性的说明。见附录A。</w:t>
                  </w:r>
                </w:p>
              </w:tc>
            </w:tr>
          </w:tbl>
          <w:p w14:paraId="7C77E020">
            <w:pPr>
              <w:spacing w:line="480" w:lineRule="exact"/>
              <w:ind w:firstLine="480"/>
              <w:rPr>
                <w:sz w:val="24"/>
                <w:szCs w:val="24"/>
                <w:highlight w:val="none"/>
              </w:rPr>
            </w:pPr>
            <w:r>
              <w:rPr>
                <w:sz w:val="24"/>
                <w:szCs w:val="24"/>
                <w:highlight w:val="none"/>
              </w:rPr>
              <w:t>（4）环境敏感目标概况</w:t>
            </w:r>
          </w:p>
          <w:p w14:paraId="37127995">
            <w:pPr>
              <w:adjustRightInd w:val="0"/>
              <w:snapToGrid w:val="0"/>
              <w:spacing w:line="480" w:lineRule="exact"/>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本项目评价范围内敏感目标包括京杭大运河（淮安市区）清水通道维护区内</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京杭大运河（淮安区）清水通道维护区</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黄码大桥省考断面</w:t>
            </w:r>
            <w:r>
              <w:rPr>
                <w:rFonts w:hint="eastAsia" w:cs="Times New Roman"/>
                <w:sz w:val="24"/>
                <w:szCs w:val="24"/>
                <w:highlight w:val="none"/>
                <w:lang w:val="en-US" w:eastAsia="zh-CN"/>
              </w:rPr>
              <w:t>和</w:t>
            </w:r>
            <w:r>
              <w:rPr>
                <w:rFonts w:hint="eastAsia" w:ascii="Times New Roman" w:hAnsi="Times New Roman" w:eastAsia="宋体" w:cs="Times New Roman"/>
                <w:sz w:val="24"/>
                <w:szCs w:val="24"/>
                <w:highlight w:val="none"/>
                <w:lang w:val="en-US" w:eastAsia="zh-CN"/>
              </w:rPr>
              <w:t>大运河桥省考断面</w:t>
            </w:r>
            <w:r>
              <w:rPr>
                <w:rFonts w:hint="eastAsia" w:cs="Times New Roman"/>
                <w:sz w:val="24"/>
                <w:szCs w:val="24"/>
                <w:highlight w:val="none"/>
                <w:lang w:val="en-US" w:eastAsia="zh-CN"/>
              </w:rPr>
              <w:t>。</w:t>
            </w:r>
          </w:p>
          <w:p w14:paraId="57AD8960">
            <w:pPr>
              <w:adjustRightInd w:val="0"/>
              <w:snapToGrid w:val="0"/>
              <w:spacing w:line="480" w:lineRule="exact"/>
              <w:ind w:firstLine="482"/>
              <w:rPr>
                <w:rFonts w:hint="eastAsia"/>
                <w:b/>
                <w:bCs/>
                <w:sz w:val="24"/>
                <w:szCs w:val="24"/>
                <w:lang w:val="en-US" w:eastAsia="zh-CN"/>
              </w:rPr>
            </w:pPr>
            <w:r>
              <w:rPr>
                <w:rFonts w:hint="eastAsia"/>
                <w:b/>
                <w:bCs/>
                <w:sz w:val="24"/>
                <w:szCs w:val="24"/>
                <w:lang w:val="en-US" w:eastAsia="zh-CN"/>
              </w:rPr>
              <w:t>4.3.3环境风险识别</w:t>
            </w:r>
          </w:p>
          <w:p w14:paraId="2F68F7DF">
            <w:pPr>
              <w:adjustRightInd w:val="0"/>
              <w:snapToGrid w:val="0"/>
              <w:spacing w:line="480" w:lineRule="exact"/>
              <w:ind w:firstLine="480" w:firstLineChars="200"/>
              <w:rPr>
                <w:sz w:val="24"/>
                <w:szCs w:val="24"/>
                <w:highlight w:val="none"/>
              </w:rPr>
            </w:pPr>
            <w:r>
              <w:rPr>
                <w:sz w:val="24"/>
                <w:szCs w:val="24"/>
                <w:highlight w:val="none"/>
              </w:rPr>
              <w:t>（1）主要危险物质及分布情况</w:t>
            </w:r>
          </w:p>
          <w:p w14:paraId="6ABAE9A9">
            <w:pPr>
              <w:spacing w:line="480" w:lineRule="exact"/>
              <w:ind w:firstLine="480" w:firstLineChars="200"/>
              <w:rPr>
                <w:sz w:val="24"/>
                <w:szCs w:val="24"/>
                <w:highlight w:val="none"/>
              </w:rPr>
            </w:pPr>
            <w:r>
              <w:rPr>
                <w:sz w:val="24"/>
                <w:szCs w:val="24"/>
                <w:highlight w:val="none"/>
              </w:rPr>
              <w:t>结合风险调查，本项目主要风险物质为船舶燃料油。船舶所用燃料油特性详见表4.3-3。</w:t>
            </w:r>
          </w:p>
          <w:p w14:paraId="6CDB1222">
            <w:pPr>
              <w:spacing w:line="480" w:lineRule="exact"/>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表4.3-3  燃料油理化性质及危险、危害特性一览表</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2031"/>
              <w:gridCol w:w="3045"/>
              <w:gridCol w:w="1436"/>
              <w:gridCol w:w="1640"/>
            </w:tblGrid>
            <w:tr w14:paraId="7770D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36" w:type="pct"/>
                  <w:vMerge w:val="restart"/>
                  <w:tcBorders>
                    <w:tl2br w:val="nil"/>
                    <w:tr2bl w:val="nil"/>
                  </w:tcBorders>
                  <w:noWrap w:val="0"/>
                  <w:vAlign w:val="top"/>
                </w:tcPr>
                <w:p w14:paraId="28AAF1C0">
                  <w:pPr>
                    <w:widowControl/>
                    <w:jc w:val="center"/>
                    <w:rPr>
                      <w:kern w:val="0"/>
                      <w:sz w:val="24"/>
                      <w:szCs w:val="24"/>
                      <w:highlight w:val="none"/>
                    </w:rPr>
                  </w:pPr>
                  <w:r>
                    <w:rPr>
                      <w:kern w:val="0"/>
                      <w:sz w:val="24"/>
                      <w:szCs w:val="24"/>
                      <w:highlight w:val="none"/>
                    </w:rPr>
                    <w:t>理</w:t>
                  </w:r>
                </w:p>
                <w:p w14:paraId="60C3C6FD">
                  <w:pPr>
                    <w:widowControl/>
                    <w:jc w:val="center"/>
                    <w:rPr>
                      <w:kern w:val="0"/>
                      <w:sz w:val="24"/>
                      <w:szCs w:val="24"/>
                      <w:highlight w:val="none"/>
                    </w:rPr>
                  </w:pPr>
                  <w:r>
                    <w:rPr>
                      <w:kern w:val="0"/>
                      <w:sz w:val="24"/>
                      <w:szCs w:val="24"/>
                      <w:highlight w:val="none"/>
                    </w:rPr>
                    <w:t>化</w:t>
                  </w:r>
                </w:p>
                <w:p w14:paraId="7435726D">
                  <w:pPr>
                    <w:widowControl/>
                    <w:jc w:val="center"/>
                    <w:rPr>
                      <w:kern w:val="0"/>
                      <w:sz w:val="24"/>
                      <w:szCs w:val="24"/>
                      <w:highlight w:val="none"/>
                    </w:rPr>
                  </w:pPr>
                  <w:r>
                    <w:rPr>
                      <w:kern w:val="0"/>
                      <w:sz w:val="24"/>
                      <w:szCs w:val="24"/>
                      <w:highlight w:val="none"/>
                    </w:rPr>
                    <w:t>性</w:t>
                  </w:r>
                </w:p>
                <w:p w14:paraId="41D0CCC9">
                  <w:pPr>
                    <w:widowControl/>
                    <w:jc w:val="center"/>
                    <w:rPr>
                      <w:kern w:val="0"/>
                      <w:sz w:val="24"/>
                      <w:szCs w:val="24"/>
                      <w:highlight w:val="none"/>
                    </w:rPr>
                  </w:pPr>
                  <w:r>
                    <w:rPr>
                      <w:kern w:val="0"/>
                      <w:sz w:val="24"/>
                      <w:szCs w:val="24"/>
                      <w:highlight w:val="none"/>
                    </w:rPr>
                    <w:t>质</w:t>
                  </w:r>
                </w:p>
              </w:tc>
              <w:tc>
                <w:tcPr>
                  <w:tcW w:w="1112" w:type="pct"/>
                  <w:tcBorders>
                    <w:tl2br w:val="nil"/>
                    <w:tr2bl w:val="nil"/>
                  </w:tcBorders>
                  <w:noWrap w:val="0"/>
                  <w:vAlign w:val="center"/>
                </w:tcPr>
                <w:p w14:paraId="7F9977A1">
                  <w:pPr>
                    <w:widowControl/>
                    <w:jc w:val="center"/>
                    <w:rPr>
                      <w:kern w:val="0"/>
                      <w:sz w:val="24"/>
                      <w:szCs w:val="24"/>
                      <w:highlight w:val="none"/>
                    </w:rPr>
                  </w:pPr>
                  <w:r>
                    <w:rPr>
                      <w:kern w:val="0"/>
                      <w:sz w:val="24"/>
                      <w:szCs w:val="24"/>
                      <w:highlight w:val="none"/>
                    </w:rPr>
                    <w:t>外观</w:t>
                  </w:r>
                </w:p>
              </w:tc>
              <w:tc>
                <w:tcPr>
                  <w:tcW w:w="1667" w:type="pct"/>
                  <w:tcBorders>
                    <w:tl2br w:val="nil"/>
                    <w:tr2bl w:val="nil"/>
                  </w:tcBorders>
                  <w:noWrap w:val="0"/>
                  <w:vAlign w:val="center"/>
                </w:tcPr>
                <w:p w14:paraId="6B0C5AD5">
                  <w:pPr>
                    <w:widowControl/>
                    <w:jc w:val="center"/>
                    <w:rPr>
                      <w:kern w:val="0"/>
                      <w:sz w:val="24"/>
                      <w:szCs w:val="24"/>
                      <w:highlight w:val="none"/>
                    </w:rPr>
                  </w:pPr>
                  <w:r>
                    <w:rPr>
                      <w:kern w:val="0"/>
                      <w:sz w:val="24"/>
                      <w:szCs w:val="24"/>
                      <w:highlight w:val="none"/>
                    </w:rPr>
                    <w:t>稍有粘性的黑色油状物</w:t>
                  </w:r>
                </w:p>
              </w:tc>
              <w:tc>
                <w:tcPr>
                  <w:tcW w:w="786" w:type="pct"/>
                  <w:tcBorders>
                    <w:tl2br w:val="nil"/>
                    <w:tr2bl w:val="nil"/>
                  </w:tcBorders>
                  <w:noWrap w:val="0"/>
                  <w:vAlign w:val="center"/>
                </w:tcPr>
                <w:p w14:paraId="3A1A75A0">
                  <w:pPr>
                    <w:widowControl/>
                    <w:jc w:val="center"/>
                    <w:rPr>
                      <w:kern w:val="0"/>
                      <w:sz w:val="24"/>
                      <w:szCs w:val="24"/>
                      <w:highlight w:val="none"/>
                    </w:rPr>
                  </w:pPr>
                  <w:r>
                    <w:rPr>
                      <w:kern w:val="0"/>
                      <w:sz w:val="24"/>
                      <w:szCs w:val="24"/>
                      <w:highlight w:val="none"/>
                    </w:rPr>
                    <w:t>溶解性</w:t>
                  </w:r>
                </w:p>
              </w:tc>
              <w:tc>
                <w:tcPr>
                  <w:tcW w:w="896" w:type="pct"/>
                  <w:tcBorders>
                    <w:tl2br w:val="nil"/>
                    <w:tr2bl w:val="nil"/>
                  </w:tcBorders>
                  <w:noWrap w:val="0"/>
                  <w:vAlign w:val="center"/>
                </w:tcPr>
                <w:p w14:paraId="14390D7F">
                  <w:pPr>
                    <w:widowControl/>
                    <w:jc w:val="center"/>
                    <w:rPr>
                      <w:kern w:val="0"/>
                      <w:sz w:val="24"/>
                      <w:szCs w:val="24"/>
                      <w:highlight w:val="none"/>
                    </w:rPr>
                  </w:pPr>
                  <w:r>
                    <w:rPr>
                      <w:kern w:val="0"/>
                      <w:sz w:val="24"/>
                      <w:szCs w:val="24"/>
                      <w:highlight w:val="none"/>
                    </w:rPr>
                    <w:t>不溶于水，</w:t>
                  </w:r>
                  <w:r>
                    <w:rPr>
                      <w:rFonts w:hint="eastAsia"/>
                      <w:kern w:val="0"/>
                      <w:sz w:val="24"/>
                      <w:szCs w:val="24"/>
                      <w:highlight w:val="none"/>
                      <w:lang w:eastAsia="zh-CN"/>
                    </w:rPr>
                    <w:t>易溶</w:t>
                  </w:r>
                  <w:r>
                    <w:rPr>
                      <w:rFonts w:hint="eastAsia"/>
                      <w:kern w:val="0"/>
                      <w:sz w:val="24"/>
                      <w:szCs w:val="24"/>
                      <w:highlight w:val="none"/>
                      <w:lang w:val="en-US" w:eastAsia="zh-CN"/>
                    </w:rPr>
                    <w:t>于</w:t>
                  </w:r>
                  <w:r>
                    <w:rPr>
                      <w:kern w:val="0"/>
                      <w:sz w:val="24"/>
                      <w:szCs w:val="24"/>
                      <w:highlight w:val="none"/>
                    </w:rPr>
                    <w:t>苯、二硫化碳、醇等</w:t>
                  </w:r>
                </w:p>
              </w:tc>
            </w:tr>
            <w:tr w14:paraId="4E3F0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tcBorders>
                    <w:tl2br w:val="nil"/>
                    <w:tr2bl w:val="nil"/>
                  </w:tcBorders>
                  <w:noWrap w:val="0"/>
                  <w:vAlign w:val="top"/>
                </w:tcPr>
                <w:p w14:paraId="10953F06">
                  <w:pPr>
                    <w:widowControl/>
                    <w:jc w:val="center"/>
                    <w:rPr>
                      <w:kern w:val="0"/>
                      <w:sz w:val="24"/>
                      <w:szCs w:val="24"/>
                      <w:highlight w:val="none"/>
                    </w:rPr>
                  </w:pPr>
                </w:p>
              </w:tc>
              <w:tc>
                <w:tcPr>
                  <w:tcW w:w="1112" w:type="pct"/>
                  <w:tcBorders>
                    <w:tl2br w:val="nil"/>
                    <w:tr2bl w:val="nil"/>
                  </w:tcBorders>
                  <w:noWrap w:val="0"/>
                  <w:vAlign w:val="center"/>
                </w:tcPr>
                <w:p w14:paraId="571EC590">
                  <w:pPr>
                    <w:widowControl/>
                    <w:jc w:val="center"/>
                    <w:rPr>
                      <w:kern w:val="0"/>
                      <w:sz w:val="24"/>
                      <w:szCs w:val="24"/>
                      <w:highlight w:val="none"/>
                    </w:rPr>
                  </w:pPr>
                  <w:r>
                    <w:rPr>
                      <w:kern w:val="0"/>
                      <w:sz w:val="24"/>
                      <w:szCs w:val="24"/>
                      <w:highlight w:val="none"/>
                    </w:rPr>
                    <w:t>闪点</w:t>
                  </w:r>
                </w:p>
              </w:tc>
              <w:tc>
                <w:tcPr>
                  <w:tcW w:w="1667" w:type="pct"/>
                  <w:tcBorders>
                    <w:tl2br w:val="nil"/>
                    <w:tr2bl w:val="nil"/>
                  </w:tcBorders>
                  <w:noWrap w:val="0"/>
                  <w:vAlign w:val="center"/>
                </w:tcPr>
                <w:p w14:paraId="2B794DAF">
                  <w:pPr>
                    <w:widowControl/>
                    <w:jc w:val="center"/>
                    <w:rPr>
                      <w:kern w:val="0"/>
                      <w:sz w:val="24"/>
                      <w:szCs w:val="24"/>
                      <w:highlight w:val="none"/>
                    </w:rPr>
                  </w:pPr>
                  <w:r>
                    <w:rPr>
                      <w:kern w:val="0"/>
                      <w:sz w:val="24"/>
                      <w:szCs w:val="24"/>
                      <w:highlight w:val="none"/>
                    </w:rPr>
                    <w:t>120</w:t>
                  </w:r>
                  <w:r>
                    <w:rPr>
                      <w:rFonts w:hint="eastAsia" w:ascii="宋体" w:hAnsi="宋体" w:cs="宋体"/>
                      <w:kern w:val="0"/>
                      <w:sz w:val="24"/>
                      <w:szCs w:val="24"/>
                      <w:highlight w:val="none"/>
                    </w:rPr>
                    <w:t>℃</w:t>
                  </w:r>
                </w:p>
              </w:tc>
              <w:tc>
                <w:tcPr>
                  <w:tcW w:w="786" w:type="pct"/>
                  <w:tcBorders>
                    <w:tl2br w:val="nil"/>
                    <w:tr2bl w:val="nil"/>
                  </w:tcBorders>
                  <w:noWrap w:val="0"/>
                  <w:vAlign w:val="center"/>
                </w:tcPr>
                <w:p w14:paraId="370CA036">
                  <w:pPr>
                    <w:widowControl/>
                    <w:jc w:val="center"/>
                    <w:rPr>
                      <w:kern w:val="0"/>
                      <w:sz w:val="24"/>
                      <w:szCs w:val="24"/>
                      <w:highlight w:val="none"/>
                    </w:rPr>
                  </w:pPr>
                  <w:r>
                    <w:rPr>
                      <w:kern w:val="0"/>
                      <w:sz w:val="24"/>
                      <w:szCs w:val="24"/>
                      <w:highlight w:val="none"/>
                    </w:rPr>
                    <w:t>沸点</w:t>
                  </w:r>
                </w:p>
              </w:tc>
              <w:tc>
                <w:tcPr>
                  <w:tcW w:w="896" w:type="pct"/>
                  <w:tcBorders>
                    <w:tl2br w:val="nil"/>
                    <w:tr2bl w:val="nil"/>
                  </w:tcBorders>
                  <w:noWrap w:val="0"/>
                  <w:vAlign w:val="center"/>
                </w:tcPr>
                <w:p w14:paraId="19308F57">
                  <w:pPr>
                    <w:widowControl/>
                    <w:jc w:val="center"/>
                    <w:rPr>
                      <w:kern w:val="0"/>
                      <w:sz w:val="24"/>
                      <w:szCs w:val="24"/>
                      <w:highlight w:val="none"/>
                    </w:rPr>
                  </w:pPr>
                  <w:r>
                    <w:rPr>
                      <w:kern w:val="0"/>
                      <w:sz w:val="24"/>
                      <w:szCs w:val="24"/>
                      <w:highlight w:val="none"/>
                    </w:rPr>
                    <w:t>282~338</w:t>
                  </w:r>
                  <w:r>
                    <w:rPr>
                      <w:rFonts w:hint="eastAsia" w:ascii="宋体" w:hAnsi="宋体" w:cs="宋体"/>
                      <w:kern w:val="0"/>
                      <w:sz w:val="24"/>
                      <w:szCs w:val="24"/>
                      <w:highlight w:val="none"/>
                    </w:rPr>
                    <w:t>℃</w:t>
                  </w:r>
                </w:p>
              </w:tc>
            </w:tr>
            <w:tr w14:paraId="3C7D2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tcBorders>
                    <w:tl2br w:val="nil"/>
                    <w:tr2bl w:val="nil"/>
                  </w:tcBorders>
                  <w:noWrap w:val="0"/>
                  <w:vAlign w:val="top"/>
                </w:tcPr>
                <w:p w14:paraId="7EB0F9DB">
                  <w:pPr>
                    <w:widowControl/>
                    <w:jc w:val="center"/>
                    <w:rPr>
                      <w:kern w:val="0"/>
                      <w:sz w:val="24"/>
                      <w:szCs w:val="24"/>
                      <w:highlight w:val="none"/>
                    </w:rPr>
                  </w:pPr>
                </w:p>
              </w:tc>
              <w:tc>
                <w:tcPr>
                  <w:tcW w:w="1112" w:type="pct"/>
                  <w:tcBorders>
                    <w:tl2br w:val="nil"/>
                    <w:tr2bl w:val="nil"/>
                  </w:tcBorders>
                  <w:noWrap w:val="0"/>
                  <w:vAlign w:val="center"/>
                </w:tcPr>
                <w:p w14:paraId="35FF82C1">
                  <w:pPr>
                    <w:widowControl/>
                    <w:jc w:val="center"/>
                    <w:rPr>
                      <w:kern w:val="0"/>
                      <w:sz w:val="24"/>
                      <w:szCs w:val="24"/>
                      <w:highlight w:val="none"/>
                    </w:rPr>
                  </w:pPr>
                  <w:r>
                    <w:rPr>
                      <w:kern w:val="0"/>
                      <w:sz w:val="24"/>
                      <w:szCs w:val="24"/>
                      <w:highlight w:val="none"/>
                    </w:rPr>
                    <w:t>相对密度</w:t>
                  </w:r>
                </w:p>
              </w:tc>
              <w:tc>
                <w:tcPr>
                  <w:tcW w:w="1667" w:type="pct"/>
                  <w:tcBorders>
                    <w:tl2br w:val="nil"/>
                    <w:tr2bl w:val="nil"/>
                  </w:tcBorders>
                  <w:noWrap w:val="0"/>
                  <w:vAlign w:val="center"/>
                </w:tcPr>
                <w:p w14:paraId="6D834C47">
                  <w:pPr>
                    <w:widowControl/>
                    <w:jc w:val="center"/>
                    <w:rPr>
                      <w:kern w:val="0"/>
                      <w:sz w:val="24"/>
                      <w:szCs w:val="24"/>
                      <w:highlight w:val="none"/>
                    </w:rPr>
                  </w:pPr>
                  <w:r>
                    <w:rPr>
                      <w:kern w:val="0"/>
                      <w:sz w:val="24"/>
                      <w:szCs w:val="24"/>
                      <w:highlight w:val="none"/>
                    </w:rPr>
                    <w:t>对水0.85~0.9，对空气大于1</w:t>
                  </w:r>
                </w:p>
              </w:tc>
              <w:tc>
                <w:tcPr>
                  <w:tcW w:w="786" w:type="pct"/>
                  <w:tcBorders>
                    <w:tl2br w:val="nil"/>
                    <w:tr2bl w:val="nil"/>
                  </w:tcBorders>
                  <w:noWrap w:val="0"/>
                  <w:vAlign w:val="center"/>
                </w:tcPr>
                <w:p w14:paraId="4DC81683">
                  <w:pPr>
                    <w:widowControl/>
                    <w:jc w:val="center"/>
                    <w:rPr>
                      <w:kern w:val="0"/>
                      <w:sz w:val="24"/>
                      <w:szCs w:val="24"/>
                      <w:highlight w:val="none"/>
                    </w:rPr>
                  </w:pPr>
                  <w:r>
                    <w:rPr>
                      <w:kern w:val="0"/>
                      <w:sz w:val="24"/>
                      <w:szCs w:val="24"/>
                      <w:highlight w:val="none"/>
                    </w:rPr>
                    <w:t>熔点</w:t>
                  </w:r>
                </w:p>
              </w:tc>
              <w:tc>
                <w:tcPr>
                  <w:tcW w:w="896" w:type="pct"/>
                  <w:tcBorders>
                    <w:tl2br w:val="nil"/>
                    <w:tr2bl w:val="nil"/>
                  </w:tcBorders>
                  <w:noWrap w:val="0"/>
                  <w:vAlign w:val="center"/>
                </w:tcPr>
                <w:p w14:paraId="1A812EBB">
                  <w:pPr>
                    <w:widowControl/>
                    <w:jc w:val="center"/>
                    <w:rPr>
                      <w:kern w:val="0"/>
                      <w:sz w:val="24"/>
                      <w:szCs w:val="24"/>
                      <w:highlight w:val="none"/>
                    </w:rPr>
                  </w:pPr>
                  <w:r>
                    <w:rPr>
                      <w:kern w:val="0"/>
                      <w:sz w:val="24"/>
                      <w:szCs w:val="24"/>
                      <w:highlight w:val="none"/>
                    </w:rPr>
                    <w:t>-18</w:t>
                  </w:r>
                  <w:r>
                    <w:rPr>
                      <w:rFonts w:hint="eastAsia" w:ascii="宋体" w:hAnsi="宋体" w:cs="宋体"/>
                      <w:kern w:val="0"/>
                      <w:sz w:val="24"/>
                      <w:szCs w:val="24"/>
                      <w:highlight w:val="none"/>
                    </w:rPr>
                    <w:t>℃</w:t>
                  </w:r>
                </w:p>
              </w:tc>
            </w:tr>
            <w:tr w14:paraId="3A6D8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restart"/>
                  <w:tcBorders>
                    <w:tl2br w:val="nil"/>
                    <w:tr2bl w:val="nil"/>
                  </w:tcBorders>
                  <w:noWrap w:val="0"/>
                  <w:vAlign w:val="top"/>
                </w:tcPr>
                <w:p w14:paraId="04D2EE83">
                  <w:pPr>
                    <w:widowControl/>
                    <w:jc w:val="center"/>
                    <w:rPr>
                      <w:kern w:val="0"/>
                      <w:sz w:val="24"/>
                      <w:szCs w:val="24"/>
                      <w:highlight w:val="none"/>
                    </w:rPr>
                  </w:pPr>
                  <w:r>
                    <w:rPr>
                      <w:kern w:val="0"/>
                      <w:sz w:val="24"/>
                      <w:szCs w:val="24"/>
                      <w:highlight w:val="none"/>
                    </w:rPr>
                    <w:t>燃</w:t>
                  </w:r>
                </w:p>
                <w:p w14:paraId="059EDEC7">
                  <w:pPr>
                    <w:widowControl/>
                    <w:jc w:val="center"/>
                    <w:rPr>
                      <w:kern w:val="0"/>
                      <w:sz w:val="24"/>
                      <w:szCs w:val="24"/>
                      <w:highlight w:val="none"/>
                    </w:rPr>
                  </w:pPr>
                  <w:r>
                    <w:rPr>
                      <w:kern w:val="0"/>
                      <w:sz w:val="24"/>
                      <w:szCs w:val="24"/>
                      <w:highlight w:val="none"/>
                    </w:rPr>
                    <w:t>烧</w:t>
                  </w:r>
                </w:p>
                <w:p w14:paraId="7DC56A83">
                  <w:pPr>
                    <w:widowControl/>
                    <w:jc w:val="center"/>
                    <w:rPr>
                      <w:kern w:val="0"/>
                      <w:sz w:val="24"/>
                      <w:szCs w:val="24"/>
                      <w:highlight w:val="none"/>
                    </w:rPr>
                  </w:pPr>
                  <w:r>
                    <w:rPr>
                      <w:kern w:val="0"/>
                      <w:sz w:val="24"/>
                      <w:szCs w:val="24"/>
                      <w:highlight w:val="none"/>
                    </w:rPr>
                    <w:t>爆</w:t>
                  </w:r>
                </w:p>
                <w:p w14:paraId="4D0F3675">
                  <w:pPr>
                    <w:widowControl/>
                    <w:jc w:val="center"/>
                    <w:rPr>
                      <w:kern w:val="0"/>
                      <w:sz w:val="24"/>
                      <w:szCs w:val="24"/>
                      <w:highlight w:val="none"/>
                    </w:rPr>
                  </w:pPr>
                  <w:r>
                    <w:rPr>
                      <w:kern w:val="0"/>
                      <w:sz w:val="24"/>
                      <w:szCs w:val="24"/>
                      <w:highlight w:val="none"/>
                    </w:rPr>
                    <w:t>炸</w:t>
                  </w:r>
                </w:p>
                <w:p w14:paraId="7DBD4EC3">
                  <w:pPr>
                    <w:widowControl/>
                    <w:jc w:val="center"/>
                    <w:rPr>
                      <w:kern w:val="0"/>
                      <w:sz w:val="24"/>
                      <w:szCs w:val="24"/>
                      <w:highlight w:val="none"/>
                    </w:rPr>
                  </w:pPr>
                  <w:r>
                    <w:rPr>
                      <w:kern w:val="0"/>
                      <w:sz w:val="24"/>
                      <w:szCs w:val="24"/>
                      <w:highlight w:val="none"/>
                    </w:rPr>
                    <w:t>危</w:t>
                  </w:r>
                </w:p>
                <w:p w14:paraId="55FBC028">
                  <w:pPr>
                    <w:widowControl/>
                    <w:jc w:val="center"/>
                    <w:rPr>
                      <w:kern w:val="0"/>
                      <w:sz w:val="24"/>
                      <w:szCs w:val="24"/>
                      <w:highlight w:val="none"/>
                    </w:rPr>
                  </w:pPr>
                  <w:r>
                    <w:rPr>
                      <w:kern w:val="0"/>
                      <w:sz w:val="24"/>
                      <w:szCs w:val="24"/>
                      <w:highlight w:val="none"/>
                    </w:rPr>
                    <w:t>险</w:t>
                  </w:r>
                </w:p>
                <w:p w14:paraId="742141E6">
                  <w:pPr>
                    <w:widowControl/>
                    <w:jc w:val="center"/>
                    <w:rPr>
                      <w:kern w:val="0"/>
                      <w:sz w:val="24"/>
                      <w:szCs w:val="24"/>
                      <w:highlight w:val="none"/>
                    </w:rPr>
                  </w:pPr>
                  <w:r>
                    <w:rPr>
                      <w:kern w:val="0"/>
                      <w:sz w:val="24"/>
                      <w:szCs w:val="24"/>
                      <w:highlight w:val="none"/>
                    </w:rPr>
                    <w:t>性</w:t>
                  </w:r>
                </w:p>
              </w:tc>
              <w:tc>
                <w:tcPr>
                  <w:tcW w:w="1112" w:type="pct"/>
                  <w:tcBorders>
                    <w:tl2br w:val="nil"/>
                    <w:tr2bl w:val="nil"/>
                  </w:tcBorders>
                  <w:noWrap w:val="0"/>
                  <w:vAlign w:val="center"/>
                </w:tcPr>
                <w:p w14:paraId="263F465A">
                  <w:pPr>
                    <w:widowControl/>
                    <w:jc w:val="center"/>
                    <w:rPr>
                      <w:kern w:val="0"/>
                      <w:sz w:val="24"/>
                      <w:szCs w:val="24"/>
                      <w:highlight w:val="none"/>
                    </w:rPr>
                  </w:pPr>
                  <w:r>
                    <w:rPr>
                      <w:kern w:val="0"/>
                      <w:sz w:val="24"/>
                      <w:szCs w:val="24"/>
                      <w:highlight w:val="none"/>
                    </w:rPr>
                    <w:t>燃烧性</w:t>
                  </w:r>
                </w:p>
              </w:tc>
              <w:tc>
                <w:tcPr>
                  <w:tcW w:w="1667" w:type="pct"/>
                  <w:tcBorders>
                    <w:tl2br w:val="nil"/>
                    <w:tr2bl w:val="nil"/>
                  </w:tcBorders>
                  <w:noWrap w:val="0"/>
                  <w:vAlign w:val="center"/>
                </w:tcPr>
                <w:p w14:paraId="1AB76D8B">
                  <w:pPr>
                    <w:widowControl/>
                    <w:jc w:val="center"/>
                    <w:rPr>
                      <w:kern w:val="0"/>
                      <w:sz w:val="24"/>
                      <w:szCs w:val="24"/>
                      <w:highlight w:val="none"/>
                    </w:rPr>
                  </w:pPr>
                  <w:r>
                    <w:rPr>
                      <w:kern w:val="0"/>
                      <w:sz w:val="24"/>
                      <w:szCs w:val="24"/>
                      <w:highlight w:val="none"/>
                    </w:rPr>
                    <w:t>易燃</w:t>
                  </w:r>
                </w:p>
              </w:tc>
              <w:tc>
                <w:tcPr>
                  <w:tcW w:w="786" w:type="pct"/>
                  <w:tcBorders>
                    <w:tl2br w:val="nil"/>
                    <w:tr2bl w:val="nil"/>
                  </w:tcBorders>
                  <w:noWrap w:val="0"/>
                  <w:vAlign w:val="center"/>
                </w:tcPr>
                <w:p w14:paraId="7D1A124D">
                  <w:pPr>
                    <w:widowControl/>
                    <w:jc w:val="center"/>
                    <w:rPr>
                      <w:kern w:val="0"/>
                      <w:sz w:val="24"/>
                      <w:szCs w:val="24"/>
                      <w:highlight w:val="none"/>
                    </w:rPr>
                  </w:pPr>
                  <w:r>
                    <w:rPr>
                      <w:kern w:val="0"/>
                      <w:sz w:val="24"/>
                      <w:szCs w:val="24"/>
                      <w:highlight w:val="none"/>
                    </w:rPr>
                    <w:t>稳定性</w:t>
                  </w:r>
                </w:p>
              </w:tc>
              <w:tc>
                <w:tcPr>
                  <w:tcW w:w="896" w:type="pct"/>
                  <w:tcBorders>
                    <w:tl2br w:val="nil"/>
                    <w:tr2bl w:val="nil"/>
                  </w:tcBorders>
                  <w:noWrap w:val="0"/>
                  <w:vAlign w:val="center"/>
                </w:tcPr>
                <w:p w14:paraId="165644EE">
                  <w:pPr>
                    <w:widowControl/>
                    <w:jc w:val="center"/>
                    <w:rPr>
                      <w:kern w:val="0"/>
                      <w:sz w:val="24"/>
                      <w:szCs w:val="24"/>
                      <w:highlight w:val="none"/>
                    </w:rPr>
                  </w:pPr>
                  <w:r>
                    <w:rPr>
                      <w:kern w:val="0"/>
                      <w:sz w:val="24"/>
                      <w:szCs w:val="24"/>
                      <w:highlight w:val="none"/>
                    </w:rPr>
                    <w:t>稳定</w:t>
                  </w:r>
                </w:p>
              </w:tc>
            </w:tr>
            <w:tr w14:paraId="24609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tcBorders>
                    <w:tl2br w:val="nil"/>
                    <w:tr2bl w:val="nil"/>
                  </w:tcBorders>
                  <w:noWrap w:val="0"/>
                  <w:vAlign w:val="top"/>
                </w:tcPr>
                <w:p w14:paraId="5FCFF316">
                  <w:pPr>
                    <w:widowControl/>
                    <w:jc w:val="center"/>
                    <w:rPr>
                      <w:kern w:val="0"/>
                      <w:sz w:val="24"/>
                      <w:szCs w:val="24"/>
                      <w:highlight w:val="none"/>
                    </w:rPr>
                  </w:pPr>
                </w:p>
              </w:tc>
              <w:tc>
                <w:tcPr>
                  <w:tcW w:w="1112" w:type="pct"/>
                  <w:tcBorders>
                    <w:tl2br w:val="nil"/>
                    <w:tr2bl w:val="nil"/>
                  </w:tcBorders>
                  <w:noWrap w:val="0"/>
                  <w:vAlign w:val="center"/>
                </w:tcPr>
                <w:p w14:paraId="0DD42A43">
                  <w:pPr>
                    <w:widowControl/>
                    <w:jc w:val="center"/>
                    <w:rPr>
                      <w:kern w:val="0"/>
                      <w:sz w:val="24"/>
                      <w:szCs w:val="24"/>
                      <w:highlight w:val="none"/>
                    </w:rPr>
                  </w:pPr>
                  <w:r>
                    <w:rPr>
                      <w:kern w:val="0"/>
                      <w:sz w:val="24"/>
                      <w:szCs w:val="24"/>
                      <w:highlight w:val="none"/>
                    </w:rPr>
                    <w:t>引燃温度</w:t>
                  </w:r>
                </w:p>
              </w:tc>
              <w:tc>
                <w:tcPr>
                  <w:tcW w:w="1667" w:type="pct"/>
                  <w:tcBorders>
                    <w:tl2br w:val="nil"/>
                    <w:tr2bl w:val="nil"/>
                  </w:tcBorders>
                  <w:noWrap w:val="0"/>
                  <w:vAlign w:val="center"/>
                </w:tcPr>
                <w:p w14:paraId="0CAC4933">
                  <w:pPr>
                    <w:widowControl/>
                    <w:jc w:val="center"/>
                    <w:rPr>
                      <w:kern w:val="0"/>
                      <w:sz w:val="24"/>
                      <w:szCs w:val="24"/>
                      <w:highlight w:val="none"/>
                    </w:rPr>
                  </w:pPr>
                  <w:r>
                    <w:rPr>
                      <w:kern w:val="0"/>
                      <w:sz w:val="24"/>
                      <w:szCs w:val="24"/>
                      <w:highlight w:val="none"/>
                    </w:rPr>
                    <w:t>227~257</w:t>
                  </w:r>
                  <w:r>
                    <w:rPr>
                      <w:rFonts w:hint="eastAsia" w:ascii="宋体" w:hAnsi="宋体" w:cs="宋体"/>
                      <w:kern w:val="0"/>
                      <w:sz w:val="24"/>
                      <w:szCs w:val="24"/>
                      <w:highlight w:val="none"/>
                    </w:rPr>
                    <w:t>℃</w:t>
                  </w:r>
                </w:p>
              </w:tc>
              <w:tc>
                <w:tcPr>
                  <w:tcW w:w="786" w:type="pct"/>
                  <w:tcBorders>
                    <w:tl2br w:val="nil"/>
                    <w:tr2bl w:val="nil"/>
                  </w:tcBorders>
                  <w:noWrap w:val="0"/>
                  <w:vAlign w:val="center"/>
                </w:tcPr>
                <w:p w14:paraId="7649DD63">
                  <w:pPr>
                    <w:widowControl/>
                    <w:jc w:val="center"/>
                    <w:rPr>
                      <w:kern w:val="0"/>
                      <w:sz w:val="24"/>
                      <w:szCs w:val="24"/>
                      <w:highlight w:val="none"/>
                    </w:rPr>
                  </w:pPr>
                  <w:r>
                    <w:rPr>
                      <w:kern w:val="0"/>
                      <w:sz w:val="24"/>
                      <w:szCs w:val="24"/>
                      <w:highlight w:val="none"/>
                    </w:rPr>
                    <w:t>爆炸极限（vol%）</w:t>
                  </w:r>
                </w:p>
              </w:tc>
              <w:tc>
                <w:tcPr>
                  <w:tcW w:w="896" w:type="pct"/>
                  <w:tcBorders>
                    <w:tl2br w:val="nil"/>
                    <w:tr2bl w:val="nil"/>
                  </w:tcBorders>
                  <w:noWrap w:val="0"/>
                  <w:vAlign w:val="center"/>
                </w:tcPr>
                <w:p w14:paraId="48B6473E">
                  <w:pPr>
                    <w:widowControl/>
                    <w:jc w:val="center"/>
                    <w:rPr>
                      <w:kern w:val="0"/>
                      <w:sz w:val="24"/>
                      <w:szCs w:val="24"/>
                      <w:highlight w:val="none"/>
                    </w:rPr>
                  </w:pPr>
                  <w:r>
                    <w:rPr>
                      <w:kern w:val="0"/>
                      <w:sz w:val="24"/>
                      <w:szCs w:val="24"/>
                      <w:highlight w:val="none"/>
                    </w:rPr>
                    <w:t>1.4~4.5</w:t>
                  </w:r>
                </w:p>
              </w:tc>
            </w:tr>
            <w:tr w14:paraId="70074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tcBorders>
                    <w:tl2br w:val="nil"/>
                    <w:tr2bl w:val="nil"/>
                  </w:tcBorders>
                  <w:noWrap w:val="0"/>
                  <w:vAlign w:val="top"/>
                </w:tcPr>
                <w:p w14:paraId="102F2F91">
                  <w:pPr>
                    <w:widowControl/>
                    <w:jc w:val="center"/>
                    <w:rPr>
                      <w:kern w:val="0"/>
                      <w:sz w:val="24"/>
                      <w:szCs w:val="24"/>
                      <w:highlight w:val="none"/>
                    </w:rPr>
                  </w:pPr>
                </w:p>
              </w:tc>
              <w:tc>
                <w:tcPr>
                  <w:tcW w:w="1112" w:type="pct"/>
                  <w:tcBorders>
                    <w:tl2br w:val="nil"/>
                    <w:tr2bl w:val="nil"/>
                  </w:tcBorders>
                  <w:noWrap w:val="0"/>
                  <w:vAlign w:val="center"/>
                </w:tcPr>
                <w:p w14:paraId="02ACFF93">
                  <w:pPr>
                    <w:widowControl/>
                    <w:jc w:val="center"/>
                    <w:rPr>
                      <w:kern w:val="0"/>
                      <w:sz w:val="24"/>
                      <w:szCs w:val="24"/>
                      <w:highlight w:val="none"/>
                    </w:rPr>
                  </w:pPr>
                  <w:r>
                    <w:rPr>
                      <w:kern w:val="0"/>
                      <w:sz w:val="24"/>
                      <w:szCs w:val="24"/>
                      <w:highlight w:val="none"/>
                    </w:rPr>
                    <w:t>爆炸危险组别、类别</w:t>
                  </w:r>
                </w:p>
              </w:tc>
              <w:tc>
                <w:tcPr>
                  <w:tcW w:w="1667" w:type="pct"/>
                  <w:tcBorders>
                    <w:tl2br w:val="nil"/>
                    <w:tr2bl w:val="nil"/>
                  </w:tcBorders>
                  <w:noWrap w:val="0"/>
                  <w:vAlign w:val="center"/>
                </w:tcPr>
                <w:p w14:paraId="5EF36F7B">
                  <w:pPr>
                    <w:widowControl/>
                    <w:jc w:val="center"/>
                    <w:rPr>
                      <w:kern w:val="0"/>
                      <w:sz w:val="24"/>
                      <w:szCs w:val="24"/>
                      <w:highlight w:val="none"/>
                    </w:rPr>
                  </w:pPr>
                  <w:r>
                    <w:rPr>
                      <w:kern w:val="0"/>
                      <w:sz w:val="24"/>
                      <w:szCs w:val="24"/>
                      <w:highlight w:val="none"/>
                    </w:rPr>
                    <w:t>高闪电易燃液体</w:t>
                  </w:r>
                </w:p>
              </w:tc>
              <w:tc>
                <w:tcPr>
                  <w:tcW w:w="786" w:type="pct"/>
                  <w:tcBorders>
                    <w:tl2br w:val="nil"/>
                    <w:tr2bl w:val="nil"/>
                  </w:tcBorders>
                  <w:noWrap w:val="0"/>
                  <w:vAlign w:val="center"/>
                </w:tcPr>
                <w:p w14:paraId="01FBA86C">
                  <w:pPr>
                    <w:widowControl/>
                    <w:jc w:val="center"/>
                    <w:rPr>
                      <w:kern w:val="0"/>
                      <w:sz w:val="24"/>
                      <w:szCs w:val="24"/>
                      <w:highlight w:val="none"/>
                    </w:rPr>
                  </w:pPr>
                  <w:r>
                    <w:rPr>
                      <w:kern w:val="0"/>
                      <w:sz w:val="24"/>
                      <w:szCs w:val="24"/>
                      <w:highlight w:val="none"/>
                    </w:rPr>
                    <w:t>燃烧分解产物</w:t>
                  </w:r>
                </w:p>
              </w:tc>
              <w:tc>
                <w:tcPr>
                  <w:tcW w:w="896" w:type="pct"/>
                  <w:tcBorders>
                    <w:tl2br w:val="nil"/>
                    <w:tr2bl w:val="nil"/>
                  </w:tcBorders>
                  <w:noWrap w:val="0"/>
                  <w:vAlign w:val="center"/>
                </w:tcPr>
                <w:p w14:paraId="7D6DFDCB">
                  <w:pPr>
                    <w:widowControl/>
                    <w:jc w:val="center"/>
                    <w:rPr>
                      <w:kern w:val="0"/>
                      <w:sz w:val="24"/>
                      <w:szCs w:val="24"/>
                      <w:highlight w:val="none"/>
                    </w:rPr>
                  </w:pPr>
                  <w:r>
                    <w:rPr>
                      <w:kern w:val="0"/>
                      <w:sz w:val="24"/>
                      <w:szCs w:val="24"/>
                      <w:highlight w:val="none"/>
                    </w:rPr>
                    <w:t>一氧化碳、二氧化碳</w:t>
                  </w:r>
                </w:p>
              </w:tc>
            </w:tr>
            <w:tr w14:paraId="49F39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tcBorders>
                    <w:tl2br w:val="nil"/>
                    <w:tr2bl w:val="nil"/>
                  </w:tcBorders>
                  <w:noWrap w:val="0"/>
                  <w:vAlign w:val="top"/>
                </w:tcPr>
                <w:p w14:paraId="23E9D6A6">
                  <w:pPr>
                    <w:widowControl/>
                    <w:jc w:val="center"/>
                    <w:rPr>
                      <w:kern w:val="0"/>
                      <w:sz w:val="24"/>
                      <w:szCs w:val="24"/>
                      <w:highlight w:val="none"/>
                    </w:rPr>
                  </w:pPr>
                </w:p>
              </w:tc>
              <w:tc>
                <w:tcPr>
                  <w:tcW w:w="1112" w:type="pct"/>
                  <w:tcBorders>
                    <w:tl2br w:val="nil"/>
                    <w:tr2bl w:val="nil"/>
                  </w:tcBorders>
                  <w:noWrap w:val="0"/>
                  <w:vAlign w:val="center"/>
                </w:tcPr>
                <w:p w14:paraId="2FC03667">
                  <w:pPr>
                    <w:widowControl/>
                    <w:jc w:val="center"/>
                    <w:rPr>
                      <w:kern w:val="0"/>
                      <w:sz w:val="24"/>
                      <w:szCs w:val="24"/>
                      <w:highlight w:val="none"/>
                    </w:rPr>
                  </w:pPr>
                  <w:r>
                    <w:rPr>
                      <w:kern w:val="0"/>
                      <w:sz w:val="24"/>
                      <w:szCs w:val="24"/>
                      <w:highlight w:val="none"/>
                    </w:rPr>
                    <w:t>危险特性</w:t>
                  </w:r>
                </w:p>
              </w:tc>
              <w:tc>
                <w:tcPr>
                  <w:tcW w:w="3351" w:type="pct"/>
                  <w:gridSpan w:val="3"/>
                  <w:tcBorders>
                    <w:tl2br w:val="nil"/>
                    <w:tr2bl w:val="nil"/>
                  </w:tcBorders>
                  <w:noWrap w:val="0"/>
                  <w:vAlign w:val="center"/>
                </w:tcPr>
                <w:p w14:paraId="74CBD0A0">
                  <w:pPr>
                    <w:widowControl/>
                    <w:jc w:val="left"/>
                    <w:rPr>
                      <w:kern w:val="0"/>
                      <w:sz w:val="24"/>
                      <w:szCs w:val="24"/>
                      <w:highlight w:val="none"/>
                    </w:rPr>
                  </w:pPr>
                  <w:r>
                    <w:rPr>
                      <w:kern w:val="0"/>
                      <w:sz w:val="24"/>
                      <w:szCs w:val="24"/>
                      <w:highlight w:val="none"/>
                    </w:rPr>
                    <w:t>遇明火、高热或与氧化剂接触，有引起燃烧爆炸的危险，遇高热，容器内压增大，有开裂和爆炸的危险</w:t>
                  </w:r>
                </w:p>
              </w:tc>
            </w:tr>
            <w:tr w14:paraId="66BD7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tcBorders>
                    <w:tl2br w:val="nil"/>
                    <w:tr2bl w:val="nil"/>
                  </w:tcBorders>
                  <w:noWrap w:val="0"/>
                  <w:vAlign w:val="top"/>
                </w:tcPr>
                <w:p w14:paraId="243F2FE1">
                  <w:pPr>
                    <w:widowControl/>
                    <w:jc w:val="center"/>
                    <w:rPr>
                      <w:kern w:val="0"/>
                      <w:sz w:val="24"/>
                      <w:szCs w:val="24"/>
                      <w:highlight w:val="none"/>
                    </w:rPr>
                  </w:pPr>
                </w:p>
              </w:tc>
              <w:tc>
                <w:tcPr>
                  <w:tcW w:w="1112" w:type="pct"/>
                  <w:tcBorders>
                    <w:tl2br w:val="nil"/>
                    <w:tr2bl w:val="nil"/>
                  </w:tcBorders>
                  <w:noWrap w:val="0"/>
                  <w:vAlign w:val="center"/>
                </w:tcPr>
                <w:p w14:paraId="75FF26F8">
                  <w:pPr>
                    <w:widowControl/>
                    <w:jc w:val="center"/>
                    <w:rPr>
                      <w:kern w:val="0"/>
                      <w:sz w:val="24"/>
                      <w:szCs w:val="24"/>
                      <w:highlight w:val="none"/>
                    </w:rPr>
                  </w:pPr>
                  <w:r>
                    <w:rPr>
                      <w:kern w:val="0"/>
                      <w:sz w:val="24"/>
                      <w:szCs w:val="24"/>
                      <w:highlight w:val="none"/>
                    </w:rPr>
                    <w:t>灭火方法</w:t>
                  </w:r>
                </w:p>
              </w:tc>
              <w:tc>
                <w:tcPr>
                  <w:tcW w:w="3351" w:type="pct"/>
                  <w:gridSpan w:val="3"/>
                  <w:tcBorders>
                    <w:tl2br w:val="nil"/>
                    <w:tr2bl w:val="nil"/>
                  </w:tcBorders>
                  <w:noWrap w:val="0"/>
                  <w:vAlign w:val="center"/>
                </w:tcPr>
                <w:p w14:paraId="6A8A1B4E">
                  <w:pPr>
                    <w:widowControl/>
                    <w:jc w:val="left"/>
                    <w:rPr>
                      <w:kern w:val="0"/>
                      <w:sz w:val="24"/>
                      <w:szCs w:val="24"/>
                      <w:highlight w:val="none"/>
                    </w:rPr>
                  </w:pPr>
                  <w:r>
                    <w:rPr>
                      <w:kern w:val="0"/>
                      <w:sz w:val="24"/>
                      <w:szCs w:val="24"/>
                      <w:highlight w:val="none"/>
                    </w:rPr>
                    <w:t>雾状水、泡沫、干粉、二氧化碳、砂土。</w:t>
                  </w:r>
                </w:p>
              </w:tc>
            </w:tr>
            <w:tr w14:paraId="5D8A0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tcBorders>
                    <w:tl2br w:val="nil"/>
                    <w:tr2bl w:val="nil"/>
                  </w:tcBorders>
                  <w:noWrap w:val="0"/>
                  <w:vAlign w:val="top"/>
                </w:tcPr>
                <w:p w14:paraId="57546CEA">
                  <w:pPr>
                    <w:widowControl/>
                    <w:jc w:val="center"/>
                    <w:rPr>
                      <w:kern w:val="0"/>
                      <w:sz w:val="24"/>
                      <w:szCs w:val="24"/>
                      <w:highlight w:val="none"/>
                    </w:rPr>
                  </w:pPr>
                  <w:r>
                    <w:rPr>
                      <w:kern w:val="0"/>
                      <w:sz w:val="24"/>
                      <w:szCs w:val="24"/>
                      <w:highlight w:val="none"/>
                    </w:rPr>
                    <w:t>毒</w:t>
                  </w:r>
                </w:p>
                <w:p w14:paraId="75FE4A6B">
                  <w:pPr>
                    <w:widowControl/>
                    <w:jc w:val="center"/>
                    <w:rPr>
                      <w:kern w:val="0"/>
                      <w:sz w:val="24"/>
                      <w:szCs w:val="24"/>
                      <w:highlight w:val="none"/>
                    </w:rPr>
                  </w:pPr>
                  <w:r>
                    <w:rPr>
                      <w:kern w:val="0"/>
                      <w:sz w:val="24"/>
                      <w:szCs w:val="24"/>
                      <w:highlight w:val="none"/>
                    </w:rPr>
                    <w:t>性</w:t>
                  </w:r>
                </w:p>
              </w:tc>
              <w:tc>
                <w:tcPr>
                  <w:tcW w:w="4463" w:type="pct"/>
                  <w:gridSpan w:val="4"/>
                  <w:tcBorders>
                    <w:tl2br w:val="nil"/>
                    <w:tr2bl w:val="nil"/>
                  </w:tcBorders>
                  <w:noWrap w:val="0"/>
                  <w:vAlign w:val="center"/>
                </w:tcPr>
                <w:p w14:paraId="7782F4FC">
                  <w:pPr>
                    <w:widowControl/>
                    <w:jc w:val="left"/>
                    <w:rPr>
                      <w:kern w:val="0"/>
                      <w:sz w:val="24"/>
                      <w:szCs w:val="24"/>
                      <w:highlight w:val="none"/>
                    </w:rPr>
                  </w:pPr>
                  <w:r>
                    <w:rPr>
                      <w:kern w:val="0"/>
                      <w:sz w:val="24"/>
                      <w:szCs w:val="24"/>
                      <w:highlight w:val="none"/>
                    </w:rPr>
                    <w:t>毒性类似于煤油，可能比煤油略大。</w:t>
                  </w:r>
                </w:p>
                <w:p w14:paraId="12DE5BF6">
                  <w:pPr>
                    <w:widowControl/>
                    <w:jc w:val="left"/>
                    <w:rPr>
                      <w:kern w:val="0"/>
                      <w:sz w:val="24"/>
                      <w:szCs w:val="24"/>
                      <w:highlight w:val="none"/>
                    </w:rPr>
                  </w:pPr>
                  <w:r>
                    <w:rPr>
                      <w:kern w:val="0"/>
                      <w:sz w:val="24"/>
                      <w:szCs w:val="24"/>
                      <w:highlight w:val="none"/>
                    </w:rPr>
                    <w:t>职业接触限制：中国MAC未制定标准；前苏联未制定标准。</w:t>
                  </w:r>
                </w:p>
              </w:tc>
            </w:tr>
            <w:tr w14:paraId="3816E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tcBorders>
                    <w:tl2br w:val="nil"/>
                    <w:tr2bl w:val="nil"/>
                  </w:tcBorders>
                  <w:noWrap w:val="0"/>
                  <w:vAlign w:val="top"/>
                </w:tcPr>
                <w:p w14:paraId="7A4B1C9A">
                  <w:pPr>
                    <w:widowControl/>
                    <w:jc w:val="center"/>
                    <w:rPr>
                      <w:kern w:val="0"/>
                      <w:sz w:val="24"/>
                      <w:szCs w:val="24"/>
                      <w:highlight w:val="none"/>
                    </w:rPr>
                  </w:pPr>
                  <w:r>
                    <w:rPr>
                      <w:kern w:val="0"/>
                      <w:sz w:val="24"/>
                      <w:szCs w:val="24"/>
                      <w:highlight w:val="none"/>
                    </w:rPr>
                    <w:t>人体</w:t>
                  </w:r>
                </w:p>
                <w:p w14:paraId="1F6A4119">
                  <w:pPr>
                    <w:widowControl/>
                    <w:jc w:val="center"/>
                    <w:rPr>
                      <w:kern w:val="0"/>
                      <w:sz w:val="24"/>
                      <w:szCs w:val="24"/>
                      <w:highlight w:val="none"/>
                    </w:rPr>
                  </w:pPr>
                  <w:r>
                    <w:rPr>
                      <w:kern w:val="0"/>
                      <w:sz w:val="24"/>
                      <w:szCs w:val="24"/>
                      <w:highlight w:val="none"/>
                    </w:rPr>
                    <w:t>危害</w:t>
                  </w:r>
                </w:p>
              </w:tc>
              <w:tc>
                <w:tcPr>
                  <w:tcW w:w="4463" w:type="pct"/>
                  <w:gridSpan w:val="4"/>
                  <w:tcBorders>
                    <w:tl2br w:val="nil"/>
                    <w:tr2bl w:val="nil"/>
                  </w:tcBorders>
                  <w:noWrap w:val="0"/>
                  <w:vAlign w:val="center"/>
                </w:tcPr>
                <w:p w14:paraId="655F2406">
                  <w:pPr>
                    <w:widowControl/>
                    <w:jc w:val="left"/>
                    <w:rPr>
                      <w:kern w:val="0"/>
                      <w:sz w:val="24"/>
                      <w:szCs w:val="24"/>
                      <w:highlight w:val="none"/>
                    </w:rPr>
                  </w:pPr>
                  <w:r>
                    <w:rPr>
                      <w:kern w:val="0"/>
                      <w:sz w:val="24"/>
                      <w:szCs w:val="24"/>
                      <w:highlight w:val="none"/>
                    </w:rPr>
                    <w:t>皮肤接触可为主要吸收途径，可致急性肾脏损害，柴油可引起接触性皮炎，油性痤疮。</w:t>
                  </w:r>
                  <w:r>
                    <w:rPr>
                      <w:rFonts w:hint="eastAsia"/>
                      <w:kern w:val="0"/>
                      <w:sz w:val="24"/>
                      <w:szCs w:val="24"/>
                      <w:highlight w:val="none"/>
                      <w:lang w:eastAsia="zh-CN"/>
                    </w:rPr>
                    <w:t>吸入</w:t>
                  </w:r>
                  <w:r>
                    <w:rPr>
                      <w:kern w:val="0"/>
                      <w:sz w:val="24"/>
                      <w:szCs w:val="24"/>
                      <w:highlight w:val="none"/>
                    </w:rPr>
                    <w:t>雾滴或液体呛入可引起吸入性肺炎</w:t>
                  </w:r>
                </w:p>
              </w:tc>
            </w:tr>
            <w:tr w14:paraId="4532F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tcBorders>
                    <w:tl2br w:val="nil"/>
                    <w:tr2bl w:val="nil"/>
                  </w:tcBorders>
                  <w:noWrap w:val="0"/>
                  <w:vAlign w:val="top"/>
                </w:tcPr>
                <w:p w14:paraId="7BA43977">
                  <w:pPr>
                    <w:widowControl/>
                    <w:jc w:val="center"/>
                    <w:rPr>
                      <w:kern w:val="0"/>
                      <w:sz w:val="24"/>
                      <w:szCs w:val="24"/>
                      <w:highlight w:val="none"/>
                    </w:rPr>
                  </w:pPr>
                  <w:r>
                    <w:rPr>
                      <w:kern w:val="0"/>
                      <w:sz w:val="24"/>
                      <w:szCs w:val="24"/>
                      <w:highlight w:val="none"/>
                    </w:rPr>
                    <w:t>急</w:t>
                  </w:r>
                </w:p>
                <w:p w14:paraId="0D3368DF">
                  <w:pPr>
                    <w:widowControl/>
                    <w:jc w:val="center"/>
                    <w:rPr>
                      <w:kern w:val="0"/>
                      <w:sz w:val="24"/>
                      <w:szCs w:val="24"/>
                      <w:highlight w:val="none"/>
                    </w:rPr>
                  </w:pPr>
                  <w:r>
                    <w:rPr>
                      <w:kern w:val="0"/>
                      <w:sz w:val="24"/>
                      <w:szCs w:val="24"/>
                      <w:highlight w:val="none"/>
                    </w:rPr>
                    <w:t>救</w:t>
                  </w:r>
                </w:p>
                <w:p w14:paraId="3C3FE05C">
                  <w:pPr>
                    <w:widowControl/>
                    <w:jc w:val="center"/>
                    <w:rPr>
                      <w:kern w:val="0"/>
                      <w:sz w:val="24"/>
                      <w:szCs w:val="24"/>
                      <w:highlight w:val="none"/>
                    </w:rPr>
                  </w:pPr>
                  <w:r>
                    <w:rPr>
                      <w:kern w:val="0"/>
                      <w:sz w:val="24"/>
                      <w:szCs w:val="24"/>
                      <w:highlight w:val="none"/>
                    </w:rPr>
                    <w:t>措</w:t>
                  </w:r>
                </w:p>
                <w:p w14:paraId="3E32FEB8">
                  <w:pPr>
                    <w:widowControl/>
                    <w:jc w:val="center"/>
                    <w:rPr>
                      <w:kern w:val="0"/>
                      <w:sz w:val="24"/>
                      <w:szCs w:val="24"/>
                      <w:highlight w:val="none"/>
                    </w:rPr>
                  </w:pPr>
                  <w:r>
                    <w:rPr>
                      <w:kern w:val="0"/>
                      <w:sz w:val="24"/>
                      <w:szCs w:val="24"/>
                      <w:highlight w:val="none"/>
                    </w:rPr>
                    <w:t>施</w:t>
                  </w:r>
                </w:p>
              </w:tc>
              <w:tc>
                <w:tcPr>
                  <w:tcW w:w="4463" w:type="pct"/>
                  <w:gridSpan w:val="4"/>
                  <w:tcBorders>
                    <w:tl2br w:val="nil"/>
                    <w:tr2bl w:val="nil"/>
                  </w:tcBorders>
                  <w:noWrap w:val="0"/>
                  <w:vAlign w:val="center"/>
                </w:tcPr>
                <w:p w14:paraId="0F8E99EE">
                  <w:pPr>
                    <w:widowControl/>
                    <w:jc w:val="left"/>
                    <w:rPr>
                      <w:kern w:val="0"/>
                      <w:sz w:val="24"/>
                      <w:szCs w:val="24"/>
                      <w:highlight w:val="none"/>
                    </w:rPr>
                  </w:pPr>
                  <w:r>
                    <w:rPr>
                      <w:kern w:val="0"/>
                      <w:sz w:val="24"/>
                      <w:szCs w:val="24"/>
                      <w:highlight w:val="none"/>
                    </w:rPr>
                    <w:t>皮肤接触：立即脱去污染的衣着，用肥皂水和清水彻底冲洗皮肤。就医。</w:t>
                  </w:r>
                </w:p>
                <w:p w14:paraId="5CDA9BAA">
                  <w:pPr>
                    <w:widowControl/>
                    <w:jc w:val="left"/>
                    <w:rPr>
                      <w:kern w:val="0"/>
                      <w:sz w:val="24"/>
                      <w:szCs w:val="24"/>
                      <w:highlight w:val="none"/>
                    </w:rPr>
                  </w:pPr>
                  <w:r>
                    <w:rPr>
                      <w:kern w:val="0"/>
                      <w:sz w:val="24"/>
                      <w:szCs w:val="24"/>
                      <w:highlight w:val="none"/>
                    </w:rPr>
                    <w:t>眼睛接触：提起眼睑，用流动清水或生理盐水冲洗。就医。</w:t>
                  </w:r>
                </w:p>
                <w:p w14:paraId="6A69EC19">
                  <w:pPr>
                    <w:widowControl/>
                    <w:jc w:val="left"/>
                    <w:rPr>
                      <w:kern w:val="0"/>
                      <w:sz w:val="24"/>
                      <w:szCs w:val="24"/>
                      <w:highlight w:val="none"/>
                    </w:rPr>
                  </w:pPr>
                  <w:r>
                    <w:rPr>
                      <w:kern w:val="0"/>
                      <w:sz w:val="24"/>
                      <w:szCs w:val="24"/>
                      <w:highlight w:val="none"/>
                    </w:rPr>
                    <w:t>吸入：迅速脱离现场至空气新鲜处。保持呼吸道通畅。如呼吸困难，给输氧。如呼吸停止，</w:t>
                  </w:r>
                  <w:r>
                    <w:rPr>
                      <w:rFonts w:hint="eastAsia"/>
                      <w:kern w:val="0"/>
                      <w:sz w:val="24"/>
                      <w:szCs w:val="24"/>
                      <w:highlight w:val="none"/>
                      <w:lang w:val="en-US" w:eastAsia="zh-CN"/>
                    </w:rPr>
                    <w:t>立即</w:t>
                  </w:r>
                  <w:r>
                    <w:rPr>
                      <w:kern w:val="0"/>
                      <w:sz w:val="24"/>
                      <w:szCs w:val="24"/>
                      <w:highlight w:val="none"/>
                    </w:rPr>
                    <w:t>进行人工呼吸。就医。</w:t>
                  </w:r>
                </w:p>
                <w:p w14:paraId="15DF1001">
                  <w:pPr>
                    <w:widowControl/>
                    <w:jc w:val="left"/>
                    <w:rPr>
                      <w:kern w:val="0"/>
                      <w:sz w:val="24"/>
                      <w:szCs w:val="24"/>
                      <w:highlight w:val="none"/>
                    </w:rPr>
                  </w:pPr>
                  <w:r>
                    <w:rPr>
                      <w:kern w:val="0"/>
                      <w:sz w:val="24"/>
                      <w:szCs w:val="24"/>
                      <w:highlight w:val="none"/>
                    </w:rPr>
                    <w:t>食入：尽快彻底洗胃，就医。</w:t>
                  </w:r>
                </w:p>
              </w:tc>
            </w:tr>
            <w:tr w14:paraId="7EF79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tcBorders>
                    <w:tl2br w:val="nil"/>
                    <w:tr2bl w:val="nil"/>
                  </w:tcBorders>
                  <w:noWrap w:val="0"/>
                  <w:vAlign w:val="top"/>
                </w:tcPr>
                <w:p w14:paraId="12BB6E22">
                  <w:pPr>
                    <w:widowControl/>
                    <w:jc w:val="center"/>
                    <w:rPr>
                      <w:kern w:val="0"/>
                      <w:sz w:val="24"/>
                      <w:szCs w:val="24"/>
                      <w:highlight w:val="none"/>
                    </w:rPr>
                  </w:pPr>
                  <w:r>
                    <w:rPr>
                      <w:kern w:val="0"/>
                      <w:sz w:val="24"/>
                      <w:szCs w:val="24"/>
                      <w:highlight w:val="none"/>
                    </w:rPr>
                    <w:t>泄漏应急处置</w:t>
                  </w:r>
                </w:p>
              </w:tc>
              <w:tc>
                <w:tcPr>
                  <w:tcW w:w="4463" w:type="pct"/>
                  <w:gridSpan w:val="4"/>
                  <w:tcBorders>
                    <w:tl2br w:val="nil"/>
                    <w:tr2bl w:val="nil"/>
                  </w:tcBorders>
                  <w:noWrap w:val="0"/>
                  <w:vAlign w:val="center"/>
                </w:tcPr>
                <w:p w14:paraId="5CA35588">
                  <w:pPr>
                    <w:widowControl/>
                    <w:jc w:val="left"/>
                    <w:rPr>
                      <w:kern w:val="0"/>
                      <w:sz w:val="24"/>
                      <w:szCs w:val="24"/>
                      <w:highlight w:val="none"/>
                    </w:rPr>
                  </w:pPr>
                  <w:r>
                    <w:rPr>
                      <w:kern w:val="0"/>
                      <w:sz w:val="24"/>
                      <w:szCs w:val="24"/>
                      <w:highlight w:val="none"/>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抗收容。</w:t>
                  </w:r>
                </w:p>
              </w:tc>
            </w:tr>
          </w:tbl>
          <w:p w14:paraId="725494BA">
            <w:pPr>
              <w:spacing w:line="480" w:lineRule="exact"/>
              <w:ind w:firstLine="482"/>
              <w:rPr>
                <w:sz w:val="24"/>
                <w:szCs w:val="24"/>
                <w:highlight w:val="none"/>
              </w:rPr>
            </w:pPr>
            <w:r>
              <w:rPr>
                <w:sz w:val="24"/>
                <w:szCs w:val="24"/>
                <w:highlight w:val="none"/>
              </w:rPr>
              <w:t>（2）国内内河流域发生的风险事故统计</w:t>
            </w:r>
          </w:p>
          <w:p w14:paraId="35F84085">
            <w:pPr>
              <w:spacing w:line="480" w:lineRule="exact"/>
              <w:ind w:firstLine="480" w:firstLineChars="200"/>
              <w:rPr>
                <w:rFonts w:hint="eastAsia"/>
                <w:sz w:val="24"/>
                <w:szCs w:val="24"/>
                <w:highlight w:val="none"/>
              </w:rPr>
            </w:pPr>
            <w:r>
              <w:rPr>
                <w:sz w:val="24"/>
                <w:szCs w:val="24"/>
                <w:highlight w:val="none"/>
              </w:rPr>
              <w:t>国内外发生较大事故的统计数据表明，突发性事故溢油有一定的风险概率。据统计，中国沿海、长江平均每年发生500多起溢油事故，发生溢油量在50t以上的重大船舶污染事故71起（平均每年发生2起），其中，长江平均每年发生船舶污染事故17起。全国各内河省份（直辖市）船舶进出港艘次和各类船舶事故数统计资料见表4.3-4，从中可以看出，各地区发生船舶事故的次数与进出港船舶数量呈比较显著的正比关系。</w:t>
            </w:r>
          </w:p>
          <w:p w14:paraId="598929D9">
            <w:pPr>
              <w:spacing w:line="480" w:lineRule="exact"/>
              <w:jc w:val="center"/>
              <w:rPr>
                <w:rFonts w:eastAsia="黑体"/>
                <w:sz w:val="24"/>
                <w:szCs w:val="24"/>
                <w:highlight w:val="none"/>
              </w:rPr>
            </w:pPr>
            <w:r>
              <w:rPr>
                <w:rFonts w:hint="default" w:ascii="Times New Roman" w:hAnsi="Times New Roman" w:eastAsia="宋体" w:cs="Times New Roman"/>
                <w:b/>
                <w:bCs/>
                <w:kern w:val="2"/>
                <w:sz w:val="24"/>
                <w:szCs w:val="24"/>
                <w:lang w:val="en-US" w:eastAsia="zh-CN" w:bidi="ar-SA"/>
              </w:rPr>
              <w:t>表4.3-4  全国各内河省份（直辖市）船舶进出港艘次、事故数统计表</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712"/>
              <w:gridCol w:w="1284"/>
              <w:gridCol w:w="815"/>
              <w:gridCol w:w="782"/>
              <w:gridCol w:w="736"/>
              <w:gridCol w:w="672"/>
              <w:gridCol w:w="736"/>
              <w:gridCol w:w="744"/>
              <w:gridCol w:w="972"/>
            </w:tblGrid>
            <w:tr w14:paraId="74755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restart"/>
                  <w:tcBorders>
                    <w:tl2br w:val="nil"/>
                    <w:tr2bl w:val="nil"/>
                  </w:tcBorders>
                  <w:noWrap w:val="0"/>
                  <w:vAlign w:val="center"/>
                </w:tcPr>
                <w:p w14:paraId="78A3A88A">
                  <w:pPr>
                    <w:widowControl/>
                    <w:autoSpaceDE w:val="0"/>
                    <w:autoSpaceDN w:val="0"/>
                    <w:adjustRightInd w:val="0"/>
                    <w:jc w:val="center"/>
                    <w:rPr>
                      <w:sz w:val="24"/>
                      <w:szCs w:val="24"/>
                      <w:highlight w:val="none"/>
                    </w:rPr>
                  </w:pPr>
                  <w:r>
                    <w:rPr>
                      <w:sz w:val="24"/>
                      <w:szCs w:val="24"/>
                      <w:highlight w:val="none"/>
                    </w:rPr>
                    <w:t>序号</w:t>
                  </w:r>
                </w:p>
              </w:tc>
              <w:tc>
                <w:tcPr>
                  <w:tcW w:w="936" w:type="pct"/>
                  <w:vMerge w:val="restart"/>
                  <w:tcBorders>
                    <w:tl2br w:val="nil"/>
                    <w:tr2bl w:val="nil"/>
                  </w:tcBorders>
                  <w:noWrap w:val="0"/>
                  <w:vAlign w:val="center"/>
                </w:tcPr>
                <w:p w14:paraId="606A03F5">
                  <w:pPr>
                    <w:widowControl/>
                    <w:autoSpaceDE w:val="0"/>
                    <w:autoSpaceDN w:val="0"/>
                    <w:adjustRightInd w:val="0"/>
                    <w:jc w:val="center"/>
                    <w:rPr>
                      <w:sz w:val="24"/>
                      <w:szCs w:val="24"/>
                      <w:highlight w:val="none"/>
                    </w:rPr>
                  </w:pPr>
                  <w:r>
                    <w:rPr>
                      <w:sz w:val="24"/>
                      <w:szCs w:val="24"/>
                      <w:highlight w:val="none"/>
                    </w:rPr>
                    <w:t>地区</w:t>
                  </w:r>
                </w:p>
              </w:tc>
              <w:tc>
                <w:tcPr>
                  <w:tcW w:w="703" w:type="pct"/>
                  <w:vMerge w:val="restart"/>
                  <w:tcBorders>
                    <w:tl2br w:val="nil"/>
                    <w:tr2bl w:val="nil"/>
                  </w:tcBorders>
                  <w:noWrap w:val="0"/>
                  <w:vAlign w:val="center"/>
                </w:tcPr>
                <w:p w14:paraId="1C463536">
                  <w:pPr>
                    <w:widowControl/>
                    <w:autoSpaceDE w:val="0"/>
                    <w:autoSpaceDN w:val="0"/>
                    <w:adjustRightInd w:val="0"/>
                    <w:jc w:val="center"/>
                    <w:rPr>
                      <w:sz w:val="24"/>
                      <w:szCs w:val="24"/>
                      <w:highlight w:val="none"/>
                    </w:rPr>
                  </w:pPr>
                  <w:r>
                    <w:rPr>
                      <w:sz w:val="24"/>
                      <w:szCs w:val="24"/>
                      <w:highlight w:val="none"/>
                    </w:rPr>
                    <w:t>内河船舶进</w:t>
                  </w:r>
                </w:p>
                <w:p w14:paraId="27F47464">
                  <w:pPr>
                    <w:widowControl/>
                    <w:autoSpaceDE w:val="0"/>
                    <w:autoSpaceDN w:val="0"/>
                    <w:adjustRightInd w:val="0"/>
                    <w:jc w:val="center"/>
                    <w:rPr>
                      <w:sz w:val="24"/>
                      <w:szCs w:val="24"/>
                      <w:highlight w:val="none"/>
                    </w:rPr>
                  </w:pPr>
                  <w:r>
                    <w:rPr>
                      <w:sz w:val="24"/>
                      <w:szCs w:val="24"/>
                      <w:highlight w:val="none"/>
                    </w:rPr>
                    <w:t>出港艘次</w:t>
                  </w:r>
                </w:p>
              </w:tc>
              <w:tc>
                <w:tcPr>
                  <w:tcW w:w="2455" w:type="pct"/>
                  <w:gridSpan w:val="6"/>
                  <w:tcBorders>
                    <w:tl2br w:val="nil"/>
                    <w:tr2bl w:val="nil"/>
                  </w:tcBorders>
                  <w:noWrap w:val="0"/>
                  <w:vAlign w:val="center"/>
                </w:tcPr>
                <w:p w14:paraId="7E032309">
                  <w:pPr>
                    <w:widowControl/>
                    <w:autoSpaceDE w:val="0"/>
                    <w:autoSpaceDN w:val="0"/>
                    <w:adjustRightInd w:val="0"/>
                    <w:jc w:val="center"/>
                    <w:rPr>
                      <w:sz w:val="24"/>
                      <w:szCs w:val="24"/>
                      <w:highlight w:val="none"/>
                    </w:rPr>
                  </w:pPr>
                  <w:r>
                    <w:rPr>
                      <w:sz w:val="24"/>
                      <w:szCs w:val="24"/>
                      <w:highlight w:val="none"/>
                    </w:rPr>
                    <w:t>统计事故数</w:t>
                  </w:r>
                </w:p>
              </w:tc>
              <w:tc>
                <w:tcPr>
                  <w:tcW w:w="532" w:type="pct"/>
                  <w:vMerge w:val="restart"/>
                  <w:tcBorders>
                    <w:tl2br w:val="nil"/>
                    <w:tr2bl w:val="nil"/>
                  </w:tcBorders>
                  <w:noWrap w:val="0"/>
                  <w:vAlign w:val="center"/>
                </w:tcPr>
                <w:p w14:paraId="289F2834">
                  <w:pPr>
                    <w:widowControl/>
                    <w:autoSpaceDE w:val="0"/>
                    <w:autoSpaceDN w:val="0"/>
                    <w:adjustRightInd w:val="0"/>
                    <w:jc w:val="center"/>
                    <w:rPr>
                      <w:sz w:val="24"/>
                      <w:szCs w:val="24"/>
                      <w:highlight w:val="none"/>
                    </w:rPr>
                  </w:pPr>
                  <w:r>
                    <w:rPr>
                      <w:sz w:val="24"/>
                      <w:szCs w:val="24"/>
                      <w:highlight w:val="none"/>
                    </w:rPr>
                    <w:t>经济损失</w:t>
                  </w:r>
                </w:p>
                <w:p w14:paraId="069D2555">
                  <w:pPr>
                    <w:widowControl/>
                    <w:autoSpaceDE w:val="0"/>
                    <w:autoSpaceDN w:val="0"/>
                    <w:adjustRightInd w:val="0"/>
                    <w:jc w:val="center"/>
                    <w:rPr>
                      <w:sz w:val="24"/>
                      <w:szCs w:val="24"/>
                      <w:highlight w:val="none"/>
                    </w:rPr>
                  </w:pPr>
                  <w:r>
                    <w:rPr>
                      <w:sz w:val="24"/>
                      <w:szCs w:val="24"/>
                      <w:highlight w:val="none"/>
                    </w:rPr>
                    <w:t>（万元）</w:t>
                  </w:r>
                </w:p>
              </w:tc>
            </w:tr>
            <w:tr w14:paraId="534C9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tcBorders>
                    <w:tl2br w:val="nil"/>
                    <w:tr2bl w:val="nil"/>
                  </w:tcBorders>
                  <w:noWrap w:val="0"/>
                  <w:vAlign w:val="center"/>
                </w:tcPr>
                <w:p w14:paraId="0389B942">
                  <w:pPr>
                    <w:widowControl/>
                    <w:autoSpaceDE w:val="0"/>
                    <w:autoSpaceDN w:val="0"/>
                    <w:adjustRightInd w:val="0"/>
                    <w:jc w:val="center"/>
                    <w:rPr>
                      <w:sz w:val="24"/>
                      <w:szCs w:val="24"/>
                      <w:highlight w:val="none"/>
                    </w:rPr>
                  </w:pPr>
                </w:p>
              </w:tc>
              <w:tc>
                <w:tcPr>
                  <w:tcW w:w="936" w:type="pct"/>
                  <w:vMerge w:val="continue"/>
                  <w:tcBorders>
                    <w:tl2br w:val="nil"/>
                    <w:tr2bl w:val="nil"/>
                  </w:tcBorders>
                  <w:noWrap w:val="0"/>
                  <w:vAlign w:val="center"/>
                </w:tcPr>
                <w:p w14:paraId="75B0117D">
                  <w:pPr>
                    <w:widowControl/>
                    <w:autoSpaceDE w:val="0"/>
                    <w:autoSpaceDN w:val="0"/>
                    <w:adjustRightInd w:val="0"/>
                    <w:jc w:val="center"/>
                    <w:rPr>
                      <w:sz w:val="24"/>
                      <w:szCs w:val="24"/>
                      <w:highlight w:val="none"/>
                    </w:rPr>
                  </w:pPr>
                </w:p>
              </w:tc>
              <w:tc>
                <w:tcPr>
                  <w:tcW w:w="703" w:type="pct"/>
                  <w:vMerge w:val="continue"/>
                  <w:tcBorders>
                    <w:tl2br w:val="nil"/>
                    <w:tr2bl w:val="nil"/>
                  </w:tcBorders>
                  <w:noWrap w:val="0"/>
                  <w:vAlign w:val="center"/>
                </w:tcPr>
                <w:p w14:paraId="17D3FBE8">
                  <w:pPr>
                    <w:widowControl/>
                    <w:autoSpaceDE w:val="0"/>
                    <w:autoSpaceDN w:val="0"/>
                    <w:adjustRightInd w:val="0"/>
                    <w:jc w:val="center"/>
                    <w:rPr>
                      <w:sz w:val="24"/>
                      <w:szCs w:val="24"/>
                      <w:highlight w:val="none"/>
                    </w:rPr>
                  </w:pPr>
                </w:p>
              </w:tc>
              <w:tc>
                <w:tcPr>
                  <w:tcW w:w="446" w:type="pct"/>
                  <w:tcBorders>
                    <w:tl2br w:val="nil"/>
                    <w:tr2bl w:val="nil"/>
                  </w:tcBorders>
                  <w:noWrap w:val="0"/>
                  <w:vAlign w:val="center"/>
                </w:tcPr>
                <w:p w14:paraId="4383E23A">
                  <w:pPr>
                    <w:widowControl/>
                    <w:autoSpaceDE w:val="0"/>
                    <w:autoSpaceDN w:val="0"/>
                    <w:adjustRightInd w:val="0"/>
                    <w:jc w:val="center"/>
                    <w:rPr>
                      <w:sz w:val="24"/>
                      <w:szCs w:val="24"/>
                      <w:highlight w:val="none"/>
                    </w:rPr>
                  </w:pPr>
                  <w:r>
                    <w:rPr>
                      <w:sz w:val="24"/>
                      <w:szCs w:val="24"/>
                      <w:highlight w:val="none"/>
                    </w:rPr>
                    <w:t>事故</w:t>
                  </w:r>
                </w:p>
                <w:p w14:paraId="6AF02F72">
                  <w:pPr>
                    <w:widowControl/>
                    <w:autoSpaceDE w:val="0"/>
                    <w:autoSpaceDN w:val="0"/>
                    <w:adjustRightInd w:val="0"/>
                    <w:jc w:val="center"/>
                    <w:rPr>
                      <w:sz w:val="24"/>
                      <w:szCs w:val="24"/>
                      <w:highlight w:val="none"/>
                    </w:rPr>
                  </w:pPr>
                  <w:r>
                    <w:rPr>
                      <w:sz w:val="24"/>
                      <w:szCs w:val="24"/>
                      <w:highlight w:val="none"/>
                    </w:rPr>
                    <w:t>总数</w:t>
                  </w:r>
                </w:p>
              </w:tc>
              <w:tc>
                <w:tcPr>
                  <w:tcW w:w="428" w:type="pct"/>
                  <w:tcBorders>
                    <w:tl2br w:val="nil"/>
                    <w:tr2bl w:val="nil"/>
                  </w:tcBorders>
                  <w:noWrap w:val="0"/>
                  <w:vAlign w:val="center"/>
                </w:tcPr>
                <w:p w14:paraId="32492C93">
                  <w:pPr>
                    <w:widowControl/>
                    <w:autoSpaceDE w:val="0"/>
                    <w:autoSpaceDN w:val="0"/>
                    <w:adjustRightInd w:val="0"/>
                    <w:jc w:val="center"/>
                    <w:rPr>
                      <w:sz w:val="24"/>
                      <w:szCs w:val="24"/>
                      <w:highlight w:val="none"/>
                    </w:rPr>
                  </w:pPr>
                  <w:r>
                    <w:rPr>
                      <w:sz w:val="24"/>
                      <w:szCs w:val="24"/>
                      <w:highlight w:val="none"/>
                    </w:rPr>
                    <w:t>重大</w:t>
                  </w:r>
                </w:p>
                <w:p w14:paraId="7835C58D">
                  <w:pPr>
                    <w:widowControl/>
                    <w:autoSpaceDE w:val="0"/>
                    <w:autoSpaceDN w:val="0"/>
                    <w:adjustRightInd w:val="0"/>
                    <w:jc w:val="center"/>
                    <w:rPr>
                      <w:sz w:val="24"/>
                      <w:szCs w:val="24"/>
                      <w:highlight w:val="none"/>
                    </w:rPr>
                  </w:pPr>
                  <w:r>
                    <w:rPr>
                      <w:sz w:val="24"/>
                      <w:szCs w:val="24"/>
                      <w:highlight w:val="none"/>
                    </w:rPr>
                    <w:t>事故</w:t>
                  </w:r>
                </w:p>
              </w:tc>
              <w:tc>
                <w:tcPr>
                  <w:tcW w:w="403" w:type="pct"/>
                  <w:tcBorders>
                    <w:tl2br w:val="nil"/>
                    <w:tr2bl w:val="nil"/>
                  </w:tcBorders>
                  <w:noWrap w:val="0"/>
                  <w:vAlign w:val="center"/>
                </w:tcPr>
                <w:p w14:paraId="4E021DFB">
                  <w:pPr>
                    <w:widowControl/>
                    <w:autoSpaceDE w:val="0"/>
                    <w:autoSpaceDN w:val="0"/>
                    <w:adjustRightInd w:val="0"/>
                    <w:jc w:val="center"/>
                    <w:rPr>
                      <w:sz w:val="24"/>
                      <w:szCs w:val="24"/>
                      <w:highlight w:val="none"/>
                    </w:rPr>
                  </w:pPr>
                  <w:r>
                    <w:rPr>
                      <w:sz w:val="24"/>
                      <w:szCs w:val="24"/>
                      <w:highlight w:val="none"/>
                    </w:rPr>
                    <w:t>大事</w:t>
                  </w:r>
                </w:p>
                <w:p w14:paraId="1DCB6C27">
                  <w:pPr>
                    <w:widowControl/>
                    <w:autoSpaceDE w:val="0"/>
                    <w:autoSpaceDN w:val="0"/>
                    <w:adjustRightInd w:val="0"/>
                    <w:jc w:val="center"/>
                    <w:rPr>
                      <w:sz w:val="24"/>
                      <w:szCs w:val="24"/>
                      <w:highlight w:val="none"/>
                    </w:rPr>
                  </w:pPr>
                  <w:r>
                    <w:rPr>
                      <w:sz w:val="24"/>
                      <w:szCs w:val="24"/>
                      <w:highlight w:val="none"/>
                    </w:rPr>
                    <w:t>故</w:t>
                  </w:r>
                </w:p>
              </w:tc>
              <w:tc>
                <w:tcPr>
                  <w:tcW w:w="368" w:type="pct"/>
                  <w:tcBorders>
                    <w:tl2br w:val="nil"/>
                    <w:tr2bl w:val="nil"/>
                  </w:tcBorders>
                  <w:noWrap w:val="0"/>
                  <w:vAlign w:val="center"/>
                </w:tcPr>
                <w:p w14:paraId="5A6F1CD3">
                  <w:pPr>
                    <w:widowControl/>
                    <w:autoSpaceDE w:val="0"/>
                    <w:autoSpaceDN w:val="0"/>
                    <w:adjustRightInd w:val="0"/>
                    <w:jc w:val="center"/>
                    <w:rPr>
                      <w:sz w:val="24"/>
                      <w:szCs w:val="24"/>
                      <w:highlight w:val="none"/>
                    </w:rPr>
                  </w:pPr>
                  <w:r>
                    <w:rPr>
                      <w:sz w:val="24"/>
                      <w:szCs w:val="24"/>
                      <w:highlight w:val="none"/>
                    </w:rPr>
                    <w:t>一般</w:t>
                  </w:r>
                </w:p>
                <w:p w14:paraId="1DE06190">
                  <w:pPr>
                    <w:widowControl/>
                    <w:autoSpaceDE w:val="0"/>
                    <w:autoSpaceDN w:val="0"/>
                    <w:adjustRightInd w:val="0"/>
                    <w:jc w:val="center"/>
                    <w:rPr>
                      <w:sz w:val="24"/>
                      <w:szCs w:val="24"/>
                      <w:highlight w:val="none"/>
                    </w:rPr>
                  </w:pPr>
                  <w:r>
                    <w:rPr>
                      <w:sz w:val="24"/>
                      <w:szCs w:val="24"/>
                      <w:highlight w:val="none"/>
                    </w:rPr>
                    <w:t>事故</w:t>
                  </w:r>
                </w:p>
              </w:tc>
              <w:tc>
                <w:tcPr>
                  <w:tcW w:w="403" w:type="pct"/>
                  <w:tcBorders>
                    <w:tl2br w:val="nil"/>
                    <w:tr2bl w:val="nil"/>
                  </w:tcBorders>
                  <w:noWrap w:val="0"/>
                  <w:vAlign w:val="center"/>
                </w:tcPr>
                <w:p w14:paraId="45F97F79">
                  <w:pPr>
                    <w:widowControl/>
                    <w:autoSpaceDE w:val="0"/>
                    <w:autoSpaceDN w:val="0"/>
                    <w:adjustRightInd w:val="0"/>
                    <w:jc w:val="center"/>
                    <w:rPr>
                      <w:sz w:val="24"/>
                      <w:szCs w:val="24"/>
                      <w:highlight w:val="none"/>
                    </w:rPr>
                  </w:pPr>
                  <w:r>
                    <w:rPr>
                      <w:sz w:val="24"/>
                      <w:szCs w:val="24"/>
                      <w:highlight w:val="none"/>
                    </w:rPr>
                    <w:t>沉船</w:t>
                  </w:r>
                </w:p>
              </w:tc>
              <w:tc>
                <w:tcPr>
                  <w:tcW w:w="405" w:type="pct"/>
                  <w:tcBorders>
                    <w:tl2br w:val="nil"/>
                    <w:tr2bl w:val="nil"/>
                  </w:tcBorders>
                  <w:noWrap w:val="0"/>
                  <w:vAlign w:val="center"/>
                </w:tcPr>
                <w:p w14:paraId="5DE7C7DB">
                  <w:pPr>
                    <w:widowControl/>
                    <w:autoSpaceDE w:val="0"/>
                    <w:autoSpaceDN w:val="0"/>
                    <w:adjustRightInd w:val="0"/>
                    <w:jc w:val="center"/>
                    <w:rPr>
                      <w:sz w:val="24"/>
                      <w:szCs w:val="24"/>
                      <w:highlight w:val="none"/>
                    </w:rPr>
                  </w:pPr>
                  <w:r>
                    <w:rPr>
                      <w:sz w:val="24"/>
                      <w:szCs w:val="24"/>
                      <w:highlight w:val="none"/>
                    </w:rPr>
                    <w:t>死亡</w:t>
                  </w:r>
                </w:p>
                <w:p w14:paraId="0DE38B8E">
                  <w:pPr>
                    <w:widowControl/>
                    <w:autoSpaceDE w:val="0"/>
                    <w:autoSpaceDN w:val="0"/>
                    <w:adjustRightInd w:val="0"/>
                    <w:jc w:val="center"/>
                    <w:rPr>
                      <w:sz w:val="24"/>
                      <w:szCs w:val="24"/>
                      <w:highlight w:val="none"/>
                    </w:rPr>
                  </w:pPr>
                  <w:r>
                    <w:rPr>
                      <w:sz w:val="24"/>
                      <w:szCs w:val="24"/>
                      <w:highlight w:val="none"/>
                    </w:rPr>
                    <w:t>人数</w:t>
                  </w:r>
                </w:p>
              </w:tc>
              <w:tc>
                <w:tcPr>
                  <w:tcW w:w="532" w:type="pct"/>
                  <w:vMerge w:val="continue"/>
                  <w:tcBorders>
                    <w:tl2br w:val="nil"/>
                    <w:tr2bl w:val="nil"/>
                  </w:tcBorders>
                  <w:noWrap w:val="0"/>
                  <w:vAlign w:val="center"/>
                </w:tcPr>
                <w:p w14:paraId="1633D709">
                  <w:pPr>
                    <w:widowControl/>
                    <w:autoSpaceDE w:val="0"/>
                    <w:autoSpaceDN w:val="0"/>
                    <w:adjustRightInd w:val="0"/>
                    <w:jc w:val="center"/>
                    <w:rPr>
                      <w:sz w:val="24"/>
                      <w:szCs w:val="24"/>
                      <w:highlight w:val="none"/>
                    </w:rPr>
                  </w:pPr>
                </w:p>
              </w:tc>
            </w:tr>
            <w:tr w14:paraId="78057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14:paraId="23E714E2">
                  <w:pPr>
                    <w:widowControl/>
                    <w:autoSpaceDE w:val="0"/>
                    <w:autoSpaceDN w:val="0"/>
                    <w:adjustRightInd w:val="0"/>
                    <w:jc w:val="center"/>
                    <w:rPr>
                      <w:sz w:val="24"/>
                      <w:szCs w:val="24"/>
                      <w:highlight w:val="none"/>
                    </w:rPr>
                  </w:pPr>
                  <w:r>
                    <w:rPr>
                      <w:sz w:val="24"/>
                      <w:szCs w:val="24"/>
                      <w:highlight w:val="none"/>
                    </w:rPr>
                    <w:t>1</w:t>
                  </w:r>
                </w:p>
              </w:tc>
              <w:tc>
                <w:tcPr>
                  <w:tcW w:w="936" w:type="pct"/>
                  <w:tcBorders>
                    <w:tl2br w:val="nil"/>
                    <w:tr2bl w:val="nil"/>
                  </w:tcBorders>
                  <w:noWrap w:val="0"/>
                  <w:vAlign w:val="center"/>
                </w:tcPr>
                <w:p w14:paraId="0A704481">
                  <w:pPr>
                    <w:widowControl/>
                    <w:autoSpaceDE w:val="0"/>
                    <w:autoSpaceDN w:val="0"/>
                    <w:adjustRightInd w:val="0"/>
                    <w:jc w:val="center"/>
                    <w:rPr>
                      <w:sz w:val="24"/>
                      <w:szCs w:val="24"/>
                      <w:highlight w:val="none"/>
                    </w:rPr>
                  </w:pPr>
                  <w:r>
                    <w:rPr>
                      <w:sz w:val="24"/>
                      <w:szCs w:val="24"/>
                      <w:highlight w:val="none"/>
                    </w:rPr>
                    <w:t>广东</w:t>
                  </w:r>
                </w:p>
              </w:tc>
              <w:tc>
                <w:tcPr>
                  <w:tcW w:w="703" w:type="pct"/>
                  <w:tcBorders>
                    <w:tl2br w:val="nil"/>
                    <w:tr2bl w:val="nil"/>
                  </w:tcBorders>
                  <w:noWrap w:val="0"/>
                  <w:vAlign w:val="center"/>
                </w:tcPr>
                <w:p w14:paraId="41AAD3B8">
                  <w:pPr>
                    <w:widowControl/>
                    <w:autoSpaceDE w:val="0"/>
                    <w:autoSpaceDN w:val="0"/>
                    <w:adjustRightInd w:val="0"/>
                    <w:jc w:val="center"/>
                    <w:rPr>
                      <w:sz w:val="24"/>
                      <w:szCs w:val="24"/>
                      <w:highlight w:val="none"/>
                    </w:rPr>
                  </w:pPr>
                  <w:r>
                    <w:rPr>
                      <w:sz w:val="24"/>
                      <w:szCs w:val="24"/>
                      <w:highlight w:val="none"/>
                    </w:rPr>
                    <w:t>2422153</w:t>
                  </w:r>
                </w:p>
              </w:tc>
              <w:tc>
                <w:tcPr>
                  <w:tcW w:w="446" w:type="pct"/>
                  <w:tcBorders>
                    <w:tl2br w:val="nil"/>
                    <w:tr2bl w:val="nil"/>
                  </w:tcBorders>
                  <w:noWrap w:val="0"/>
                  <w:vAlign w:val="center"/>
                </w:tcPr>
                <w:p w14:paraId="5AFF82D7">
                  <w:pPr>
                    <w:widowControl/>
                    <w:autoSpaceDE w:val="0"/>
                    <w:autoSpaceDN w:val="0"/>
                    <w:adjustRightInd w:val="0"/>
                    <w:jc w:val="center"/>
                    <w:rPr>
                      <w:sz w:val="24"/>
                      <w:szCs w:val="24"/>
                      <w:highlight w:val="none"/>
                    </w:rPr>
                  </w:pPr>
                  <w:r>
                    <w:rPr>
                      <w:sz w:val="24"/>
                      <w:szCs w:val="24"/>
                      <w:highlight w:val="none"/>
                    </w:rPr>
                    <w:t>65</w:t>
                  </w:r>
                </w:p>
              </w:tc>
              <w:tc>
                <w:tcPr>
                  <w:tcW w:w="428" w:type="pct"/>
                  <w:tcBorders>
                    <w:tl2br w:val="nil"/>
                    <w:tr2bl w:val="nil"/>
                  </w:tcBorders>
                  <w:noWrap w:val="0"/>
                  <w:vAlign w:val="center"/>
                </w:tcPr>
                <w:p w14:paraId="710B4442">
                  <w:pPr>
                    <w:widowControl/>
                    <w:autoSpaceDE w:val="0"/>
                    <w:autoSpaceDN w:val="0"/>
                    <w:adjustRightInd w:val="0"/>
                    <w:jc w:val="center"/>
                    <w:rPr>
                      <w:sz w:val="24"/>
                      <w:szCs w:val="24"/>
                      <w:highlight w:val="none"/>
                    </w:rPr>
                  </w:pPr>
                  <w:r>
                    <w:rPr>
                      <w:sz w:val="24"/>
                      <w:szCs w:val="24"/>
                      <w:highlight w:val="none"/>
                    </w:rPr>
                    <w:t>24</w:t>
                  </w:r>
                </w:p>
              </w:tc>
              <w:tc>
                <w:tcPr>
                  <w:tcW w:w="403" w:type="pct"/>
                  <w:tcBorders>
                    <w:tl2br w:val="nil"/>
                    <w:tr2bl w:val="nil"/>
                  </w:tcBorders>
                  <w:noWrap w:val="0"/>
                  <w:vAlign w:val="center"/>
                </w:tcPr>
                <w:p w14:paraId="0E582A52">
                  <w:pPr>
                    <w:widowControl/>
                    <w:autoSpaceDE w:val="0"/>
                    <w:autoSpaceDN w:val="0"/>
                    <w:adjustRightInd w:val="0"/>
                    <w:jc w:val="center"/>
                    <w:rPr>
                      <w:sz w:val="24"/>
                      <w:szCs w:val="24"/>
                      <w:highlight w:val="none"/>
                    </w:rPr>
                  </w:pPr>
                  <w:r>
                    <w:rPr>
                      <w:sz w:val="24"/>
                      <w:szCs w:val="24"/>
                      <w:highlight w:val="none"/>
                    </w:rPr>
                    <w:t>26</w:t>
                  </w:r>
                </w:p>
              </w:tc>
              <w:tc>
                <w:tcPr>
                  <w:tcW w:w="368" w:type="pct"/>
                  <w:tcBorders>
                    <w:tl2br w:val="nil"/>
                    <w:tr2bl w:val="nil"/>
                  </w:tcBorders>
                  <w:noWrap w:val="0"/>
                  <w:vAlign w:val="center"/>
                </w:tcPr>
                <w:p w14:paraId="60FC0B7E">
                  <w:pPr>
                    <w:widowControl/>
                    <w:autoSpaceDE w:val="0"/>
                    <w:autoSpaceDN w:val="0"/>
                    <w:adjustRightInd w:val="0"/>
                    <w:jc w:val="center"/>
                    <w:rPr>
                      <w:sz w:val="24"/>
                      <w:szCs w:val="24"/>
                      <w:highlight w:val="none"/>
                    </w:rPr>
                  </w:pPr>
                  <w:r>
                    <w:rPr>
                      <w:sz w:val="24"/>
                      <w:szCs w:val="24"/>
                      <w:highlight w:val="none"/>
                    </w:rPr>
                    <w:t>15</w:t>
                  </w:r>
                </w:p>
              </w:tc>
              <w:tc>
                <w:tcPr>
                  <w:tcW w:w="403" w:type="pct"/>
                  <w:tcBorders>
                    <w:tl2br w:val="nil"/>
                    <w:tr2bl w:val="nil"/>
                  </w:tcBorders>
                  <w:noWrap w:val="0"/>
                  <w:vAlign w:val="center"/>
                </w:tcPr>
                <w:p w14:paraId="2A0C57BC">
                  <w:pPr>
                    <w:widowControl/>
                    <w:autoSpaceDE w:val="0"/>
                    <w:autoSpaceDN w:val="0"/>
                    <w:adjustRightInd w:val="0"/>
                    <w:jc w:val="center"/>
                    <w:rPr>
                      <w:sz w:val="24"/>
                      <w:szCs w:val="24"/>
                      <w:highlight w:val="none"/>
                    </w:rPr>
                  </w:pPr>
                  <w:r>
                    <w:rPr>
                      <w:sz w:val="24"/>
                      <w:szCs w:val="24"/>
                      <w:highlight w:val="none"/>
                    </w:rPr>
                    <w:t>36</w:t>
                  </w:r>
                </w:p>
              </w:tc>
              <w:tc>
                <w:tcPr>
                  <w:tcW w:w="405" w:type="pct"/>
                  <w:tcBorders>
                    <w:tl2br w:val="nil"/>
                    <w:tr2bl w:val="nil"/>
                  </w:tcBorders>
                  <w:noWrap w:val="0"/>
                  <w:vAlign w:val="center"/>
                </w:tcPr>
                <w:p w14:paraId="427C2028">
                  <w:pPr>
                    <w:widowControl/>
                    <w:autoSpaceDE w:val="0"/>
                    <w:autoSpaceDN w:val="0"/>
                    <w:adjustRightInd w:val="0"/>
                    <w:jc w:val="center"/>
                    <w:rPr>
                      <w:sz w:val="24"/>
                      <w:szCs w:val="24"/>
                      <w:highlight w:val="none"/>
                    </w:rPr>
                  </w:pPr>
                  <w:r>
                    <w:rPr>
                      <w:sz w:val="24"/>
                      <w:szCs w:val="24"/>
                      <w:highlight w:val="none"/>
                    </w:rPr>
                    <w:t>105</w:t>
                  </w:r>
                </w:p>
              </w:tc>
              <w:tc>
                <w:tcPr>
                  <w:tcW w:w="532" w:type="pct"/>
                  <w:tcBorders>
                    <w:tl2br w:val="nil"/>
                    <w:tr2bl w:val="nil"/>
                  </w:tcBorders>
                  <w:noWrap w:val="0"/>
                  <w:vAlign w:val="center"/>
                </w:tcPr>
                <w:p w14:paraId="1EFFEC7E">
                  <w:pPr>
                    <w:widowControl/>
                    <w:autoSpaceDE w:val="0"/>
                    <w:autoSpaceDN w:val="0"/>
                    <w:adjustRightInd w:val="0"/>
                    <w:jc w:val="center"/>
                    <w:rPr>
                      <w:sz w:val="24"/>
                      <w:szCs w:val="24"/>
                      <w:highlight w:val="none"/>
                    </w:rPr>
                  </w:pPr>
                  <w:r>
                    <w:rPr>
                      <w:sz w:val="24"/>
                      <w:szCs w:val="24"/>
                      <w:highlight w:val="none"/>
                    </w:rPr>
                    <w:t>7455.88</w:t>
                  </w:r>
                </w:p>
              </w:tc>
            </w:tr>
            <w:tr w14:paraId="3FEA0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14:paraId="68ABFF4C">
                  <w:pPr>
                    <w:widowControl/>
                    <w:autoSpaceDE w:val="0"/>
                    <w:autoSpaceDN w:val="0"/>
                    <w:adjustRightInd w:val="0"/>
                    <w:jc w:val="center"/>
                    <w:rPr>
                      <w:sz w:val="24"/>
                      <w:szCs w:val="24"/>
                      <w:highlight w:val="none"/>
                    </w:rPr>
                  </w:pPr>
                  <w:r>
                    <w:rPr>
                      <w:sz w:val="24"/>
                      <w:szCs w:val="24"/>
                      <w:highlight w:val="none"/>
                    </w:rPr>
                    <w:t>2</w:t>
                  </w:r>
                </w:p>
              </w:tc>
              <w:tc>
                <w:tcPr>
                  <w:tcW w:w="936" w:type="pct"/>
                  <w:tcBorders>
                    <w:tl2br w:val="nil"/>
                    <w:tr2bl w:val="nil"/>
                  </w:tcBorders>
                  <w:noWrap w:val="0"/>
                  <w:vAlign w:val="center"/>
                </w:tcPr>
                <w:p w14:paraId="70C74009">
                  <w:pPr>
                    <w:widowControl/>
                    <w:autoSpaceDE w:val="0"/>
                    <w:autoSpaceDN w:val="0"/>
                    <w:adjustRightInd w:val="0"/>
                    <w:jc w:val="center"/>
                    <w:rPr>
                      <w:sz w:val="24"/>
                      <w:szCs w:val="24"/>
                      <w:highlight w:val="none"/>
                    </w:rPr>
                  </w:pPr>
                  <w:r>
                    <w:rPr>
                      <w:sz w:val="24"/>
                      <w:szCs w:val="24"/>
                      <w:highlight w:val="none"/>
                    </w:rPr>
                    <w:t>长江（湖北、重庆）</w:t>
                  </w:r>
                </w:p>
              </w:tc>
              <w:tc>
                <w:tcPr>
                  <w:tcW w:w="703" w:type="pct"/>
                  <w:tcBorders>
                    <w:tl2br w:val="nil"/>
                    <w:tr2bl w:val="nil"/>
                  </w:tcBorders>
                  <w:noWrap w:val="0"/>
                  <w:vAlign w:val="center"/>
                </w:tcPr>
                <w:p w14:paraId="590A91CD">
                  <w:pPr>
                    <w:widowControl/>
                    <w:autoSpaceDE w:val="0"/>
                    <w:autoSpaceDN w:val="0"/>
                    <w:adjustRightInd w:val="0"/>
                    <w:jc w:val="center"/>
                    <w:rPr>
                      <w:sz w:val="24"/>
                      <w:szCs w:val="24"/>
                      <w:highlight w:val="none"/>
                    </w:rPr>
                  </w:pPr>
                  <w:r>
                    <w:rPr>
                      <w:sz w:val="24"/>
                      <w:szCs w:val="24"/>
                      <w:highlight w:val="none"/>
                    </w:rPr>
                    <w:t>200043</w:t>
                  </w:r>
                </w:p>
              </w:tc>
              <w:tc>
                <w:tcPr>
                  <w:tcW w:w="446" w:type="pct"/>
                  <w:tcBorders>
                    <w:tl2br w:val="nil"/>
                    <w:tr2bl w:val="nil"/>
                  </w:tcBorders>
                  <w:noWrap w:val="0"/>
                  <w:vAlign w:val="center"/>
                </w:tcPr>
                <w:p w14:paraId="25B237FD">
                  <w:pPr>
                    <w:widowControl/>
                    <w:autoSpaceDE w:val="0"/>
                    <w:autoSpaceDN w:val="0"/>
                    <w:adjustRightInd w:val="0"/>
                    <w:jc w:val="center"/>
                    <w:rPr>
                      <w:sz w:val="24"/>
                      <w:szCs w:val="24"/>
                      <w:highlight w:val="none"/>
                    </w:rPr>
                  </w:pPr>
                  <w:r>
                    <w:rPr>
                      <w:sz w:val="24"/>
                      <w:szCs w:val="24"/>
                      <w:highlight w:val="none"/>
                    </w:rPr>
                    <w:t>72</w:t>
                  </w:r>
                </w:p>
              </w:tc>
              <w:tc>
                <w:tcPr>
                  <w:tcW w:w="428" w:type="pct"/>
                  <w:tcBorders>
                    <w:tl2br w:val="nil"/>
                    <w:tr2bl w:val="nil"/>
                  </w:tcBorders>
                  <w:noWrap w:val="0"/>
                  <w:vAlign w:val="center"/>
                </w:tcPr>
                <w:p w14:paraId="719D2FAF">
                  <w:pPr>
                    <w:widowControl/>
                    <w:autoSpaceDE w:val="0"/>
                    <w:autoSpaceDN w:val="0"/>
                    <w:adjustRightInd w:val="0"/>
                    <w:jc w:val="center"/>
                    <w:rPr>
                      <w:sz w:val="24"/>
                      <w:szCs w:val="24"/>
                      <w:highlight w:val="none"/>
                    </w:rPr>
                  </w:pPr>
                  <w:r>
                    <w:rPr>
                      <w:sz w:val="24"/>
                      <w:szCs w:val="24"/>
                      <w:highlight w:val="none"/>
                    </w:rPr>
                    <w:t>8</w:t>
                  </w:r>
                </w:p>
              </w:tc>
              <w:tc>
                <w:tcPr>
                  <w:tcW w:w="403" w:type="pct"/>
                  <w:tcBorders>
                    <w:tl2br w:val="nil"/>
                    <w:tr2bl w:val="nil"/>
                  </w:tcBorders>
                  <w:noWrap w:val="0"/>
                  <w:vAlign w:val="center"/>
                </w:tcPr>
                <w:p w14:paraId="45F32CCE">
                  <w:pPr>
                    <w:widowControl/>
                    <w:autoSpaceDE w:val="0"/>
                    <w:autoSpaceDN w:val="0"/>
                    <w:adjustRightInd w:val="0"/>
                    <w:jc w:val="center"/>
                    <w:rPr>
                      <w:sz w:val="24"/>
                      <w:szCs w:val="24"/>
                      <w:highlight w:val="none"/>
                    </w:rPr>
                  </w:pPr>
                  <w:r>
                    <w:rPr>
                      <w:sz w:val="24"/>
                      <w:szCs w:val="24"/>
                      <w:highlight w:val="none"/>
                    </w:rPr>
                    <w:t>41</w:t>
                  </w:r>
                </w:p>
              </w:tc>
              <w:tc>
                <w:tcPr>
                  <w:tcW w:w="368" w:type="pct"/>
                  <w:tcBorders>
                    <w:tl2br w:val="nil"/>
                    <w:tr2bl w:val="nil"/>
                  </w:tcBorders>
                  <w:noWrap w:val="0"/>
                  <w:vAlign w:val="center"/>
                </w:tcPr>
                <w:p w14:paraId="234B4FE9">
                  <w:pPr>
                    <w:widowControl/>
                    <w:autoSpaceDE w:val="0"/>
                    <w:autoSpaceDN w:val="0"/>
                    <w:adjustRightInd w:val="0"/>
                    <w:jc w:val="center"/>
                    <w:rPr>
                      <w:sz w:val="24"/>
                      <w:szCs w:val="24"/>
                      <w:highlight w:val="none"/>
                    </w:rPr>
                  </w:pPr>
                  <w:r>
                    <w:rPr>
                      <w:sz w:val="24"/>
                      <w:szCs w:val="24"/>
                      <w:highlight w:val="none"/>
                    </w:rPr>
                    <w:t>23</w:t>
                  </w:r>
                </w:p>
              </w:tc>
              <w:tc>
                <w:tcPr>
                  <w:tcW w:w="403" w:type="pct"/>
                  <w:tcBorders>
                    <w:tl2br w:val="nil"/>
                    <w:tr2bl w:val="nil"/>
                  </w:tcBorders>
                  <w:noWrap w:val="0"/>
                  <w:vAlign w:val="center"/>
                </w:tcPr>
                <w:p w14:paraId="690A8A5B">
                  <w:pPr>
                    <w:widowControl/>
                    <w:autoSpaceDE w:val="0"/>
                    <w:autoSpaceDN w:val="0"/>
                    <w:adjustRightInd w:val="0"/>
                    <w:jc w:val="center"/>
                    <w:rPr>
                      <w:sz w:val="24"/>
                      <w:szCs w:val="24"/>
                      <w:highlight w:val="none"/>
                    </w:rPr>
                  </w:pPr>
                  <w:r>
                    <w:rPr>
                      <w:sz w:val="24"/>
                      <w:szCs w:val="24"/>
                      <w:highlight w:val="none"/>
                    </w:rPr>
                    <w:t>49</w:t>
                  </w:r>
                </w:p>
              </w:tc>
              <w:tc>
                <w:tcPr>
                  <w:tcW w:w="405" w:type="pct"/>
                  <w:tcBorders>
                    <w:tl2br w:val="nil"/>
                    <w:tr2bl w:val="nil"/>
                  </w:tcBorders>
                  <w:noWrap w:val="0"/>
                  <w:vAlign w:val="center"/>
                </w:tcPr>
                <w:p w14:paraId="7C601A98">
                  <w:pPr>
                    <w:widowControl/>
                    <w:autoSpaceDE w:val="0"/>
                    <w:autoSpaceDN w:val="0"/>
                    <w:adjustRightInd w:val="0"/>
                    <w:jc w:val="center"/>
                    <w:rPr>
                      <w:sz w:val="24"/>
                      <w:szCs w:val="24"/>
                      <w:highlight w:val="none"/>
                    </w:rPr>
                  </w:pPr>
                  <w:r>
                    <w:rPr>
                      <w:sz w:val="24"/>
                      <w:szCs w:val="24"/>
                      <w:highlight w:val="none"/>
                    </w:rPr>
                    <w:t>69</w:t>
                  </w:r>
                </w:p>
              </w:tc>
              <w:tc>
                <w:tcPr>
                  <w:tcW w:w="532" w:type="pct"/>
                  <w:tcBorders>
                    <w:tl2br w:val="nil"/>
                    <w:tr2bl w:val="nil"/>
                  </w:tcBorders>
                  <w:noWrap w:val="0"/>
                  <w:vAlign w:val="center"/>
                </w:tcPr>
                <w:p w14:paraId="74857732">
                  <w:pPr>
                    <w:widowControl/>
                    <w:autoSpaceDE w:val="0"/>
                    <w:autoSpaceDN w:val="0"/>
                    <w:adjustRightInd w:val="0"/>
                    <w:jc w:val="center"/>
                    <w:rPr>
                      <w:sz w:val="24"/>
                      <w:szCs w:val="24"/>
                      <w:highlight w:val="none"/>
                    </w:rPr>
                  </w:pPr>
                  <w:r>
                    <w:rPr>
                      <w:sz w:val="24"/>
                      <w:szCs w:val="24"/>
                      <w:highlight w:val="none"/>
                    </w:rPr>
                    <w:t>2534</w:t>
                  </w:r>
                </w:p>
              </w:tc>
            </w:tr>
            <w:tr w14:paraId="5BC53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14:paraId="1705CB43">
                  <w:pPr>
                    <w:widowControl/>
                    <w:autoSpaceDE w:val="0"/>
                    <w:autoSpaceDN w:val="0"/>
                    <w:adjustRightInd w:val="0"/>
                    <w:jc w:val="center"/>
                    <w:rPr>
                      <w:sz w:val="24"/>
                      <w:szCs w:val="24"/>
                      <w:highlight w:val="none"/>
                    </w:rPr>
                  </w:pPr>
                  <w:r>
                    <w:rPr>
                      <w:sz w:val="24"/>
                      <w:szCs w:val="24"/>
                      <w:highlight w:val="none"/>
                    </w:rPr>
                    <w:t>3</w:t>
                  </w:r>
                </w:p>
              </w:tc>
              <w:tc>
                <w:tcPr>
                  <w:tcW w:w="936" w:type="pct"/>
                  <w:tcBorders>
                    <w:tl2br w:val="nil"/>
                    <w:tr2bl w:val="nil"/>
                  </w:tcBorders>
                  <w:noWrap w:val="0"/>
                  <w:vAlign w:val="center"/>
                </w:tcPr>
                <w:p w14:paraId="75DD517C">
                  <w:pPr>
                    <w:widowControl/>
                    <w:autoSpaceDE w:val="0"/>
                    <w:autoSpaceDN w:val="0"/>
                    <w:adjustRightInd w:val="0"/>
                    <w:jc w:val="center"/>
                    <w:rPr>
                      <w:sz w:val="24"/>
                      <w:szCs w:val="24"/>
                      <w:highlight w:val="none"/>
                    </w:rPr>
                  </w:pPr>
                  <w:r>
                    <w:rPr>
                      <w:sz w:val="24"/>
                      <w:szCs w:val="24"/>
                      <w:highlight w:val="none"/>
                    </w:rPr>
                    <w:t>浙江</w:t>
                  </w:r>
                </w:p>
              </w:tc>
              <w:tc>
                <w:tcPr>
                  <w:tcW w:w="703" w:type="pct"/>
                  <w:tcBorders>
                    <w:tl2br w:val="nil"/>
                    <w:tr2bl w:val="nil"/>
                  </w:tcBorders>
                  <w:noWrap w:val="0"/>
                  <w:vAlign w:val="center"/>
                </w:tcPr>
                <w:p w14:paraId="468FE770">
                  <w:pPr>
                    <w:widowControl/>
                    <w:autoSpaceDE w:val="0"/>
                    <w:autoSpaceDN w:val="0"/>
                    <w:adjustRightInd w:val="0"/>
                    <w:jc w:val="center"/>
                    <w:rPr>
                      <w:sz w:val="24"/>
                      <w:szCs w:val="24"/>
                      <w:highlight w:val="none"/>
                    </w:rPr>
                  </w:pPr>
                  <w:r>
                    <w:rPr>
                      <w:sz w:val="24"/>
                      <w:szCs w:val="24"/>
                      <w:highlight w:val="none"/>
                    </w:rPr>
                    <w:t>1724247</w:t>
                  </w:r>
                </w:p>
              </w:tc>
              <w:tc>
                <w:tcPr>
                  <w:tcW w:w="446" w:type="pct"/>
                  <w:tcBorders>
                    <w:tl2br w:val="nil"/>
                    <w:tr2bl w:val="nil"/>
                  </w:tcBorders>
                  <w:noWrap w:val="0"/>
                  <w:vAlign w:val="center"/>
                </w:tcPr>
                <w:p w14:paraId="5F898FF4">
                  <w:pPr>
                    <w:widowControl/>
                    <w:autoSpaceDE w:val="0"/>
                    <w:autoSpaceDN w:val="0"/>
                    <w:adjustRightInd w:val="0"/>
                    <w:jc w:val="center"/>
                    <w:rPr>
                      <w:sz w:val="24"/>
                      <w:szCs w:val="24"/>
                      <w:highlight w:val="none"/>
                    </w:rPr>
                  </w:pPr>
                </w:p>
              </w:tc>
              <w:tc>
                <w:tcPr>
                  <w:tcW w:w="428" w:type="pct"/>
                  <w:tcBorders>
                    <w:tl2br w:val="nil"/>
                    <w:tr2bl w:val="nil"/>
                  </w:tcBorders>
                  <w:noWrap w:val="0"/>
                  <w:vAlign w:val="center"/>
                </w:tcPr>
                <w:p w14:paraId="3D35A753">
                  <w:pPr>
                    <w:widowControl/>
                    <w:autoSpaceDE w:val="0"/>
                    <w:autoSpaceDN w:val="0"/>
                    <w:adjustRightInd w:val="0"/>
                    <w:jc w:val="center"/>
                    <w:rPr>
                      <w:sz w:val="24"/>
                      <w:szCs w:val="24"/>
                      <w:highlight w:val="none"/>
                    </w:rPr>
                  </w:pPr>
                </w:p>
              </w:tc>
              <w:tc>
                <w:tcPr>
                  <w:tcW w:w="403" w:type="pct"/>
                  <w:tcBorders>
                    <w:tl2br w:val="nil"/>
                    <w:tr2bl w:val="nil"/>
                  </w:tcBorders>
                  <w:noWrap w:val="0"/>
                  <w:vAlign w:val="center"/>
                </w:tcPr>
                <w:p w14:paraId="026B5241">
                  <w:pPr>
                    <w:widowControl/>
                    <w:autoSpaceDE w:val="0"/>
                    <w:autoSpaceDN w:val="0"/>
                    <w:adjustRightInd w:val="0"/>
                    <w:jc w:val="center"/>
                    <w:rPr>
                      <w:sz w:val="24"/>
                      <w:szCs w:val="24"/>
                      <w:highlight w:val="none"/>
                    </w:rPr>
                  </w:pPr>
                </w:p>
              </w:tc>
              <w:tc>
                <w:tcPr>
                  <w:tcW w:w="368" w:type="pct"/>
                  <w:tcBorders>
                    <w:tl2br w:val="nil"/>
                    <w:tr2bl w:val="nil"/>
                  </w:tcBorders>
                  <w:noWrap w:val="0"/>
                  <w:vAlign w:val="center"/>
                </w:tcPr>
                <w:p w14:paraId="144DE800">
                  <w:pPr>
                    <w:widowControl/>
                    <w:autoSpaceDE w:val="0"/>
                    <w:autoSpaceDN w:val="0"/>
                    <w:adjustRightInd w:val="0"/>
                    <w:jc w:val="center"/>
                    <w:rPr>
                      <w:sz w:val="24"/>
                      <w:szCs w:val="24"/>
                      <w:highlight w:val="none"/>
                    </w:rPr>
                  </w:pPr>
                </w:p>
              </w:tc>
              <w:tc>
                <w:tcPr>
                  <w:tcW w:w="403" w:type="pct"/>
                  <w:tcBorders>
                    <w:tl2br w:val="nil"/>
                    <w:tr2bl w:val="nil"/>
                  </w:tcBorders>
                  <w:noWrap w:val="0"/>
                  <w:vAlign w:val="center"/>
                </w:tcPr>
                <w:p w14:paraId="35D8C6DC">
                  <w:pPr>
                    <w:widowControl/>
                    <w:autoSpaceDE w:val="0"/>
                    <w:autoSpaceDN w:val="0"/>
                    <w:adjustRightInd w:val="0"/>
                    <w:jc w:val="center"/>
                    <w:rPr>
                      <w:sz w:val="24"/>
                      <w:szCs w:val="24"/>
                      <w:highlight w:val="none"/>
                    </w:rPr>
                  </w:pPr>
                </w:p>
              </w:tc>
              <w:tc>
                <w:tcPr>
                  <w:tcW w:w="405" w:type="pct"/>
                  <w:tcBorders>
                    <w:tl2br w:val="nil"/>
                    <w:tr2bl w:val="nil"/>
                  </w:tcBorders>
                  <w:noWrap w:val="0"/>
                  <w:vAlign w:val="center"/>
                </w:tcPr>
                <w:p w14:paraId="32ADC176">
                  <w:pPr>
                    <w:widowControl/>
                    <w:autoSpaceDE w:val="0"/>
                    <w:autoSpaceDN w:val="0"/>
                    <w:adjustRightInd w:val="0"/>
                    <w:jc w:val="center"/>
                    <w:rPr>
                      <w:sz w:val="24"/>
                      <w:szCs w:val="24"/>
                      <w:highlight w:val="none"/>
                    </w:rPr>
                  </w:pPr>
                  <w:r>
                    <w:rPr>
                      <w:sz w:val="24"/>
                      <w:szCs w:val="24"/>
                      <w:highlight w:val="none"/>
                    </w:rPr>
                    <w:t>136</w:t>
                  </w:r>
                </w:p>
              </w:tc>
              <w:tc>
                <w:tcPr>
                  <w:tcW w:w="532" w:type="pct"/>
                  <w:tcBorders>
                    <w:tl2br w:val="nil"/>
                    <w:tr2bl w:val="nil"/>
                  </w:tcBorders>
                  <w:noWrap w:val="0"/>
                  <w:vAlign w:val="center"/>
                </w:tcPr>
                <w:p w14:paraId="51169B8E">
                  <w:pPr>
                    <w:widowControl/>
                    <w:autoSpaceDE w:val="0"/>
                    <w:autoSpaceDN w:val="0"/>
                    <w:adjustRightInd w:val="0"/>
                    <w:jc w:val="center"/>
                    <w:rPr>
                      <w:sz w:val="24"/>
                      <w:szCs w:val="24"/>
                      <w:highlight w:val="none"/>
                    </w:rPr>
                  </w:pPr>
                </w:p>
              </w:tc>
            </w:tr>
            <w:tr w14:paraId="6EB61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14:paraId="7A27EEA1">
                  <w:pPr>
                    <w:widowControl/>
                    <w:autoSpaceDE w:val="0"/>
                    <w:autoSpaceDN w:val="0"/>
                    <w:adjustRightInd w:val="0"/>
                    <w:jc w:val="center"/>
                    <w:rPr>
                      <w:sz w:val="24"/>
                      <w:szCs w:val="24"/>
                      <w:highlight w:val="none"/>
                    </w:rPr>
                  </w:pPr>
                  <w:r>
                    <w:rPr>
                      <w:sz w:val="24"/>
                      <w:szCs w:val="24"/>
                      <w:highlight w:val="none"/>
                    </w:rPr>
                    <w:t>4</w:t>
                  </w:r>
                </w:p>
              </w:tc>
              <w:tc>
                <w:tcPr>
                  <w:tcW w:w="936" w:type="pct"/>
                  <w:tcBorders>
                    <w:tl2br w:val="nil"/>
                    <w:tr2bl w:val="nil"/>
                  </w:tcBorders>
                  <w:noWrap w:val="0"/>
                  <w:vAlign w:val="center"/>
                </w:tcPr>
                <w:p w14:paraId="5FC1A35E">
                  <w:pPr>
                    <w:widowControl/>
                    <w:autoSpaceDE w:val="0"/>
                    <w:autoSpaceDN w:val="0"/>
                    <w:adjustRightInd w:val="0"/>
                    <w:jc w:val="center"/>
                    <w:rPr>
                      <w:sz w:val="24"/>
                      <w:szCs w:val="24"/>
                      <w:highlight w:val="none"/>
                    </w:rPr>
                  </w:pPr>
                  <w:r>
                    <w:rPr>
                      <w:sz w:val="24"/>
                      <w:szCs w:val="24"/>
                      <w:highlight w:val="none"/>
                    </w:rPr>
                    <w:t>江苏</w:t>
                  </w:r>
                </w:p>
              </w:tc>
              <w:tc>
                <w:tcPr>
                  <w:tcW w:w="703" w:type="pct"/>
                  <w:tcBorders>
                    <w:tl2br w:val="nil"/>
                    <w:tr2bl w:val="nil"/>
                  </w:tcBorders>
                  <w:noWrap w:val="0"/>
                  <w:vAlign w:val="center"/>
                </w:tcPr>
                <w:p w14:paraId="7D52D39B">
                  <w:pPr>
                    <w:widowControl/>
                    <w:autoSpaceDE w:val="0"/>
                    <w:autoSpaceDN w:val="0"/>
                    <w:adjustRightInd w:val="0"/>
                    <w:jc w:val="center"/>
                    <w:rPr>
                      <w:sz w:val="24"/>
                      <w:szCs w:val="24"/>
                      <w:highlight w:val="none"/>
                    </w:rPr>
                  </w:pPr>
                  <w:r>
                    <w:rPr>
                      <w:sz w:val="24"/>
                      <w:szCs w:val="24"/>
                      <w:highlight w:val="none"/>
                    </w:rPr>
                    <w:t>551601</w:t>
                  </w:r>
                </w:p>
              </w:tc>
              <w:tc>
                <w:tcPr>
                  <w:tcW w:w="446" w:type="pct"/>
                  <w:tcBorders>
                    <w:tl2br w:val="nil"/>
                    <w:tr2bl w:val="nil"/>
                  </w:tcBorders>
                  <w:noWrap w:val="0"/>
                  <w:vAlign w:val="center"/>
                </w:tcPr>
                <w:p w14:paraId="562B034C">
                  <w:pPr>
                    <w:widowControl/>
                    <w:autoSpaceDE w:val="0"/>
                    <w:autoSpaceDN w:val="0"/>
                    <w:adjustRightInd w:val="0"/>
                    <w:jc w:val="center"/>
                    <w:rPr>
                      <w:sz w:val="24"/>
                      <w:szCs w:val="24"/>
                      <w:highlight w:val="none"/>
                    </w:rPr>
                  </w:pPr>
                  <w:r>
                    <w:rPr>
                      <w:sz w:val="24"/>
                      <w:szCs w:val="24"/>
                      <w:highlight w:val="none"/>
                    </w:rPr>
                    <w:t>58</w:t>
                  </w:r>
                </w:p>
              </w:tc>
              <w:tc>
                <w:tcPr>
                  <w:tcW w:w="428" w:type="pct"/>
                  <w:tcBorders>
                    <w:tl2br w:val="nil"/>
                    <w:tr2bl w:val="nil"/>
                  </w:tcBorders>
                  <w:noWrap w:val="0"/>
                  <w:vAlign w:val="center"/>
                </w:tcPr>
                <w:p w14:paraId="776D318C">
                  <w:pPr>
                    <w:widowControl/>
                    <w:autoSpaceDE w:val="0"/>
                    <w:autoSpaceDN w:val="0"/>
                    <w:adjustRightInd w:val="0"/>
                    <w:jc w:val="center"/>
                    <w:rPr>
                      <w:sz w:val="24"/>
                      <w:szCs w:val="24"/>
                      <w:highlight w:val="none"/>
                    </w:rPr>
                  </w:pPr>
                  <w:r>
                    <w:rPr>
                      <w:sz w:val="24"/>
                      <w:szCs w:val="24"/>
                      <w:highlight w:val="none"/>
                    </w:rPr>
                    <w:t>6</w:t>
                  </w:r>
                </w:p>
              </w:tc>
              <w:tc>
                <w:tcPr>
                  <w:tcW w:w="403" w:type="pct"/>
                  <w:tcBorders>
                    <w:tl2br w:val="nil"/>
                    <w:tr2bl w:val="nil"/>
                  </w:tcBorders>
                  <w:noWrap w:val="0"/>
                  <w:vAlign w:val="center"/>
                </w:tcPr>
                <w:p w14:paraId="66437730">
                  <w:pPr>
                    <w:widowControl/>
                    <w:autoSpaceDE w:val="0"/>
                    <w:autoSpaceDN w:val="0"/>
                    <w:adjustRightInd w:val="0"/>
                    <w:jc w:val="center"/>
                    <w:rPr>
                      <w:sz w:val="24"/>
                      <w:szCs w:val="24"/>
                      <w:highlight w:val="none"/>
                    </w:rPr>
                  </w:pPr>
                  <w:r>
                    <w:rPr>
                      <w:sz w:val="24"/>
                      <w:szCs w:val="24"/>
                      <w:highlight w:val="none"/>
                    </w:rPr>
                    <w:t>40</w:t>
                  </w:r>
                </w:p>
              </w:tc>
              <w:tc>
                <w:tcPr>
                  <w:tcW w:w="368" w:type="pct"/>
                  <w:tcBorders>
                    <w:tl2br w:val="nil"/>
                    <w:tr2bl w:val="nil"/>
                  </w:tcBorders>
                  <w:noWrap w:val="0"/>
                  <w:vAlign w:val="center"/>
                </w:tcPr>
                <w:p w14:paraId="499FE50F">
                  <w:pPr>
                    <w:widowControl/>
                    <w:autoSpaceDE w:val="0"/>
                    <w:autoSpaceDN w:val="0"/>
                    <w:adjustRightInd w:val="0"/>
                    <w:jc w:val="center"/>
                    <w:rPr>
                      <w:sz w:val="24"/>
                      <w:szCs w:val="24"/>
                      <w:highlight w:val="none"/>
                    </w:rPr>
                  </w:pPr>
                  <w:r>
                    <w:rPr>
                      <w:sz w:val="24"/>
                      <w:szCs w:val="24"/>
                      <w:highlight w:val="none"/>
                    </w:rPr>
                    <w:t>12</w:t>
                  </w:r>
                </w:p>
              </w:tc>
              <w:tc>
                <w:tcPr>
                  <w:tcW w:w="403" w:type="pct"/>
                  <w:tcBorders>
                    <w:tl2br w:val="nil"/>
                    <w:tr2bl w:val="nil"/>
                  </w:tcBorders>
                  <w:noWrap w:val="0"/>
                  <w:vAlign w:val="center"/>
                </w:tcPr>
                <w:p w14:paraId="35A2D859">
                  <w:pPr>
                    <w:widowControl/>
                    <w:autoSpaceDE w:val="0"/>
                    <w:autoSpaceDN w:val="0"/>
                    <w:adjustRightInd w:val="0"/>
                    <w:jc w:val="center"/>
                    <w:rPr>
                      <w:sz w:val="24"/>
                      <w:szCs w:val="24"/>
                      <w:highlight w:val="none"/>
                    </w:rPr>
                  </w:pPr>
                  <w:r>
                    <w:rPr>
                      <w:sz w:val="24"/>
                      <w:szCs w:val="24"/>
                      <w:highlight w:val="none"/>
                    </w:rPr>
                    <w:t>49</w:t>
                  </w:r>
                </w:p>
              </w:tc>
              <w:tc>
                <w:tcPr>
                  <w:tcW w:w="405" w:type="pct"/>
                  <w:tcBorders>
                    <w:tl2br w:val="nil"/>
                    <w:tr2bl w:val="nil"/>
                  </w:tcBorders>
                  <w:noWrap w:val="0"/>
                  <w:vAlign w:val="center"/>
                </w:tcPr>
                <w:p w14:paraId="61CA0E83">
                  <w:pPr>
                    <w:widowControl/>
                    <w:autoSpaceDE w:val="0"/>
                    <w:autoSpaceDN w:val="0"/>
                    <w:adjustRightInd w:val="0"/>
                    <w:jc w:val="center"/>
                    <w:rPr>
                      <w:sz w:val="24"/>
                      <w:szCs w:val="24"/>
                      <w:highlight w:val="none"/>
                    </w:rPr>
                  </w:pPr>
                  <w:r>
                    <w:rPr>
                      <w:sz w:val="24"/>
                      <w:szCs w:val="24"/>
                      <w:highlight w:val="none"/>
                    </w:rPr>
                    <w:t>51</w:t>
                  </w:r>
                </w:p>
              </w:tc>
              <w:tc>
                <w:tcPr>
                  <w:tcW w:w="532" w:type="pct"/>
                  <w:tcBorders>
                    <w:tl2br w:val="nil"/>
                    <w:tr2bl w:val="nil"/>
                  </w:tcBorders>
                  <w:noWrap w:val="0"/>
                  <w:vAlign w:val="center"/>
                </w:tcPr>
                <w:p w14:paraId="74347341">
                  <w:pPr>
                    <w:widowControl/>
                    <w:autoSpaceDE w:val="0"/>
                    <w:autoSpaceDN w:val="0"/>
                    <w:adjustRightInd w:val="0"/>
                    <w:jc w:val="center"/>
                    <w:rPr>
                      <w:sz w:val="24"/>
                      <w:szCs w:val="24"/>
                      <w:highlight w:val="none"/>
                    </w:rPr>
                  </w:pPr>
                  <w:r>
                    <w:rPr>
                      <w:sz w:val="24"/>
                      <w:szCs w:val="24"/>
                      <w:highlight w:val="none"/>
                    </w:rPr>
                    <w:t>4785.35</w:t>
                  </w:r>
                </w:p>
              </w:tc>
            </w:tr>
            <w:tr w14:paraId="29713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14:paraId="6C8AB02A">
                  <w:pPr>
                    <w:widowControl/>
                    <w:autoSpaceDE w:val="0"/>
                    <w:autoSpaceDN w:val="0"/>
                    <w:adjustRightInd w:val="0"/>
                    <w:jc w:val="center"/>
                    <w:rPr>
                      <w:sz w:val="24"/>
                      <w:szCs w:val="24"/>
                      <w:highlight w:val="none"/>
                    </w:rPr>
                  </w:pPr>
                  <w:r>
                    <w:rPr>
                      <w:sz w:val="24"/>
                      <w:szCs w:val="24"/>
                      <w:highlight w:val="none"/>
                    </w:rPr>
                    <w:t>5</w:t>
                  </w:r>
                </w:p>
              </w:tc>
              <w:tc>
                <w:tcPr>
                  <w:tcW w:w="936" w:type="pct"/>
                  <w:tcBorders>
                    <w:tl2br w:val="nil"/>
                    <w:tr2bl w:val="nil"/>
                  </w:tcBorders>
                  <w:noWrap w:val="0"/>
                  <w:vAlign w:val="center"/>
                </w:tcPr>
                <w:p w14:paraId="104BC0F2">
                  <w:pPr>
                    <w:widowControl/>
                    <w:autoSpaceDE w:val="0"/>
                    <w:autoSpaceDN w:val="0"/>
                    <w:adjustRightInd w:val="0"/>
                    <w:jc w:val="center"/>
                    <w:rPr>
                      <w:sz w:val="24"/>
                      <w:szCs w:val="24"/>
                      <w:highlight w:val="none"/>
                    </w:rPr>
                  </w:pPr>
                  <w:r>
                    <w:rPr>
                      <w:sz w:val="24"/>
                      <w:szCs w:val="24"/>
                      <w:highlight w:val="none"/>
                    </w:rPr>
                    <w:t>上海</w:t>
                  </w:r>
                </w:p>
              </w:tc>
              <w:tc>
                <w:tcPr>
                  <w:tcW w:w="703" w:type="pct"/>
                  <w:tcBorders>
                    <w:tl2br w:val="nil"/>
                    <w:tr2bl w:val="nil"/>
                  </w:tcBorders>
                  <w:noWrap w:val="0"/>
                  <w:vAlign w:val="center"/>
                </w:tcPr>
                <w:p w14:paraId="53E0FC76">
                  <w:pPr>
                    <w:widowControl/>
                    <w:autoSpaceDE w:val="0"/>
                    <w:autoSpaceDN w:val="0"/>
                    <w:adjustRightInd w:val="0"/>
                    <w:jc w:val="center"/>
                    <w:rPr>
                      <w:sz w:val="24"/>
                      <w:szCs w:val="24"/>
                      <w:highlight w:val="none"/>
                    </w:rPr>
                  </w:pPr>
                  <w:r>
                    <w:rPr>
                      <w:sz w:val="24"/>
                      <w:szCs w:val="24"/>
                      <w:highlight w:val="none"/>
                    </w:rPr>
                    <w:t>503733</w:t>
                  </w:r>
                </w:p>
              </w:tc>
              <w:tc>
                <w:tcPr>
                  <w:tcW w:w="446" w:type="pct"/>
                  <w:tcBorders>
                    <w:tl2br w:val="nil"/>
                    <w:tr2bl w:val="nil"/>
                  </w:tcBorders>
                  <w:noWrap w:val="0"/>
                  <w:vAlign w:val="center"/>
                </w:tcPr>
                <w:p w14:paraId="14E5DA94">
                  <w:pPr>
                    <w:widowControl/>
                    <w:autoSpaceDE w:val="0"/>
                    <w:autoSpaceDN w:val="0"/>
                    <w:adjustRightInd w:val="0"/>
                    <w:jc w:val="center"/>
                    <w:rPr>
                      <w:sz w:val="24"/>
                      <w:szCs w:val="24"/>
                      <w:highlight w:val="none"/>
                    </w:rPr>
                  </w:pPr>
                  <w:r>
                    <w:rPr>
                      <w:sz w:val="24"/>
                      <w:szCs w:val="24"/>
                      <w:highlight w:val="none"/>
                    </w:rPr>
                    <w:t>67</w:t>
                  </w:r>
                </w:p>
              </w:tc>
              <w:tc>
                <w:tcPr>
                  <w:tcW w:w="428" w:type="pct"/>
                  <w:tcBorders>
                    <w:tl2br w:val="nil"/>
                    <w:tr2bl w:val="nil"/>
                  </w:tcBorders>
                  <w:noWrap w:val="0"/>
                  <w:vAlign w:val="center"/>
                </w:tcPr>
                <w:p w14:paraId="357D4A16">
                  <w:pPr>
                    <w:widowControl/>
                    <w:autoSpaceDE w:val="0"/>
                    <w:autoSpaceDN w:val="0"/>
                    <w:adjustRightInd w:val="0"/>
                    <w:jc w:val="center"/>
                    <w:rPr>
                      <w:sz w:val="24"/>
                      <w:szCs w:val="24"/>
                      <w:highlight w:val="none"/>
                    </w:rPr>
                  </w:pPr>
                  <w:r>
                    <w:rPr>
                      <w:sz w:val="24"/>
                      <w:szCs w:val="24"/>
                      <w:highlight w:val="none"/>
                    </w:rPr>
                    <w:t>14</w:t>
                  </w:r>
                </w:p>
              </w:tc>
              <w:tc>
                <w:tcPr>
                  <w:tcW w:w="403" w:type="pct"/>
                  <w:tcBorders>
                    <w:tl2br w:val="nil"/>
                    <w:tr2bl w:val="nil"/>
                  </w:tcBorders>
                  <w:noWrap w:val="0"/>
                  <w:vAlign w:val="center"/>
                </w:tcPr>
                <w:p w14:paraId="5C35692C">
                  <w:pPr>
                    <w:widowControl/>
                    <w:autoSpaceDE w:val="0"/>
                    <w:autoSpaceDN w:val="0"/>
                    <w:adjustRightInd w:val="0"/>
                    <w:jc w:val="center"/>
                    <w:rPr>
                      <w:sz w:val="24"/>
                      <w:szCs w:val="24"/>
                      <w:highlight w:val="none"/>
                    </w:rPr>
                  </w:pPr>
                  <w:r>
                    <w:rPr>
                      <w:sz w:val="24"/>
                      <w:szCs w:val="24"/>
                      <w:highlight w:val="none"/>
                    </w:rPr>
                    <w:t>32</w:t>
                  </w:r>
                </w:p>
              </w:tc>
              <w:tc>
                <w:tcPr>
                  <w:tcW w:w="368" w:type="pct"/>
                  <w:tcBorders>
                    <w:tl2br w:val="nil"/>
                    <w:tr2bl w:val="nil"/>
                  </w:tcBorders>
                  <w:noWrap w:val="0"/>
                  <w:vAlign w:val="center"/>
                </w:tcPr>
                <w:p w14:paraId="284AA16E">
                  <w:pPr>
                    <w:widowControl/>
                    <w:autoSpaceDE w:val="0"/>
                    <w:autoSpaceDN w:val="0"/>
                    <w:adjustRightInd w:val="0"/>
                    <w:jc w:val="center"/>
                    <w:rPr>
                      <w:sz w:val="24"/>
                      <w:szCs w:val="24"/>
                      <w:highlight w:val="none"/>
                    </w:rPr>
                  </w:pPr>
                  <w:r>
                    <w:rPr>
                      <w:sz w:val="24"/>
                      <w:szCs w:val="24"/>
                      <w:highlight w:val="none"/>
                    </w:rPr>
                    <w:t>21</w:t>
                  </w:r>
                </w:p>
              </w:tc>
              <w:tc>
                <w:tcPr>
                  <w:tcW w:w="403" w:type="pct"/>
                  <w:tcBorders>
                    <w:tl2br w:val="nil"/>
                    <w:tr2bl w:val="nil"/>
                  </w:tcBorders>
                  <w:noWrap w:val="0"/>
                  <w:vAlign w:val="center"/>
                </w:tcPr>
                <w:p w14:paraId="39106E76">
                  <w:pPr>
                    <w:widowControl/>
                    <w:autoSpaceDE w:val="0"/>
                    <w:autoSpaceDN w:val="0"/>
                    <w:adjustRightInd w:val="0"/>
                    <w:jc w:val="center"/>
                    <w:rPr>
                      <w:sz w:val="24"/>
                      <w:szCs w:val="24"/>
                      <w:highlight w:val="none"/>
                    </w:rPr>
                  </w:pPr>
                  <w:r>
                    <w:rPr>
                      <w:sz w:val="24"/>
                      <w:szCs w:val="24"/>
                      <w:highlight w:val="none"/>
                    </w:rPr>
                    <w:t>66</w:t>
                  </w:r>
                </w:p>
              </w:tc>
              <w:tc>
                <w:tcPr>
                  <w:tcW w:w="405" w:type="pct"/>
                  <w:tcBorders>
                    <w:tl2br w:val="nil"/>
                    <w:tr2bl w:val="nil"/>
                  </w:tcBorders>
                  <w:noWrap w:val="0"/>
                  <w:vAlign w:val="center"/>
                </w:tcPr>
                <w:p w14:paraId="09B3AC89">
                  <w:pPr>
                    <w:widowControl/>
                    <w:autoSpaceDE w:val="0"/>
                    <w:autoSpaceDN w:val="0"/>
                    <w:adjustRightInd w:val="0"/>
                    <w:jc w:val="center"/>
                    <w:rPr>
                      <w:sz w:val="24"/>
                      <w:szCs w:val="24"/>
                      <w:highlight w:val="none"/>
                    </w:rPr>
                  </w:pPr>
                  <w:r>
                    <w:rPr>
                      <w:sz w:val="24"/>
                      <w:szCs w:val="24"/>
                      <w:highlight w:val="none"/>
                    </w:rPr>
                    <w:t>64</w:t>
                  </w:r>
                </w:p>
              </w:tc>
              <w:tc>
                <w:tcPr>
                  <w:tcW w:w="532" w:type="pct"/>
                  <w:tcBorders>
                    <w:tl2br w:val="nil"/>
                    <w:tr2bl w:val="nil"/>
                  </w:tcBorders>
                  <w:noWrap w:val="0"/>
                  <w:vAlign w:val="center"/>
                </w:tcPr>
                <w:p w14:paraId="2FA18BF4">
                  <w:pPr>
                    <w:widowControl/>
                    <w:autoSpaceDE w:val="0"/>
                    <w:autoSpaceDN w:val="0"/>
                    <w:adjustRightInd w:val="0"/>
                    <w:jc w:val="center"/>
                    <w:rPr>
                      <w:sz w:val="24"/>
                      <w:szCs w:val="24"/>
                      <w:highlight w:val="none"/>
                    </w:rPr>
                  </w:pPr>
                  <w:r>
                    <w:rPr>
                      <w:sz w:val="24"/>
                      <w:szCs w:val="24"/>
                      <w:highlight w:val="none"/>
                    </w:rPr>
                    <w:t>10586.9</w:t>
                  </w:r>
                </w:p>
              </w:tc>
            </w:tr>
            <w:tr w14:paraId="2E63E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14:paraId="27142837">
                  <w:pPr>
                    <w:widowControl/>
                    <w:autoSpaceDE w:val="0"/>
                    <w:autoSpaceDN w:val="0"/>
                    <w:adjustRightInd w:val="0"/>
                    <w:jc w:val="center"/>
                    <w:rPr>
                      <w:sz w:val="24"/>
                      <w:szCs w:val="24"/>
                      <w:highlight w:val="none"/>
                    </w:rPr>
                  </w:pPr>
                  <w:r>
                    <w:rPr>
                      <w:sz w:val="24"/>
                      <w:szCs w:val="24"/>
                      <w:highlight w:val="none"/>
                    </w:rPr>
                    <w:t>6</w:t>
                  </w:r>
                </w:p>
              </w:tc>
              <w:tc>
                <w:tcPr>
                  <w:tcW w:w="936" w:type="pct"/>
                  <w:tcBorders>
                    <w:tl2br w:val="nil"/>
                    <w:tr2bl w:val="nil"/>
                  </w:tcBorders>
                  <w:noWrap w:val="0"/>
                  <w:vAlign w:val="center"/>
                </w:tcPr>
                <w:p w14:paraId="1D48DB97">
                  <w:pPr>
                    <w:widowControl/>
                    <w:autoSpaceDE w:val="0"/>
                    <w:autoSpaceDN w:val="0"/>
                    <w:adjustRightInd w:val="0"/>
                    <w:jc w:val="center"/>
                    <w:rPr>
                      <w:sz w:val="24"/>
                      <w:szCs w:val="24"/>
                      <w:highlight w:val="none"/>
                    </w:rPr>
                  </w:pPr>
                  <w:r>
                    <w:rPr>
                      <w:sz w:val="24"/>
                      <w:szCs w:val="24"/>
                      <w:highlight w:val="none"/>
                    </w:rPr>
                    <w:t>广西</w:t>
                  </w:r>
                </w:p>
              </w:tc>
              <w:tc>
                <w:tcPr>
                  <w:tcW w:w="703" w:type="pct"/>
                  <w:tcBorders>
                    <w:tl2br w:val="nil"/>
                    <w:tr2bl w:val="nil"/>
                  </w:tcBorders>
                  <w:noWrap w:val="0"/>
                  <w:vAlign w:val="center"/>
                </w:tcPr>
                <w:p w14:paraId="3F00B771">
                  <w:pPr>
                    <w:widowControl/>
                    <w:autoSpaceDE w:val="0"/>
                    <w:autoSpaceDN w:val="0"/>
                    <w:adjustRightInd w:val="0"/>
                    <w:jc w:val="center"/>
                    <w:rPr>
                      <w:sz w:val="24"/>
                      <w:szCs w:val="24"/>
                      <w:highlight w:val="none"/>
                    </w:rPr>
                  </w:pPr>
                  <w:r>
                    <w:rPr>
                      <w:sz w:val="24"/>
                      <w:szCs w:val="24"/>
                      <w:highlight w:val="none"/>
                    </w:rPr>
                    <w:t>327075</w:t>
                  </w:r>
                </w:p>
              </w:tc>
              <w:tc>
                <w:tcPr>
                  <w:tcW w:w="446" w:type="pct"/>
                  <w:tcBorders>
                    <w:tl2br w:val="nil"/>
                    <w:tr2bl w:val="nil"/>
                  </w:tcBorders>
                  <w:noWrap w:val="0"/>
                  <w:vAlign w:val="center"/>
                </w:tcPr>
                <w:p w14:paraId="43908D5B">
                  <w:pPr>
                    <w:widowControl/>
                    <w:autoSpaceDE w:val="0"/>
                    <w:autoSpaceDN w:val="0"/>
                    <w:adjustRightInd w:val="0"/>
                    <w:jc w:val="center"/>
                    <w:rPr>
                      <w:sz w:val="24"/>
                      <w:szCs w:val="24"/>
                      <w:highlight w:val="none"/>
                    </w:rPr>
                  </w:pPr>
                </w:p>
              </w:tc>
              <w:tc>
                <w:tcPr>
                  <w:tcW w:w="428" w:type="pct"/>
                  <w:tcBorders>
                    <w:tl2br w:val="nil"/>
                    <w:tr2bl w:val="nil"/>
                  </w:tcBorders>
                  <w:noWrap w:val="0"/>
                  <w:vAlign w:val="center"/>
                </w:tcPr>
                <w:p w14:paraId="3CBC233F">
                  <w:pPr>
                    <w:widowControl/>
                    <w:autoSpaceDE w:val="0"/>
                    <w:autoSpaceDN w:val="0"/>
                    <w:adjustRightInd w:val="0"/>
                    <w:jc w:val="center"/>
                    <w:rPr>
                      <w:sz w:val="24"/>
                      <w:szCs w:val="24"/>
                      <w:highlight w:val="none"/>
                    </w:rPr>
                  </w:pPr>
                </w:p>
              </w:tc>
              <w:tc>
                <w:tcPr>
                  <w:tcW w:w="403" w:type="pct"/>
                  <w:tcBorders>
                    <w:tl2br w:val="nil"/>
                    <w:tr2bl w:val="nil"/>
                  </w:tcBorders>
                  <w:noWrap w:val="0"/>
                  <w:vAlign w:val="center"/>
                </w:tcPr>
                <w:p w14:paraId="6B6ABBC0">
                  <w:pPr>
                    <w:widowControl/>
                    <w:autoSpaceDE w:val="0"/>
                    <w:autoSpaceDN w:val="0"/>
                    <w:adjustRightInd w:val="0"/>
                    <w:jc w:val="center"/>
                    <w:rPr>
                      <w:sz w:val="24"/>
                      <w:szCs w:val="24"/>
                      <w:highlight w:val="none"/>
                    </w:rPr>
                  </w:pPr>
                </w:p>
              </w:tc>
              <w:tc>
                <w:tcPr>
                  <w:tcW w:w="368" w:type="pct"/>
                  <w:tcBorders>
                    <w:tl2br w:val="nil"/>
                    <w:tr2bl w:val="nil"/>
                  </w:tcBorders>
                  <w:noWrap w:val="0"/>
                  <w:vAlign w:val="center"/>
                </w:tcPr>
                <w:p w14:paraId="663D589E">
                  <w:pPr>
                    <w:widowControl/>
                    <w:autoSpaceDE w:val="0"/>
                    <w:autoSpaceDN w:val="0"/>
                    <w:adjustRightInd w:val="0"/>
                    <w:jc w:val="center"/>
                    <w:rPr>
                      <w:sz w:val="24"/>
                      <w:szCs w:val="24"/>
                      <w:highlight w:val="none"/>
                    </w:rPr>
                  </w:pPr>
                </w:p>
              </w:tc>
              <w:tc>
                <w:tcPr>
                  <w:tcW w:w="403" w:type="pct"/>
                  <w:tcBorders>
                    <w:tl2br w:val="nil"/>
                    <w:tr2bl w:val="nil"/>
                  </w:tcBorders>
                  <w:noWrap w:val="0"/>
                  <w:vAlign w:val="center"/>
                </w:tcPr>
                <w:p w14:paraId="51E794EE">
                  <w:pPr>
                    <w:widowControl/>
                    <w:autoSpaceDE w:val="0"/>
                    <w:autoSpaceDN w:val="0"/>
                    <w:adjustRightInd w:val="0"/>
                    <w:jc w:val="center"/>
                    <w:rPr>
                      <w:sz w:val="24"/>
                      <w:szCs w:val="24"/>
                      <w:highlight w:val="none"/>
                    </w:rPr>
                  </w:pPr>
                </w:p>
              </w:tc>
              <w:tc>
                <w:tcPr>
                  <w:tcW w:w="405" w:type="pct"/>
                  <w:tcBorders>
                    <w:tl2br w:val="nil"/>
                    <w:tr2bl w:val="nil"/>
                  </w:tcBorders>
                  <w:noWrap w:val="0"/>
                  <w:vAlign w:val="center"/>
                </w:tcPr>
                <w:p w14:paraId="7BC97AA7">
                  <w:pPr>
                    <w:widowControl/>
                    <w:autoSpaceDE w:val="0"/>
                    <w:autoSpaceDN w:val="0"/>
                    <w:adjustRightInd w:val="0"/>
                    <w:jc w:val="center"/>
                    <w:rPr>
                      <w:sz w:val="24"/>
                      <w:szCs w:val="24"/>
                      <w:highlight w:val="none"/>
                    </w:rPr>
                  </w:pPr>
                  <w:r>
                    <w:rPr>
                      <w:sz w:val="24"/>
                      <w:szCs w:val="24"/>
                      <w:highlight w:val="none"/>
                    </w:rPr>
                    <w:t>96</w:t>
                  </w:r>
                </w:p>
              </w:tc>
              <w:tc>
                <w:tcPr>
                  <w:tcW w:w="532" w:type="pct"/>
                  <w:tcBorders>
                    <w:tl2br w:val="nil"/>
                    <w:tr2bl w:val="nil"/>
                  </w:tcBorders>
                  <w:noWrap w:val="0"/>
                  <w:vAlign w:val="center"/>
                </w:tcPr>
                <w:p w14:paraId="5F867971">
                  <w:pPr>
                    <w:widowControl/>
                    <w:autoSpaceDE w:val="0"/>
                    <w:autoSpaceDN w:val="0"/>
                    <w:adjustRightInd w:val="0"/>
                    <w:jc w:val="center"/>
                    <w:rPr>
                      <w:sz w:val="24"/>
                      <w:szCs w:val="24"/>
                      <w:highlight w:val="none"/>
                    </w:rPr>
                  </w:pPr>
                </w:p>
              </w:tc>
            </w:tr>
            <w:tr w14:paraId="5DC83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14:paraId="5F3C5BAE">
                  <w:pPr>
                    <w:widowControl/>
                    <w:autoSpaceDE w:val="0"/>
                    <w:autoSpaceDN w:val="0"/>
                    <w:adjustRightInd w:val="0"/>
                    <w:jc w:val="center"/>
                    <w:rPr>
                      <w:sz w:val="24"/>
                      <w:szCs w:val="24"/>
                      <w:highlight w:val="none"/>
                    </w:rPr>
                  </w:pPr>
                  <w:r>
                    <w:rPr>
                      <w:sz w:val="24"/>
                      <w:szCs w:val="24"/>
                      <w:highlight w:val="none"/>
                    </w:rPr>
                    <w:t>7</w:t>
                  </w:r>
                </w:p>
              </w:tc>
              <w:tc>
                <w:tcPr>
                  <w:tcW w:w="936" w:type="pct"/>
                  <w:tcBorders>
                    <w:tl2br w:val="nil"/>
                    <w:tr2bl w:val="nil"/>
                  </w:tcBorders>
                  <w:noWrap w:val="0"/>
                  <w:vAlign w:val="center"/>
                </w:tcPr>
                <w:p w14:paraId="6D2F8122">
                  <w:pPr>
                    <w:widowControl/>
                    <w:autoSpaceDE w:val="0"/>
                    <w:autoSpaceDN w:val="0"/>
                    <w:adjustRightInd w:val="0"/>
                    <w:jc w:val="center"/>
                    <w:rPr>
                      <w:sz w:val="24"/>
                      <w:szCs w:val="24"/>
                      <w:highlight w:val="none"/>
                    </w:rPr>
                  </w:pPr>
                  <w:r>
                    <w:rPr>
                      <w:sz w:val="24"/>
                      <w:szCs w:val="24"/>
                      <w:highlight w:val="none"/>
                    </w:rPr>
                    <w:t>辽宁</w:t>
                  </w:r>
                </w:p>
              </w:tc>
              <w:tc>
                <w:tcPr>
                  <w:tcW w:w="703" w:type="pct"/>
                  <w:tcBorders>
                    <w:tl2br w:val="nil"/>
                    <w:tr2bl w:val="nil"/>
                  </w:tcBorders>
                  <w:noWrap w:val="0"/>
                  <w:vAlign w:val="center"/>
                </w:tcPr>
                <w:p w14:paraId="18125D06">
                  <w:pPr>
                    <w:widowControl/>
                    <w:autoSpaceDE w:val="0"/>
                    <w:autoSpaceDN w:val="0"/>
                    <w:adjustRightInd w:val="0"/>
                    <w:jc w:val="center"/>
                    <w:rPr>
                      <w:sz w:val="24"/>
                      <w:szCs w:val="24"/>
                      <w:highlight w:val="none"/>
                    </w:rPr>
                  </w:pPr>
                  <w:r>
                    <w:rPr>
                      <w:sz w:val="24"/>
                      <w:szCs w:val="24"/>
                      <w:highlight w:val="none"/>
                    </w:rPr>
                    <w:t>104030</w:t>
                  </w:r>
                </w:p>
              </w:tc>
              <w:tc>
                <w:tcPr>
                  <w:tcW w:w="446" w:type="pct"/>
                  <w:tcBorders>
                    <w:tl2br w:val="nil"/>
                    <w:tr2bl w:val="nil"/>
                  </w:tcBorders>
                  <w:noWrap w:val="0"/>
                  <w:vAlign w:val="center"/>
                </w:tcPr>
                <w:p w14:paraId="185D02B7">
                  <w:pPr>
                    <w:widowControl/>
                    <w:autoSpaceDE w:val="0"/>
                    <w:autoSpaceDN w:val="0"/>
                    <w:adjustRightInd w:val="0"/>
                    <w:jc w:val="center"/>
                    <w:rPr>
                      <w:sz w:val="24"/>
                      <w:szCs w:val="24"/>
                      <w:highlight w:val="none"/>
                    </w:rPr>
                  </w:pPr>
                </w:p>
              </w:tc>
              <w:tc>
                <w:tcPr>
                  <w:tcW w:w="428" w:type="pct"/>
                  <w:tcBorders>
                    <w:tl2br w:val="nil"/>
                    <w:tr2bl w:val="nil"/>
                  </w:tcBorders>
                  <w:noWrap w:val="0"/>
                  <w:vAlign w:val="center"/>
                </w:tcPr>
                <w:p w14:paraId="3960A905">
                  <w:pPr>
                    <w:widowControl/>
                    <w:autoSpaceDE w:val="0"/>
                    <w:autoSpaceDN w:val="0"/>
                    <w:adjustRightInd w:val="0"/>
                    <w:jc w:val="center"/>
                    <w:rPr>
                      <w:sz w:val="24"/>
                      <w:szCs w:val="24"/>
                      <w:highlight w:val="none"/>
                    </w:rPr>
                  </w:pPr>
                </w:p>
              </w:tc>
              <w:tc>
                <w:tcPr>
                  <w:tcW w:w="403" w:type="pct"/>
                  <w:tcBorders>
                    <w:tl2br w:val="nil"/>
                    <w:tr2bl w:val="nil"/>
                  </w:tcBorders>
                  <w:noWrap w:val="0"/>
                  <w:vAlign w:val="center"/>
                </w:tcPr>
                <w:p w14:paraId="3F9AA87E">
                  <w:pPr>
                    <w:widowControl/>
                    <w:autoSpaceDE w:val="0"/>
                    <w:autoSpaceDN w:val="0"/>
                    <w:adjustRightInd w:val="0"/>
                    <w:jc w:val="center"/>
                    <w:rPr>
                      <w:sz w:val="24"/>
                      <w:szCs w:val="24"/>
                      <w:highlight w:val="none"/>
                    </w:rPr>
                  </w:pPr>
                </w:p>
              </w:tc>
              <w:tc>
                <w:tcPr>
                  <w:tcW w:w="368" w:type="pct"/>
                  <w:tcBorders>
                    <w:tl2br w:val="nil"/>
                    <w:tr2bl w:val="nil"/>
                  </w:tcBorders>
                  <w:noWrap w:val="0"/>
                  <w:vAlign w:val="center"/>
                </w:tcPr>
                <w:p w14:paraId="604808C0">
                  <w:pPr>
                    <w:widowControl/>
                    <w:autoSpaceDE w:val="0"/>
                    <w:autoSpaceDN w:val="0"/>
                    <w:adjustRightInd w:val="0"/>
                    <w:jc w:val="center"/>
                    <w:rPr>
                      <w:sz w:val="24"/>
                      <w:szCs w:val="24"/>
                      <w:highlight w:val="none"/>
                    </w:rPr>
                  </w:pPr>
                </w:p>
              </w:tc>
              <w:tc>
                <w:tcPr>
                  <w:tcW w:w="403" w:type="pct"/>
                  <w:tcBorders>
                    <w:tl2br w:val="nil"/>
                    <w:tr2bl w:val="nil"/>
                  </w:tcBorders>
                  <w:noWrap w:val="0"/>
                  <w:vAlign w:val="center"/>
                </w:tcPr>
                <w:p w14:paraId="32226BDD">
                  <w:pPr>
                    <w:widowControl/>
                    <w:autoSpaceDE w:val="0"/>
                    <w:autoSpaceDN w:val="0"/>
                    <w:adjustRightInd w:val="0"/>
                    <w:jc w:val="center"/>
                    <w:rPr>
                      <w:sz w:val="24"/>
                      <w:szCs w:val="24"/>
                      <w:highlight w:val="none"/>
                    </w:rPr>
                  </w:pPr>
                </w:p>
              </w:tc>
              <w:tc>
                <w:tcPr>
                  <w:tcW w:w="405" w:type="pct"/>
                  <w:tcBorders>
                    <w:tl2br w:val="nil"/>
                    <w:tr2bl w:val="nil"/>
                  </w:tcBorders>
                  <w:noWrap w:val="0"/>
                  <w:vAlign w:val="center"/>
                </w:tcPr>
                <w:p w14:paraId="3DA5E86C">
                  <w:pPr>
                    <w:widowControl/>
                    <w:autoSpaceDE w:val="0"/>
                    <w:autoSpaceDN w:val="0"/>
                    <w:adjustRightInd w:val="0"/>
                    <w:jc w:val="center"/>
                    <w:rPr>
                      <w:sz w:val="24"/>
                      <w:szCs w:val="24"/>
                      <w:highlight w:val="none"/>
                    </w:rPr>
                  </w:pPr>
                  <w:r>
                    <w:rPr>
                      <w:sz w:val="24"/>
                      <w:szCs w:val="24"/>
                      <w:highlight w:val="none"/>
                    </w:rPr>
                    <w:t>43</w:t>
                  </w:r>
                </w:p>
              </w:tc>
              <w:tc>
                <w:tcPr>
                  <w:tcW w:w="532" w:type="pct"/>
                  <w:tcBorders>
                    <w:tl2br w:val="nil"/>
                    <w:tr2bl w:val="nil"/>
                  </w:tcBorders>
                  <w:noWrap w:val="0"/>
                  <w:vAlign w:val="center"/>
                </w:tcPr>
                <w:p w14:paraId="4AD44F3D">
                  <w:pPr>
                    <w:widowControl/>
                    <w:autoSpaceDE w:val="0"/>
                    <w:autoSpaceDN w:val="0"/>
                    <w:adjustRightInd w:val="0"/>
                    <w:jc w:val="center"/>
                    <w:rPr>
                      <w:sz w:val="24"/>
                      <w:szCs w:val="24"/>
                      <w:highlight w:val="none"/>
                    </w:rPr>
                  </w:pPr>
                </w:p>
              </w:tc>
            </w:tr>
            <w:tr w14:paraId="205D4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14:paraId="3B250C09">
                  <w:pPr>
                    <w:widowControl/>
                    <w:autoSpaceDE w:val="0"/>
                    <w:autoSpaceDN w:val="0"/>
                    <w:adjustRightInd w:val="0"/>
                    <w:jc w:val="center"/>
                    <w:rPr>
                      <w:sz w:val="24"/>
                      <w:szCs w:val="24"/>
                      <w:highlight w:val="none"/>
                    </w:rPr>
                  </w:pPr>
                  <w:r>
                    <w:rPr>
                      <w:sz w:val="24"/>
                      <w:szCs w:val="24"/>
                      <w:highlight w:val="none"/>
                    </w:rPr>
                    <w:t>8</w:t>
                  </w:r>
                </w:p>
              </w:tc>
              <w:tc>
                <w:tcPr>
                  <w:tcW w:w="936" w:type="pct"/>
                  <w:tcBorders>
                    <w:tl2br w:val="nil"/>
                    <w:tr2bl w:val="nil"/>
                  </w:tcBorders>
                  <w:noWrap w:val="0"/>
                  <w:vAlign w:val="center"/>
                </w:tcPr>
                <w:p w14:paraId="23AAE5ED">
                  <w:pPr>
                    <w:widowControl/>
                    <w:autoSpaceDE w:val="0"/>
                    <w:autoSpaceDN w:val="0"/>
                    <w:adjustRightInd w:val="0"/>
                    <w:jc w:val="center"/>
                    <w:rPr>
                      <w:sz w:val="24"/>
                      <w:szCs w:val="24"/>
                      <w:highlight w:val="none"/>
                    </w:rPr>
                  </w:pPr>
                  <w:r>
                    <w:rPr>
                      <w:sz w:val="24"/>
                      <w:szCs w:val="24"/>
                      <w:highlight w:val="none"/>
                    </w:rPr>
                    <w:t>黑龙江</w:t>
                  </w:r>
                </w:p>
              </w:tc>
              <w:tc>
                <w:tcPr>
                  <w:tcW w:w="703" w:type="pct"/>
                  <w:tcBorders>
                    <w:tl2br w:val="nil"/>
                    <w:tr2bl w:val="nil"/>
                  </w:tcBorders>
                  <w:noWrap w:val="0"/>
                  <w:vAlign w:val="center"/>
                </w:tcPr>
                <w:p w14:paraId="37555B9A">
                  <w:pPr>
                    <w:widowControl/>
                    <w:autoSpaceDE w:val="0"/>
                    <w:autoSpaceDN w:val="0"/>
                    <w:adjustRightInd w:val="0"/>
                    <w:jc w:val="center"/>
                    <w:rPr>
                      <w:sz w:val="24"/>
                      <w:szCs w:val="24"/>
                      <w:highlight w:val="none"/>
                    </w:rPr>
                  </w:pPr>
                  <w:r>
                    <w:rPr>
                      <w:sz w:val="24"/>
                      <w:szCs w:val="24"/>
                      <w:highlight w:val="none"/>
                    </w:rPr>
                    <w:t>84908</w:t>
                  </w:r>
                </w:p>
              </w:tc>
              <w:tc>
                <w:tcPr>
                  <w:tcW w:w="446" w:type="pct"/>
                  <w:tcBorders>
                    <w:tl2br w:val="nil"/>
                    <w:tr2bl w:val="nil"/>
                  </w:tcBorders>
                  <w:noWrap w:val="0"/>
                  <w:vAlign w:val="center"/>
                </w:tcPr>
                <w:p w14:paraId="192951F7">
                  <w:pPr>
                    <w:widowControl/>
                    <w:autoSpaceDE w:val="0"/>
                    <w:autoSpaceDN w:val="0"/>
                    <w:adjustRightInd w:val="0"/>
                    <w:jc w:val="center"/>
                    <w:rPr>
                      <w:sz w:val="24"/>
                      <w:szCs w:val="24"/>
                      <w:highlight w:val="none"/>
                    </w:rPr>
                  </w:pPr>
                </w:p>
              </w:tc>
              <w:tc>
                <w:tcPr>
                  <w:tcW w:w="428" w:type="pct"/>
                  <w:tcBorders>
                    <w:tl2br w:val="nil"/>
                    <w:tr2bl w:val="nil"/>
                  </w:tcBorders>
                  <w:noWrap w:val="0"/>
                  <w:vAlign w:val="center"/>
                </w:tcPr>
                <w:p w14:paraId="7ACDD195">
                  <w:pPr>
                    <w:widowControl/>
                    <w:autoSpaceDE w:val="0"/>
                    <w:autoSpaceDN w:val="0"/>
                    <w:adjustRightInd w:val="0"/>
                    <w:jc w:val="center"/>
                    <w:rPr>
                      <w:sz w:val="24"/>
                      <w:szCs w:val="24"/>
                      <w:highlight w:val="none"/>
                    </w:rPr>
                  </w:pPr>
                </w:p>
              </w:tc>
              <w:tc>
                <w:tcPr>
                  <w:tcW w:w="403" w:type="pct"/>
                  <w:tcBorders>
                    <w:tl2br w:val="nil"/>
                    <w:tr2bl w:val="nil"/>
                  </w:tcBorders>
                  <w:noWrap w:val="0"/>
                  <w:vAlign w:val="center"/>
                </w:tcPr>
                <w:p w14:paraId="48FF1341">
                  <w:pPr>
                    <w:widowControl/>
                    <w:autoSpaceDE w:val="0"/>
                    <w:autoSpaceDN w:val="0"/>
                    <w:adjustRightInd w:val="0"/>
                    <w:jc w:val="center"/>
                    <w:rPr>
                      <w:sz w:val="24"/>
                      <w:szCs w:val="24"/>
                      <w:highlight w:val="none"/>
                    </w:rPr>
                  </w:pPr>
                </w:p>
              </w:tc>
              <w:tc>
                <w:tcPr>
                  <w:tcW w:w="368" w:type="pct"/>
                  <w:tcBorders>
                    <w:tl2br w:val="nil"/>
                    <w:tr2bl w:val="nil"/>
                  </w:tcBorders>
                  <w:noWrap w:val="0"/>
                  <w:vAlign w:val="center"/>
                </w:tcPr>
                <w:p w14:paraId="1F6E6B1C">
                  <w:pPr>
                    <w:widowControl/>
                    <w:autoSpaceDE w:val="0"/>
                    <w:autoSpaceDN w:val="0"/>
                    <w:adjustRightInd w:val="0"/>
                    <w:jc w:val="center"/>
                    <w:rPr>
                      <w:sz w:val="24"/>
                      <w:szCs w:val="24"/>
                      <w:highlight w:val="none"/>
                    </w:rPr>
                  </w:pPr>
                </w:p>
              </w:tc>
              <w:tc>
                <w:tcPr>
                  <w:tcW w:w="403" w:type="pct"/>
                  <w:tcBorders>
                    <w:tl2br w:val="nil"/>
                    <w:tr2bl w:val="nil"/>
                  </w:tcBorders>
                  <w:noWrap w:val="0"/>
                  <w:vAlign w:val="center"/>
                </w:tcPr>
                <w:p w14:paraId="5A986A4D">
                  <w:pPr>
                    <w:widowControl/>
                    <w:autoSpaceDE w:val="0"/>
                    <w:autoSpaceDN w:val="0"/>
                    <w:adjustRightInd w:val="0"/>
                    <w:jc w:val="center"/>
                    <w:rPr>
                      <w:sz w:val="24"/>
                      <w:szCs w:val="24"/>
                      <w:highlight w:val="none"/>
                    </w:rPr>
                  </w:pPr>
                </w:p>
              </w:tc>
              <w:tc>
                <w:tcPr>
                  <w:tcW w:w="405" w:type="pct"/>
                  <w:tcBorders>
                    <w:tl2br w:val="nil"/>
                    <w:tr2bl w:val="nil"/>
                  </w:tcBorders>
                  <w:noWrap w:val="0"/>
                  <w:vAlign w:val="center"/>
                </w:tcPr>
                <w:p w14:paraId="6A9F055F">
                  <w:pPr>
                    <w:widowControl/>
                    <w:autoSpaceDE w:val="0"/>
                    <w:autoSpaceDN w:val="0"/>
                    <w:adjustRightInd w:val="0"/>
                    <w:jc w:val="center"/>
                    <w:rPr>
                      <w:sz w:val="24"/>
                      <w:szCs w:val="24"/>
                      <w:highlight w:val="none"/>
                    </w:rPr>
                  </w:pPr>
                  <w:r>
                    <w:rPr>
                      <w:sz w:val="24"/>
                      <w:szCs w:val="24"/>
                      <w:highlight w:val="none"/>
                    </w:rPr>
                    <w:t>89</w:t>
                  </w:r>
                </w:p>
              </w:tc>
              <w:tc>
                <w:tcPr>
                  <w:tcW w:w="532" w:type="pct"/>
                  <w:tcBorders>
                    <w:tl2br w:val="nil"/>
                    <w:tr2bl w:val="nil"/>
                  </w:tcBorders>
                  <w:noWrap w:val="0"/>
                  <w:vAlign w:val="center"/>
                </w:tcPr>
                <w:p w14:paraId="2400A28A">
                  <w:pPr>
                    <w:widowControl/>
                    <w:autoSpaceDE w:val="0"/>
                    <w:autoSpaceDN w:val="0"/>
                    <w:adjustRightInd w:val="0"/>
                    <w:jc w:val="center"/>
                    <w:rPr>
                      <w:sz w:val="24"/>
                      <w:szCs w:val="24"/>
                      <w:highlight w:val="none"/>
                    </w:rPr>
                  </w:pPr>
                </w:p>
              </w:tc>
            </w:tr>
            <w:tr w14:paraId="639BE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14:paraId="2B630C9E">
                  <w:pPr>
                    <w:widowControl/>
                    <w:autoSpaceDE w:val="0"/>
                    <w:autoSpaceDN w:val="0"/>
                    <w:adjustRightInd w:val="0"/>
                    <w:jc w:val="center"/>
                    <w:rPr>
                      <w:sz w:val="24"/>
                      <w:szCs w:val="24"/>
                      <w:highlight w:val="none"/>
                    </w:rPr>
                  </w:pPr>
                  <w:r>
                    <w:rPr>
                      <w:sz w:val="24"/>
                      <w:szCs w:val="24"/>
                      <w:highlight w:val="none"/>
                    </w:rPr>
                    <w:t>9</w:t>
                  </w:r>
                </w:p>
              </w:tc>
              <w:tc>
                <w:tcPr>
                  <w:tcW w:w="936" w:type="pct"/>
                  <w:tcBorders>
                    <w:tl2br w:val="nil"/>
                    <w:tr2bl w:val="nil"/>
                  </w:tcBorders>
                  <w:noWrap w:val="0"/>
                  <w:vAlign w:val="center"/>
                </w:tcPr>
                <w:p w14:paraId="7F4635D2">
                  <w:pPr>
                    <w:widowControl/>
                    <w:autoSpaceDE w:val="0"/>
                    <w:autoSpaceDN w:val="0"/>
                    <w:adjustRightInd w:val="0"/>
                    <w:jc w:val="center"/>
                    <w:rPr>
                      <w:sz w:val="24"/>
                      <w:szCs w:val="24"/>
                      <w:highlight w:val="none"/>
                    </w:rPr>
                  </w:pPr>
                  <w:r>
                    <w:rPr>
                      <w:sz w:val="24"/>
                      <w:szCs w:val="24"/>
                      <w:highlight w:val="none"/>
                    </w:rPr>
                    <w:t>深圳</w:t>
                  </w:r>
                </w:p>
              </w:tc>
              <w:tc>
                <w:tcPr>
                  <w:tcW w:w="703" w:type="pct"/>
                  <w:tcBorders>
                    <w:tl2br w:val="nil"/>
                    <w:tr2bl w:val="nil"/>
                  </w:tcBorders>
                  <w:noWrap w:val="0"/>
                  <w:vAlign w:val="center"/>
                </w:tcPr>
                <w:p w14:paraId="7E43CEDC">
                  <w:pPr>
                    <w:widowControl/>
                    <w:autoSpaceDE w:val="0"/>
                    <w:autoSpaceDN w:val="0"/>
                    <w:adjustRightInd w:val="0"/>
                    <w:jc w:val="center"/>
                    <w:rPr>
                      <w:sz w:val="24"/>
                      <w:szCs w:val="24"/>
                      <w:highlight w:val="none"/>
                    </w:rPr>
                  </w:pPr>
                  <w:r>
                    <w:rPr>
                      <w:sz w:val="24"/>
                      <w:szCs w:val="24"/>
                      <w:highlight w:val="none"/>
                    </w:rPr>
                    <w:t>77771</w:t>
                  </w:r>
                </w:p>
              </w:tc>
              <w:tc>
                <w:tcPr>
                  <w:tcW w:w="446" w:type="pct"/>
                  <w:tcBorders>
                    <w:tl2br w:val="nil"/>
                    <w:tr2bl w:val="nil"/>
                  </w:tcBorders>
                  <w:noWrap w:val="0"/>
                  <w:vAlign w:val="center"/>
                </w:tcPr>
                <w:p w14:paraId="14C5014B">
                  <w:pPr>
                    <w:widowControl/>
                    <w:autoSpaceDE w:val="0"/>
                    <w:autoSpaceDN w:val="0"/>
                    <w:adjustRightInd w:val="0"/>
                    <w:jc w:val="center"/>
                    <w:rPr>
                      <w:sz w:val="24"/>
                      <w:szCs w:val="24"/>
                      <w:highlight w:val="none"/>
                    </w:rPr>
                  </w:pPr>
                </w:p>
              </w:tc>
              <w:tc>
                <w:tcPr>
                  <w:tcW w:w="428" w:type="pct"/>
                  <w:tcBorders>
                    <w:tl2br w:val="nil"/>
                    <w:tr2bl w:val="nil"/>
                  </w:tcBorders>
                  <w:noWrap w:val="0"/>
                  <w:vAlign w:val="center"/>
                </w:tcPr>
                <w:p w14:paraId="379B4D73">
                  <w:pPr>
                    <w:widowControl/>
                    <w:autoSpaceDE w:val="0"/>
                    <w:autoSpaceDN w:val="0"/>
                    <w:adjustRightInd w:val="0"/>
                    <w:jc w:val="center"/>
                    <w:rPr>
                      <w:sz w:val="24"/>
                      <w:szCs w:val="24"/>
                      <w:highlight w:val="none"/>
                    </w:rPr>
                  </w:pPr>
                </w:p>
              </w:tc>
              <w:tc>
                <w:tcPr>
                  <w:tcW w:w="403" w:type="pct"/>
                  <w:tcBorders>
                    <w:tl2br w:val="nil"/>
                    <w:tr2bl w:val="nil"/>
                  </w:tcBorders>
                  <w:noWrap w:val="0"/>
                  <w:vAlign w:val="center"/>
                </w:tcPr>
                <w:p w14:paraId="4929E592">
                  <w:pPr>
                    <w:widowControl/>
                    <w:autoSpaceDE w:val="0"/>
                    <w:autoSpaceDN w:val="0"/>
                    <w:adjustRightInd w:val="0"/>
                    <w:jc w:val="center"/>
                    <w:rPr>
                      <w:sz w:val="24"/>
                      <w:szCs w:val="24"/>
                      <w:highlight w:val="none"/>
                    </w:rPr>
                  </w:pPr>
                </w:p>
              </w:tc>
              <w:tc>
                <w:tcPr>
                  <w:tcW w:w="368" w:type="pct"/>
                  <w:tcBorders>
                    <w:tl2br w:val="nil"/>
                    <w:tr2bl w:val="nil"/>
                  </w:tcBorders>
                  <w:noWrap w:val="0"/>
                  <w:vAlign w:val="center"/>
                </w:tcPr>
                <w:p w14:paraId="5CE15F86">
                  <w:pPr>
                    <w:widowControl/>
                    <w:autoSpaceDE w:val="0"/>
                    <w:autoSpaceDN w:val="0"/>
                    <w:adjustRightInd w:val="0"/>
                    <w:jc w:val="center"/>
                    <w:rPr>
                      <w:sz w:val="24"/>
                      <w:szCs w:val="24"/>
                      <w:highlight w:val="none"/>
                    </w:rPr>
                  </w:pPr>
                </w:p>
              </w:tc>
              <w:tc>
                <w:tcPr>
                  <w:tcW w:w="403" w:type="pct"/>
                  <w:tcBorders>
                    <w:tl2br w:val="nil"/>
                    <w:tr2bl w:val="nil"/>
                  </w:tcBorders>
                  <w:noWrap w:val="0"/>
                  <w:vAlign w:val="center"/>
                </w:tcPr>
                <w:p w14:paraId="4056F01E">
                  <w:pPr>
                    <w:widowControl/>
                    <w:autoSpaceDE w:val="0"/>
                    <w:autoSpaceDN w:val="0"/>
                    <w:adjustRightInd w:val="0"/>
                    <w:jc w:val="center"/>
                    <w:rPr>
                      <w:sz w:val="24"/>
                      <w:szCs w:val="24"/>
                      <w:highlight w:val="none"/>
                    </w:rPr>
                  </w:pPr>
                </w:p>
              </w:tc>
              <w:tc>
                <w:tcPr>
                  <w:tcW w:w="405" w:type="pct"/>
                  <w:tcBorders>
                    <w:tl2br w:val="nil"/>
                    <w:tr2bl w:val="nil"/>
                  </w:tcBorders>
                  <w:noWrap w:val="0"/>
                  <w:vAlign w:val="center"/>
                </w:tcPr>
                <w:p w14:paraId="1E8155F3">
                  <w:pPr>
                    <w:widowControl/>
                    <w:autoSpaceDE w:val="0"/>
                    <w:autoSpaceDN w:val="0"/>
                    <w:adjustRightInd w:val="0"/>
                    <w:jc w:val="center"/>
                    <w:rPr>
                      <w:sz w:val="24"/>
                      <w:szCs w:val="24"/>
                      <w:highlight w:val="none"/>
                    </w:rPr>
                  </w:pPr>
                  <w:r>
                    <w:rPr>
                      <w:sz w:val="24"/>
                      <w:szCs w:val="24"/>
                      <w:highlight w:val="none"/>
                    </w:rPr>
                    <w:t>88</w:t>
                  </w:r>
                </w:p>
              </w:tc>
              <w:tc>
                <w:tcPr>
                  <w:tcW w:w="532" w:type="pct"/>
                  <w:tcBorders>
                    <w:tl2br w:val="nil"/>
                    <w:tr2bl w:val="nil"/>
                  </w:tcBorders>
                  <w:noWrap w:val="0"/>
                  <w:vAlign w:val="center"/>
                </w:tcPr>
                <w:p w14:paraId="19109A9B">
                  <w:pPr>
                    <w:widowControl/>
                    <w:autoSpaceDE w:val="0"/>
                    <w:autoSpaceDN w:val="0"/>
                    <w:adjustRightInd w:val="0"/>
                    <w:jc w:val="center"/>
                    <w:rPr>
                      <w:sz w:val="24"/>
                      <w:szCs w:val="24"/>
                      <w:highlight w:val="none"/>
                    </w:rPr>
                  </w:pPr>
                </w:p>
              </w:tc>
            </w:tr>
            <w:tr w14:paraId="0F390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9" w:type="pct"/>
                  <w:gridSpan w:val="2"/>
                  <w:tcBorders>
                    <w:tl2br w:val="nil"/>
                    <w:tr2bl w:val="nil"/>
                  </w:tcBorders>
                  <w:noWrap w:val="0"/>
                  <w:vAlign w:val="center"/>
                </w:tcPr>
                <w:p w14:paraId="401E47BA">
                  <w:pPr>
                    <w:widowControl/>
                    <w:autoSpaceDE w:val="0"/>
                    <w:autoSpaceDN w:val="0"/>
                    <w:adjustRightInd w:val="0"/>
                    <w:jc w:val="center"/>
                    <w:rPr>
                      <w:sz w:val="24"/>
                      <w:szCs w:val="24"/>
                      <w:highlight w:val="none"/>
                    </w:rPr>
                  </w:pPr>
                  <w:r>
                    <w:rPr>
                      <w:sz w:val="24"/>
                      <w:szCs w:val="24"/>
                      <w:highlight w:val="none"/>
                    </w:rPr>
                    <w:t>合计</w:t>
                  </w:r>
                </w:p>
              </w:tc>
              <w:tc>
                <w:tcPr>
                  <w:tcW w:w="703" w:type="pct"/>
                  <w:tcBorders>
                    <w:tl2br w:val="nil"/>
                    <w:tr2bl w:val="nil"/>
                  </w:tcBorders>
                  <w:noWrap w:val="0"/>
                  <w:vAlign w:val="center"/>
                </w:tcPr>
                <w:p w14:paraId="6B0D1CC8">
                  <w:pPr>
                    <w:widowControl/>
                    <w:autoSpaceDE w:val="0"/>
                    <w:autoSpaceDN w:val="0"/>
                    <w:adjustRightInd w:val="0"/>
                    <w:jc w:val="center"/>
                    <w:rPr>
                      <w:sz w:val="24"/>
                      <w:szCs w:val="24"/>
                      <w:highlight w:val="none"/>
                    </w:rPr>
                  </w:pPr>
                  <w:r>
                    <w:rPr>
                      <w:sz w:val="24"/>
                      <w:szCs w:val="24"/>
                      <w:highlight w:val="none"/>
                    </w:rPr>
                    <w:t>5995561</w:t>
                  </w:r>
                </w:p>
              </w:tc>
              <w:tc>
                <w:tcPr>
                  <w:tcW w:w="446" w:type="pct"/>
                  <w:tcBorders>
                    <w:tl2br w:val="nil"/>
                    <w:tr2bl w:val="nil"/>
                  </w:tcBorders>
                  <w:noWrap w:val="0"/>
                  <w:vAlign w:val="center"/>
                </w:tcPr>
                <w:p w14:paraId="08C4907D">
                  <w:pPr>
                    <w:widowControl/>
                    <w:autoSpaceDE w:val="0"/>
                    <w:autoSpaceDN w:val="0"/>
                    <w:adjustRightInd w:val="0"/>
                    <w:jc w:val="center"/>
                    <w:rPr>
                      <w:sz w:val="24"/>
                      <w:szCs w:val="24"/>
                      <w:highlight w:val="none"/>
                    </w:rPr>
                  </w:pPr>
                  <w:r>
                    <w:rPr>
                      <w:sz w:val="24"/>
                      <w:szCs w:val="24"/>
                      <w:highlight w:val="none"/>
                    </w:rPr>
                    <w:t>262</w:t>
                  </w:r>
                </w:p>
              </w:tc>
              <w:tc>
                <w:tcPr>
                  <w:tcW w:w="428" w:type="pct"/>
                  <w:tcBorders>
                    <w:tl2br w:val="nil"/>
                    <w:tr2bl w:val="nil"/>
                  </w:tcBorders>
                  <w:noWrap w:val="0"/>
                  <w:vAlign w:val="center"/>
                </w:tcPr>
                <w:p w14:paraId="17DB024F">
                  <w:pPr>
                    <w:widowControl/>
                    <w:autoSpaceDE w:val="0"/>
                    <w:autoSpaceDN w:val="0"/>
                    <w:adjustRightInd w:val="0"/>
                    <w:jc w:val="center"/>
                    <w:rPr>
                      <w:sz w:val="24"/>
                      <w:szCs w:val="24"/>
                      <w:highlight w:val="none"/>
                    </w:rPr>
                  </w:pPr>
                  <w:r>
                    <w:rPr>
                      <w:sz w:val="24"/>
                      <w:szCs w:val="24"/>
                      <w:highlight w:val="none"/>
                    </w:rPr>
                    <w:t>52</w:t>
                  </w:r>
                </w:p>
              </w:tc>
              <w:tc>
                <w:tcPr>
                  <w:tcW w:w="403" w:type="pct"/>
                  <w:tcBorders>
                    <w:tl2br w:val="nil"/>
                    <w:tr2bl w:val="nil"/>
                  </w:tcBorders>
                  <w:noWrap w:val="0"/>
                  <w:vAlign w:val="center"/>
                </w:tcPr>
                <w:p w14:paraId="618D5CF4">
                  <w:pPr>
                    <w:widowControl/>
                    <w:autoSpaceDE w:val="0"/>
                    <w:autoSpaceDN w:val="0"/>
                    <w:adjustRightInd w:val="0"/>
                    <w:jc w:val="center"/>
                    <w:rPr>
                      <w:sz w:val="24"/>
                      <w:szCs w:val="24"/>
                      <w:highlight w:val="none"/>
                    </w:rPr>
                  </w:pPr>
                  <w:r>
                    <w:rPr>
                      <w:sz w:val="24"/>
                      <w:szCs w:val="24"/>
                      <w:highlight w:val="none"/>
                    </w:rPr>
                    <w:t>139</w:t>
                  </w:r>
                </w:p>
              </w:tc>
              <w:tc>
                <w:tcPr>
                  <w:tcW w:w="368" w:type="pct"/>
                  <w:tcBorders>
                    <w:tl2br w:val="nil"/>
                    <w:tr2bl w:val="nil"/>
                  </w:tcBorders>
                  <w:noWrap w:val="0"/>
                  <w:vAlign w:val="center"/>
                </w:tcPr>
                <w:p w14:paraId="0EF9083F">
                  <w:pPr>
                    <w:widowControl/>
                    <w:autoSpaceDE w:val="0"/>
                    <w:autoSpaceDN w:val="0"/>
                    <w:adjustRightInd w:val="0"/>
                    <w:jc w:val="center"/>
                    <w:rPr>
                      <w:sz w:val="24"/>
                      <w:szCs w:val="24"/>
                      <w:highlight w:val="none"/>
                    </w:rPr>
                  </w:pPr>
                  <w:r>
                    <w:rPr>
                      <w:sz w:val="24"/>
                      <w:szCs w:val="24"/>
                      <w:highlight w:val="none"/>
                    </w:rPr>
                    <w:t>71</w:t>
                  </w:r>
                </w:p>
              </w:tc>
              <w:tc>
                <w:tcPr>
                  <w:tcW w:w="403" w:type="pct"/>
                  <w:tcBorders>
                    <w:tl2br w:val="nil"/>
                    <w:tr2bl w:val="nil"/>
                  </w:tcBorders>
                  <w:noWrap w:val="0"/>
                  <w:vAlign w:val="center"/>
                </w:tcPr>
                <w:p w14:paraId="106106F2">
                  <w:pPr>
                    <w:widowControl/>
                    <w:autoSpaceDE w:val="0"/>
                    <w:autoSpaceDN w:val="0"/>
                    <w:adjustRightInd w:val="0"/>
                    <w:jc w:val="center"/>
                    <w:rPr>
                      <w:sz w:val="24"/>
                      <w:szCs w:val="24"/>
                      <w:highlight w:val="none"/>
                    </w:rPr>
                  </w:pPr>
                  <w:r>
                    <w:rPr>
                      <w:sz w:val="24"/>
                      <w:szCs w:val="24"/>
                      <w:highlight w:val="none"/>
                    </w:rPr>
                    <w:t>200</w:t>
                  </w:r>
                </w:p>
              </w:tc>
              <w:tc>
                <w:tcPr>
                  <w:tcW w:w="405" w:type="pct"/>
                  <w:tcBorders>
                    <w:tl2br w:val="nil"/>
                    <w:tr2bl w:val="nil"/>
                  </w:tcBorders>
                  <w:noWrap w:val="0"/>
                  <w:vAlign w:val="center"/>
                </w:tcPr>
                <w:p w14:paraId="083A706F">
                  <w:pPr>
                    <w:widowControl/>
                    <w:autoSpaceDE w:val="0"/>
                    <w:autoSpaceDN w:val="0"/>
                    <w:adjustRightInd w:val="0"/>
                    <w:jc w:val="center"/>
                    <w:rPr>
                      <w:sz w:val="24"/>
                      <w:szCs w:val="24"/>
                      <w:highlight w:val="none"/>
                    </w:rPr>
                  </w:pPr>
                  <w:r>
                    <w:rPr>
                      <w:sz w:val="24"/>
                      <w:szCs w:val="24"/>
                      <w:highlight w:val="none"/>
                    </w:rPr>
                    <w:t>741</w:t>
                  </w:r>
                </w:p>
              </w:tc>
              <w:tc>
                <w:tcPr>
                  <w:tcW w:w="532" w:type="pct"/>
                  <w:tcBorders>
                    <w:tl2br w:val="nil"/>
                    <w:tr2bl w:val="nil"/>
                  </w:tcBorders>
                  <w:noWrap w:val="0"/>
                  <w:vAlign w:val="center"/>
                </w:tcPr>
                <w:p w14:paraId="2ED1DEF3">
                  <w:pPr>
                    <w:widowControl/>
                    <w:autoSpaceDE w:val="0"/>
                    <w:autoSpaceDN w:val="0"/>
                    <w:adjustRightInd w:val="0"/>
                    <w:jc w:val="center"/>
                    <w:rPr>
                      <w:sz w:val="24"/>
                      <w:szCs w:val="24"/>
                      <w:highlight w:val="none"/>
                    </w:rPr>
                  </w:pPr>
                  <w:r>
                    <w:rPr>
                      <w:sz w:val="24"/>
                      <w:szCs w:val="24"/>
                      <w:highlight w:val="none"/>
                    </w:rPr>
                    <w:t>25362</w:t>
                  </w:r>
                </w:p>
              </w:tc>
            </w:tr>
          </w:tbl>
          <w:p w14:paraId="4B2018F1">
            <w:pPr>
              <w:adjustRightInd w:val="0"/>
              <w:snapToGrid w:val="0"/>
              <w:spacing w:line="480" w:lineRule="exact"/>
              <w:ind w:firstLine="482"/>
              <w:rPr>
                <w:rFonts w:hint="eastAsia"/>
                <w:b/>
                <w:bCs/>
                <w:sz w:val="24"/>
                <w:szCs w:val="24"/>
                <w:lang w:val="en-US" w:eastAsia="zh-CN"/>
              </w:rPr>
            </w:pPr>
            <w:r>
              <w:rPr>
                <w:rFonts w:hint="eastAsia"/>
                <w:b/>
                <w:bCs/>
                <w:sz w:val="24"/>
                <w:szCs w:val="24"/>
                <w:lang w:val="en-US" w:eastAsia="zh-CN"/>
              </w:rPr>
              <w:t>4.3.4风险事故情形分析</w:t>
            </w:r>
          </w:p>
          <w:p w14:paraId="64DC9A14">
            <w:pPr>
              <w:adjustRightInd w:val="0"/>
              <w:snapToGrid w:val="0"/>
              <w:spacing w:line="480" w:lineRule="exact"/>
              <w:ind w:firstLine="480" w:firstLineChars="200"/>
              <w:rPr>
                <w:sz w:val="24"/>
                <w:szCs w:val="24"/>
                <w:highlight w:val="none"/>
              </w:rPr>
            </w:pPr>
            <w:r>
              <w:rPr>
                <w:sz w:val="24"/>
                <w:szCs w:val="24"/>
                <w:highlight w:val="none"/>
              </w:rPr>
              <w:t>（1）风险事故情形设定</w:t>
            </w:r>
          </w:p>
          <w:p w14:paraId="64A429B6">
            <w:pPr>
              <w:adjustRightInd w:val="0"/>
              <w:snapToGrid w:val="0"/>
              <w:spacing w:line="480" w:lineRule="exact"/>
              <w:ind w:firstLine="480" w:firstLineChars="200"/>
              <w:rPr>
                <w:sz w:val="24"/>
                <w:szCs w:val="24"/>
                <w:highlight w:val="none"/>
              </w:rPr>
            </w:pPr>
            <w:r>
              <w:rPr>
                <w:sz w:val="24"/>
                <w:szCs w:val="24"/>
                <w:highlight w:val="none"/>
              </w:rPr>
              <w:t>拟建项目不从事危险化学品运输，本身无物质危险性和功能性危险源，风险事故的发生由间接行为导致。因此项目风险事故设定主要环境风险为</w:t>
            </w:r>
            <w:r>
              <w:rPr>
                <w:rFonts w:hint="eastAsia"/>
                <w:sz w:val="24"/>
                <w:szCs w:val="24"/>
                <w:highlight w:val="none"/>
              </w:rPr>
              <w:t>施工期施工</w:t>
            </w:r>
            <w:r>
              <w:rPr>
                <w:sz w:val="24"/>
                <w:szCs w:val="24"/>
                <w:highlight w:val="none"/>
              </w:rPr>
              <w:t>船舶</w:t>
            </w:r>
            <w:r>
              <w:rPr>
                <w:rFonts w:hint="eastAsia"/>
                <w:sz w:val="24"/>
                <w:szCs w:val="24"/>
                <w:highlight w:val="none"/>
              </w:rPr>
              <w:t>、运营期运输船舶</w:t>
            </w:r>
            <w:r>
              <w:rPr>
                <w:sz w:val="24"/>
                <w:szCs w:val="24"/>
                <w:highlight w:val="none"/>
              </w:rPr>
              <w:t>燃料油（柴油）泄漏对地表水产生影响，假设溢油事故点发生在本项目</w:t>
            </w:r>
            <w:r>
              <w:rPr>
                <w:rFonts w:hint="eastAsia"/>
                <w:sz w:val="24"/>
                <w:szCs w:val="24"/>
                <w:highlight w:val="none"/>
                <w:lang w:val="en-US" w:eastAsia="zh-CN"/>
              </w:rPr>
              <w:t>锚地</w:t>
            </w:r>
            <w:r>
              <w:rPr>
                <w:sz w:val="24"/>
                <w:szCs w:val="24"/>
                <w:highlight w:val="none"/>
              </w:rPr>
              <w:t>。</w:t>
            </w:r>
          </w:p>
          <w:p w14:paraId="18D7E727">
            <w:pPr>
              <w:adjustRightInd w:val="0"/>
              <w:snapToGrid w:val="0"/>
              <w:spacing w:line="480" w:lineRule="exact"/>
              <w:ind w:firstLine="480" w:firstLineChars="200"/>
              <w:rPr>
                <w:rFonts w:hint="eastAsia"/>
                <w:sz w:val="24"/>
                <w:szCs w:val="24"/>
                <w:highlight w:val="none"/>
              </w:rPr>
            </w:pPr>
            <w:r>
              <w:rPr>
                <w:sz w:val="24"/>
                <w:szCs w:val="24"/>
                <w:highlight w:val="none"/>
              </w:rPr>
              <w:t>（2）源项分析</w:t>
            </w:r>
          </w:p>
          <w:p w14:paraId="113ED935">
            <w:pPr>
              <w:adjustRightInd w:val="0"/>
              <w:snapToGrid w:val="0"/>
              <w:spacing w:line="480" w:lineRule="exact"/>
              <w:ind w:firstLine="480" w:firstLineChars="200"/>
              <w:rPr>
                <w:rFonts w:hint="eastAsia"/>
                <w:sz w:val="24"/>
                <w:szCs w:val="24"/>
                <w:highlight w:val="none"/>
              </w:rPr>
            </w:pPr>
            <w:r>
              <w:rPr>
                <w:rFonts w:hint="eastAsia"/>
                <w:sz w:val="24"/>
                <w:szCs w:val="24"/>
                <w:highlight w:val="none"/>
              </w:rPr>
              <w:t>根据《水上溢油环境风险评估技术导则》，区域评价按照该区域内航行和作业船舶中载油量最大船型的1个货油边舱或燃料油边舱的容积确定，以实际为准。根据类似工程船舶性能资料类比，本项目采用500吨级绞吸式挖泥船，泄漏量按30m</w:t>
            </w:r>
            <w:r>
              <w:rPr>
                <w:rFonts w:hint="eastAsia"/>
                <w:sz w:val="24"/>
                <w:szCs w:val="24"/>
                <w:highlight w:val="none"/>
                <w:vertAlign w:val="superscript"/>
              </w:rPr>
              <w:t>3</w:t>
            </w:r>
            <w:r>
              <w:rPr>
                <w:rFonts w:hint="eastAsia"/>
                <w:sz w:val="24"/>
                <w:szCs w:val="24"/>
                <w:highlight w:val="none"/>
              </w:rPr>
              <w:t>估算。燃油舱单舱燃油量取</w:t>
            </w:r>
            <w:r>
              <w:rPr>
                <w:rFonts w:hint="eastAsia"/>
                <w:sz w:val="24"/>
                <w:szCs w:val="24"/>
                <w:highlight w:val="none"/>
                <w:lang w:val="en-US" w:eastAsia="zh-CN"/>
              </w:rPr>
              <w:t>26</w:t>
            </w:r>
            <w:r>
              <w:rPr>
                <w:rFonts w:hint="eastAsia"/>
                <w:sz w:val="24"/>
                <w:szCs w:val="24"/>
                <w:highlight w:val="none"/>
              </w:rPr>
              <w:t>t，当船舶发生相撞导致漏油现象，船方会立即启动应急程序，对燃料油进行围堵、蘸、吸，并通过相关部门应急救援。因此，本次施工船舶按照</w:t>
            </w:r>
            <w:r>
              <w:rPr>
                <w:rFonts w:hint="eastAsia"/>
                <w:sz w:val="24"/>
                <w:szCs w:val="24"/>
                <w:highlight w:val="none"/>
                <w:lang w:val="en-US" w:eastAsia="zh-CN"/>
              </w:rPr>
              <w:t>26</w:t>
            </w:r>
            <w:r>
              <w:rPr>
                <w:rFonts w:hint="eastAsia"/>
                <w:sz w:val="24"/>
                <w:szCs w:val="24"/>
                <w:highlight w:val="none"/>
              </w:rPr>
              <w:t>t溢油量，进行预测评价。</w:t>
            </w:r>
          </w:p>
          <w:p w14:paraId="27F7437A">
            <w:pPr>
              <w:adjustRightInd w:val="0"/>
              <w:snapToGrid w:val="0"/>
              <w:spacing w:line="480" w:lineRule="exact"/>
              <w:ind w:firstLine="480" w:firstLineChars="200"/>
              <w:rPr>
                <w:rFonts w:hint="eastAsia"/>
                <w:sz w:val="24"/>
                <w:szCs w:val="24"/>
                <w:highlight w:val="none"/>
              </w:rPr>
            </w:pPr>
            <w:r>
              <w:rPr>
                <w:rFonts w:hint="eastAsia"/>
                <w:sz w:val="24"/>
                <w:szCs w:val="24"/>
                <w:highlight w:val="none"/>
              </w:rPr>
              <w:t>码头船舶试航及码头运行期间均可能发生溢油事故，船舶试航主要对主机航行、航速、操纵性、操舵、抛锚及导航设备等进行试验，试航期间燃油舱载油量一般小于码头运行期间燃油舱载油量，故本次将码头运行期间发生溢油事故（</w:t>
            </w:r>
            <w:r>
              <w:rPr>
                <w:rFonts w:hint="eastAsia"/>
                <w:sz w:val="24"/>
                <w:szCs w:val="24"/>
                <w:highlight w:val="none"/>
                <w:lang w:val="en-US" w:eastAsia="zh-CN"/>
              </w:rPr>
              <w:t>70</w:t>
            </w:r>
            <w:r>
              <w:rPr>
                <w:rFonts w:hint="eastAsia"/>
                <w:sz w:val="24"/>
                <w:szCs w:val="24"/>
                <w:highlight w:val="none"/>
              </w:rPr>
              <w:t>t）作为不利条件，对码头溢油风险进行模拟预测分析。</w:t>
            </w:r>
          </w:p>
          <w:p w14:paraId="0FA4A56D">
            <w:pPr>
              <w:adjustRightInd w:val="0"/>
              <w:snapToGrid w:val="0"/>
              <w:spacing w:line="480" w:lineRule="exact"/>
              <w:ind w:firstLine="482"/>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4.3.</w:t>
            </w:r>
            <w:r>
              <w:rPr>
                <w:rFonts w:hint="eastAsia" w:ascii="Times New Roman" w:hAnsi="Times New Roman" w:eastAsia="宋体" w:cs="Times New Roman"/>
                <w:b/>
                <w:bCs/>
                <w:sz w:val="24"/>
                <w:szCs w:val="24"/>
                <w:lang w:val="en-US" w:eastAsia="zh-CN"/>
              </w:rPr>
              <w:t>5</w:t>
            </w:r>
            <w:r>
              <w:rPr>
                <w:rFonts w:hint="eastAsia" w:ascii="Times New Roman" w:hAnsi="Times New Roman" w:eastAsia="宋体" w:cs="Times New Roman"/>
                <w:b/>
                <w:bCs/>
                <w:sz w:val="24"/>
                <w:szCs w:val="24"/>
              </w:rPr>
              <w:t>风险影响预测与评价</w:t>
            </w:r>
          </w:p>
          <w:p w14:paraId="4F2E8830">
            <w:pPr>
              <w:adjustRightInd w:val="0"/>
              <w:snapToGrid w:val="0"/>
              <w:spacing w:line="480" w:lineRule="exact"/>
              <w:ind w:firstLine="482"/>
              <w:rPr>
                <w:color w:val="auto"/>
                <w:sz w:val="24"/>
                <w:szCs w:val="24"/>
                <w:highlight w:val="none"/>
              </w:rPr>
            </w:pPr>
            <w:r>
              <w:rPr>
                <w:rFonts w:hint="eastAsia"/>
                <w:color w:val="auto"/>
                <w:sz w:val="24"/>
                <w:szCs w:val="24"/>
                <w:highlight w:val="none"/>
              </w:rPr>
              <w:t>1、溢油的物理与化学变化过程</w:t>
            </w:r>
          </w:p>
          <w:p w14:paraId="0E72B531">
            <w:pPr>
              <w:spacing w:line="480" w:lineRule="exact"/>
              <w:ind w:firstLine="480"/>
              <w:rPr>
                <w:color w:val="auto"/>
                <w:sz w:val="24"/>
                <w:szCs w:val="24"/>
                <w:highlight w:val="none"/>
              </w:rPr>
            </w:pPr>
            <w:r>
              <w:rPr>
                <w:color w:val="auto"/>
                <w:sz w:val="24"/>
                <w:szCs w:val="24"/>
                <w:highlight w:val="none"/>
              </w:rPr>
              <w:t>（1）对流与扩散原理</w:t>
            </w:r>
          </w:p>
          <w:p w14:paraId="3AA00BEB">
            <w:pPr>
              <w:spacing w:line="480" w:lineRule="exact"/>
              <w:ind w:firstLine="480"/>
              <w:rPr>
                <w:color w:val="auto"/>
                <w:kern w:val="0"/>
                <w:sz w:val="24"/>
                <w:szCs w:val="24"/>
                <w:highlight w:val="none"/>
              </w:rPr>
            </w:pPr>
            <w:r>
              <w:rPr>
                <w:color w:val="auto"/>
                <w:sz w:val="24"/>
                <w:szCs w:val="24"/>
                <w:highlight w:val="none"/>
              </w:rPr>
              <w:t>溢</w:t>
            </w:r>
            <w:r>
              <w:rPr>
                <w:color w:val="auto"/>
                <w:kern w:val="0"/>
                <w:sz w:val="24"/>
                <w:szCs w:val="24"/>
                <w:highlight w:val="none"/>
              </w:rPr>
              <w:t>油在水面上运动主要是通过对流与扩散进行的。对流主要受制于油膜上方的风与油膜下方的水流。扩散是重力、惯性力、摩擦力、粘性与表面张力之间的动力学平衡导致的现象。风对油膜的影响表现为风所产生的漂流。一般采用风漂流流速等于风速的3%。油膜的扩散</w:t>
            </w:r>
            <w:r>
              <w:rPr>
                <w:rFonts w:hint="eastAsia"/>
                <w:color w:val="auto"/>
                <w:kern w:val="0"/>
                <w:sz w:val="24"/>
                <w:szCs w:val="24"/>
                <w:highlight w:val="none"/>
                <w:lang w:eastAsia="zh-CN"/>
              </w:rPr>
              <w:t>（</w:t>
            </w:r>
            <w:r>
              <w:rPr>
                <w:color w:val="auto"/>
                <w:kern w:val="0"/>
                <w:sz w:val="24"/>
                <w:szCs w:val="24"/>
                <w:highlight w:val="none"/>
              </w:rPr>
              <w:t>或扩宽</w:t>
            </w:r>
            <w:r>
              <w:rPr>
                <w:rFonts w:hint="eastAsia"/>
                <w:color w:val="auto"/>
                <w:kern w:val="0"/>
                <w:sz w:val="24"/>
                <w:szCs w:val="24"/>
                <w:highlight w:val="none"/>
                <w:lang w:eastAsia="zh-CN"/>
              </w:rPr>
              <w:t>）</w:t>
            </w:r>
            <w:r>
              <w:rPr>
                <w:color w:val="auto"/>
                <w:kern w:val="0"/>
                <w:sz w:val="24"/>
                <w:szCs w:val="24"/>
                <w:highlight w:val="none"/>
              </w:rPr>
              <w:t>也是极为复杂的过程。对此Bonit（1992）与Fay（1969、1971）有详细的研究。但这些研究多局限于静止水面上的油膜，自然江河由于岸反射和单向水流等因素的影响，因而要复杂得多。油膜的扩散分为三个阶段：惯性阶段、粘性阶段和表面张力阶段。</w:t>
            </w:r>
          </w:p>
          <w:p w14:paraId="25DAD87C">
            <w:pPr>
              <w:spacing w:line="480" w:lineRule="exact"/>
              <w:ind w:firstLine="480"/>
              <w:rPr>
                <w:color w:val="auto"/>
                <w:sz w:val="24"/>
                <w:szCs w:val="24"/>
                <w:highlight w:val="none"/>
              </w:rPr>
            </w:pPr>
            <w:r>
              <w:rPr>
                <w:color w:val="auto"/>
                <w:sz w:val="24"/>
                <w:szCs w:val="24"/>
                <w:highlight w:val="none"/>
              </w:rPr>
              <w:t>（2）蒸发</w:t>
            </w:r>
          </w:p>
          <w:p w14:paraId="486842F9">
            <w:pPr>
              <w:spacing w:line="480" w:lineRule="exact"/>
              <w:ind w:firstLine="480"/>
              <w:rPr>
                <w:color w:val="auto"/>
                <w:sz w:val="24"/>
                <w:szCs w:val="24"/>
                <w:highlight w:val="none"/>
              </w:rPr>
            </w:pPr>
            <w:r>
              <w:rPr>
                <w:color w:val="auto"/>
                <w:kern w:val="0"/>
                <w:sz w:val="24"/>
                <w:szCs w:val="24"/>
                <w:highlight w:val="none"/>
              </w:rPr>
              <w:t>1/2～2/3的溢油在几小时与一天的时间内会蒸发掉。由于蒸发，油膜的物理与化学性质将产生重要的变化。由于蒸发依赖于多种因素。而且这些因素又在随时发生变化，要准确地计算蒸发率是困难的。因此，本江段风险评价中不考虑蒸发量的计算。</w:t>
            </w:r>
          </w:p>
          <w:p w14:paraId="551E62FC">
            <w:pPr>
              <w:spacing w:line="480" w:lineRule="exact"/>
              <w:ind w:firstLine="480"/>
              <w:rPr>
                <w:color w:val="auto"/>
                <w:sz w:val="24"/>
                <w:szCs w:val="24"/>
                <w:highlight w:val="none"/>
              </w:rPr>
            </w:pPr>
            <w:r>
              <w:rPr>
                <w:color w:val="auto"/>
                <w:sz w:val="24"/>
                <w:szCs w:val="24"/>
                <w:highlight w:val="none"/>
              </w:rPr>
              <w:t>（3）溶解</w:t>
            </w:r>
          </w:p>
          <w:p w14:paraId="09767AD8">
            <w:pPr>
              <w:spacing w:line="480" w:lineRule="exact"/>
              <w:ind w:firstLine="480"/>
              <w:rPr>
                <w:color w:val="auto"/>
                <w:sz w:val="24"/>
                <w:szCs w:val="24"/>
                <w:highlight w:val="none"/>
              </w:rPr>
            </w:pPr>
            <w:r>
              <w:rPr>
                <w:color w:val="auto"/>
                <w:sz w:val="24"/>
                <w:szCs w:val="24"/>
                <w:highlight w:val="none"/>
              </w:rPr>
              <w:t>溶解于水的碳氢化合物对于水中生物系统存在着潜在毒性，但溢油的溶解不会达到百分之几的程度。</w:t>
            </w:r>
          </w:p>
          <w:p w14:paraId="3A0D5318">
            <w:pPr>
              <w:spacing w:line="480" w:lineRule="exact"/>
              <w:ind w:firstLine="480"/>
              <w:rPr>
                <w:color w:val="auto"/>
                <w:sz w:val="24"/>
                <w:szCs w:val="24"/>
                <w:highlight w:val="none"/>
              </w:rPr>
            </w:pPr>
            <w:r>
              <w:rPr>
                <w:color w:val="auto"/>
                <w:sz w:val="24"/>
                <w:szCs w:val="24"/>
                <w:highlight w:val="none"/>
              </w:rPr>
              <w:t>（4）垂直扩散或垂直运输</w:t>
            </w:r>
          </w:p>
          <w:p w14:paraId="23B3942F">
            <w:pPr>
              <w:spacing w:line="480" w:lineRule="exact"/>
              <w:ind w:firstLine="480"/>
              <w:rPr>
                <w:color w:val="auto"/>
                <w:sz w:val="24"/>
                <w:szCs w:val="24"/>
                <w:highlight w:val="none"/>
              </w:rPr>
            </w:pPr>
            <w:r>
              <w:rPr>
                <w:color w:val="auto"/>
                <w:sz w:val="24"/>
                <w:szCs w:val="24"/>
                <w:highlight w:val="none"/>
              </w:rPr>
              <w:t>油膜在水面中的停留时间通常受制于小的油质点向水体内的垂直运输或油在水中乳化。</w:t>
            </w:r>
          </w:p>
          <w:p w14:paraId="00CF3560">
            <w:pPr>
              <w:spacing w:line="480" w:lineRule="exact"/>
              <w:ind w:firstLine="480"/>
              <w:rPr>
                <w:color w:val="auto"/>
                <w:sz w:val="24"/>
                <w:szCs w:val="24"/>
                <w:highlight w:val="none"/>
              </w:rPr>
            </w:pPr>
            <w:r>
              <w:rPr>
                <w:color w:val="auto"/>
                <w:sz w:val="24"/>
                <w:szCs w:val="24"/>
                <w:highlight w:val="none"/>
              </w:rPr>
              <w:t>（5）乳化乳胶的形成</w:t>
            </w:r>
          </w:p>
          <w:p w14:paraId="2158FA4A">
            <w:pPr>
              <w:spacing w:line="480" w:lineRule="exact"/>
              <w:ind w:firstLine="480"/>
              <w:rPr>
                <w:color w:val="auto"/>
                <w:sz w:val="24"/>
                <w:szCs w:val="24"/>
                <w:highlight w:val="none"/>
              </w:rPr>
            </w:pPr>
            <w:r>
              <w:rPr>
                <w:color w:val="auto"/>
                <w:sz w:val="24"/>
                <w:szCs w:val="24"/>
                <w:highlight w:val="none"/>
              </w:rPr>
              <w:t>重质原油具有较高的粘性，一般形成较稳定的乳胶状油，而沥青烯与高分子量蜡的存在乳胶的形成密切相关。</w:t>
            </w:r>
          </w:p>
          <w:p w14:paraId="63842DA5">
            <w:pPr>
              <w:spacing w:line="480" w:lineRule="exact"/>
              <w:ind w:firstLine="480"/>
              <w:rPr>
                <w:color w:val="auto"/>
                <w:sz w:val="24"/>
                <w:szCs w:val="24"/>
                <w:highlight w:val="none"/>
              </w:rPr>
            </w:pPr>
            <w:r>
              <w:rPr>
                <w:color w:val="auto"/>
                <w:sz w:val="24"/>
                <w:szCs w:val="24"/>
                <w:highlight w:val="none"/>
              </w:rPr>
              <w:t>（6）沉积</w:t>
            </w:r>
          </w:p>
          <w:p w14:paraId="342DD968">
            <w:pPr>
              <w:spacing w:line="480" w:lineRule="exact"/>
              <w:ind w:firstLine="480"/>
              <w:rPr>
                <w:color w:val="auto"/>
                <w:sz w:val="24"/>
                <w:szCs w:val="24"/>
                <w:highlight w:val="none"/>
              </w:rPr>
            </w:pPr>
            <w:r>
              <w:rPr>
                <w:color w:val="auto"/>
                <w:sz w:val="24"/>
                <w:szCs w:val="24"/>
                <w:highlight w:val="none"/>
              </w:rPr>
              <w:t>各种形式的油都有可能被沉积物颗粒吸附沉于水底或粘结在岸边。在淤泥质沉积物中油的渗透是最小的，只有上层几厘米才会受到影响。</w:t>
            </w:r>
          </w:p>
          <w:p w14:paraId="70A23902">
            <w:pPr>
              <w:spacing w:line="480" w:lineRule="exact"/>
              <w:ind w:firstLine="480" w:firstLineChars="200"/>
              <w:rPr>
                <w:color w:val="auto"/>
                <w:sz w:val="24"/>
                <w:szCs w:val="24"/>
                <w:highlight w:val="none"/>
              </w:rPr>
            </w:pPr>
            <w:r>
              <w:rPr>
                <w:rFonts w:hint="eastAsia"/>
                <w:color w:val="auto"/>
                <w:sz w:val="24"/>
                <w:szCs w:val="24"/>
                <w:highlight w:val="none"/>
              </w:rPr>
              <w:t>2、溢油预测模型</w:t>
            </w:r>
          </w:p>
          <w:p w14:paraId="6039F803">
            <w:pPr>
              <w:spacing w:line="480" w:lineRule="exact"/>
              <w:ind w:firstLine="480"/>
              <w:rPr>
                <w:color w:val="auto"/>
                <w:kern w:val="0"/>
                <w:sz w:val="24"/>
                <w:szCs w:val="24"/>
                <w:highlight w:val="none"/>
              </w:rPr>
            </w:pPr>
            <w:r>
              <w:rPr>
                <w:color w:val="auto"/>
                <w:kern w:val="0"/>
                <w:sz w:val="24"/>
                <w:szCs w:val="24"/>
                <w:highlight w:val="none"/>
              </w:rPr>
              <w:t>溢油进入水体后发生扩展、漂移、扩散等油膜组分保持恒定的输移过程和蒸发、溶解、乳化等油膜组分发生变化的风化过程。本评价溢油模型采用</w:t>
            </w:r>
            <w:r>
              <w:rPr>
                <w:rFonts w:hint="eastAsia"/>
                <w:color w:val="auto"/>
                <w:kern w:val="0"/>
                <w:sz w:val="24"/>
                <w:szCs w:val="24"/>
                <w:highlight w:val="none"/>
              </w:rPr>
              <w:t>“</w:t>
            </w:r>
            <w:r>
              <w:rPr>
                <w:color w:val="auto"/>
                <w:kern w:val="0"/>
                <w:sz w:val="24"/>
                <w:szCs w:val="24"/>
                <w:highlight w:val="none"/>
              </w:rPr>
              <w:t>油粒子</w:t>
            </w:r>
            <w:r>
              <w:rPr>
                <w:rFonts w:hint="eastAsia"/>
                <w:color w:val="auto"/>
                <w:kern w:val="0"/>
                <w:sz w:val="24"/>
                <w:szCs w:val="24"/>
                <w:highlight w:val="none"/>
              </w:rPr>
              <w:t>”</w:t>
            </w:r>
            <w:r>
              <w:rPr>
                <w:color w:val="auto"/>
                <w:kern w:val="0"/>
                <w:sz w:val="24"/>
                <w:szCs w:val="24"/>
                <w:highlight w:val="none"/>
              </w:rPr>
              <w:t>模型，该模型可以很好地模拟上述物理化学过程，另外，</w:t>
            </w:r>
            <w:r>
              <w:rPr>
                <w:rFonts w:hint="eastAsia"/>
                <w:color w:val="auto"/>
                <w:kern w:val="0"/>
                <w:sz w:val="24"/>
                <w:szCs w:val="24"/>
                <w:highlight w:val="none"/>
              </w:rPr>
              <w:t>“</w:t>
            </w:r>
            <w:r>
              <w:rPr>
                <w:color w:val="auto"/>
                <w:kern w:val="0"/>
                <w:sz w:val="24"/>
                <w:szCs w:val="24"/>
                <w:highlight w:val="none"/>
              </w:rPr>
              <w:t>油粒子</w:t>
            </w:r>
            <w:r>
              <w:rPr>
                <w:rFonts w:hint="eastAsia"/>
                <w:color w:val="auto"/>
                <w:kern w:val="0"/>
                <w:sz w:val="24"/>
                <w:szCs w:val="24"/>
                <w:highlight w:val="none"/>
              </w:rPr>
              <w:t>”</w:t>
            </w:r>
            <w:r>
              <w:rPr>
                <w:color w:val="auto"/>
                <w:kern w:val="0"/>
                <w:sz w:val="24"/>
                <w:szCs w:val="24"/>
                <w:highlight w:val="none"/>
              </w:rPr>
              <w:t>模型是基于拉格朗日体系具有稳定性和高效率性特点。</w:t>
            </w:r>
            <w:r>
              <w:rPr>
                <w:rFonts w:hint="eastAsia"/>
                <w:color w:val="auto"/>
                <w:kern w:val="0"/>
                <w:sz w:val="24"/>
                <w:szCs w:val="24"/>
                <w:highlight w:val="none"/>
              </w:rPr>
              <w:t>“</w:t>
            </w:r>
            <w:r>
              <w:rPr>
                <w:color w:val="auto"/>
                <w:kern w:val="0"/>
                <w:sz w:val="24"/>
                <w:szCs w:val="24"/>
                <w:highlight w:val="none"/>
              </w:rPr>
              <w:t>油粒子</w:t>
            </w:r>
            <w:r>
              <w:rPr>
                <w:rFonts w:hint="eastAsia"/>
                <w:color w:val="auto"/>
                <w:kern w:val="0"/>
                <w:sz w:val="24"/>
                <w:szCs w:val="24"/>
                <w:highlight w:val="none"/>
              </w:rPr>
              <w:t>”</w:t>
            </w:r>
            <w:r>
              <w:rPr>
                <w:color w:val="auto"/>
                <w:kern w:val="0"/>
                <w:sz w:val="24"/>
                <w:szCs w:val="24"/>
                <w:highlight w:val="none"/>
              </w:rPr>
              <w:t>模型就是把溢油离散为大量的油粒子，每个油粒子代表一定的油量，油膜就是</w:t>
            </w:r>
            <w:r>
              <w:rPr>
                <w:rFonts w:hint="eastAsia"/>
                <w:color w:val="auto"/>
                <w:kern w:val="0"/>
                <w:sz w:val="24"/>
                <w:szCs w:val="24"/>
                <w:highlight w:val="none"/>
                <w:lang w:eastAsia="zh-CN"/>
              </w:rPr>
              <w:t>由</w:t>
            </w:r>
            <w:r>
              <w:rPr>
                <w:color w:val="auto"/>
                <w:kern w:val="0"/>
                <w:sz w:val="24"/>
                <w:szCs w:val="24"/>
                <w:highlight w:val="none"/>
              </w:rPr>
              <w:t>这些大量的油粒子所组成的</w:t>
            </w:r>
            <w:r>
              <w:rPr>
                <w:rFonts w:hint="eastAsia"/>
                <w:color w:val="auto"/>
                <w:kern w:val="0"/>
                <w:sz w:val="24"/>
                <w:szCs w:val="24"/>
                <w:highlight w:val="none"/>
              </w:rPr>
              <w:t>“</w:t>
            </w:r>
            <w:r>
              <w:rPr>
                <w:color w:val="auto"/>
                <w:kern w:val="0"/>
                <w:sz w:val="24"/>
                <w:szCs w:val="24"/>
                <w:highlight w:val="none"/>
              </w:rPr>
              <w:t>云团</w:t>
            </w:r>
            <w:r>
              <w:rPr>
                <w:rFonts w:hint="eastAsia"/>
                <w:color w:val="auto"/>
                <w:kern w:val="0"/>
                <w:sz w:val="24"/>
                <w:szCs w:val="24"/>
                <w:highlight w:val="none"/>
              </w:rPr>
              <w:t>”</w:t>
            </w:r>
            <w:r>
              <w:rPr>
                <w:color w:val="auto"/>
                <w:kern w:val="0"/>
                <w:sz w:val="24"/>
                <w:szCs w:val="24"/>
                <w:highlight w:val="none"/>
              </w:rPr>
              <w:t>。</w:t>
            </w:r>
          </w:p>
          <w:p w14:paraId="14C27EDE">
            <w:pPr>
              <w:spacing w:line="480" w:lineRule="exact"/>
              <w:ind w:firstLine="480"/>
              <w:rPr>
                <w:color w:val="auto"/>
                <w:sz w:val="24"/>
                <w:szCs w:val="24"/>
                <w:highlight w:val="none"/>
              </w:rPr>
            </w:pPr>
            <w:r>
              <w:rPr>
                <w:color w:val="auto"/>
                <w:sz w:val="24"/>
                <w:szCs w:val="24"/>
                <w:highlight w:val="none"/>
              </w:rPr>
              <w:t>（1）输移过程</w:t>
            </w:r>
          </w:p>
          <w:p w14:paraId="55BE40E7">
            <w:pPr>
              <w:spacing w:line="480" w:lineRule="exact"/>
              <w:ind w:firstLine="480"/>
              <w:rPr>
                <w:color w:val="auto"/>
                <w:kern w:val="0"/>
                <w:sz w:val="24"/>
                <w:szCs w:val="24"/>
                <w:highlight w:val="none"/>
              </w:rPr>
            </w:pPr>
            <w:r>
              <w:rPr>
                <w:color w:val="auto"/>
                <w:kern w:val="0"/>
                <w:sz w:val="24"/>
                <w:szCs w:val="24"/>
                <w:highlight w:val="none"/>
              </w:rPr>
              <w:t>油粒子的输移包括了扩展、漂移、扩散等过程，这些过程是油粒子位置发生变化的主要原因，而油粒子的组分在这些过程中不发生变化。</w:t>
            </w:r>
          </w:p>
          <w:p w14:paraId="21B2DB82">
            <w:pPr>
              <w:spacing w:line="480" w:lineRule="exact"/>
              <w:ind w:firstLine="480"/>
              <w:rPr>
                <w:color w:val="auto"/>
                <w:sz w:val="24"/>
                <w:szCs w:val="24"/>
                <w:highlight w:val="none"/>
              </w:rPr>
            </w:pPr>
            <w:r>
              <w:rPr>
                <w:color w:val="auto"/>
                <w:sz w:val="24"/>
                <w:szCs w:val="24"/>
                <w:highlight w:val="none"/>
              </w:rPr>
              <w:t>①扩展运动</w:t>
            </w:r>
          </w:p>
          <w:p w14:paraId="1D577C09">
            <w:pPr>
              <w:spacing w:line="480" w:lineRule="exact"/>
              <w:ind w:firstLine="480"/>
              <w:rPr>
                <w:color w:val="auto"/>
                <w:kern w:val="0"/>
                <w:sz w:val="24"/>
                <w:szCs w:val="24"/>
                <w:highlight w:val="none"/>
              </w:rPr>
            </w:pPr>
            <w:r>
              <w:rPr>
                <w:color w:val="auto"/>
                <w:kern w:val="0"/>
                <w:sz w:val="24"/>
                <w:szCs w:val="24"/>
                <w:highlight w:val="none"/>
              </w:rPr>
              <w:t>本文采用修正的Fay重力-粘力公式计算油膜扩展：</w:t>
            </w:r>
          </w:p>
          <w:p w14:paraId="6340D727">
            <w:pPr>
              <w:spacing w:line="360" w:lineRule="auto"/>
              <w:jc w:val="center"/>
              <w:rPr>
                <w:color w:val="auto"/>
                <w:sz w:val="24"/>
                <w:szCs w:val="24"/>
                <w:highlight w:val="none"/>
              </w:rPr>
            </w:pPr>
            <w:r>
              <w:rPr>
                <w:color w:val="auto"/>
                <w:position w:val="-32"/>
                <w:sz w:val="24"/>
                <w:szCs w:val="24"/>
                <w:highlight w:val="none"/>
              </w:rPr>
              <w:drawing>
                <wp:inline distT="0" distB="0" distL="114300" distR="114300">
                  <wp:extent cx="1690370" cy="520700"/>
                  <wp:effectExtent l="0" t="0" r="5080" b="1333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32"/>
                          <a:stretch>
                            <a:fillRect/>
                          </a:stretch>
                        </pic:blipFill>
                        <pic:spPr>
                          <a:xfrm>
                            <a:off x="0" y="0"/>
                            <a:ext cx="1690370" cy="520700"/>
                          </a:xfrm>
                          <a:prstGeom prst="rect">
                            <a:avLst/>
                          </a:prstGeom>
                          <a:noFill/>
                          <a:ln>
                            <a:noFill/>
                          </a:ln>
                        </pic:spPr>
                      </pic:pic>
                    </a:graphicData>
                  </a:graphic>
                </wp:inline>
              </w:drawing>
            </w:r>
          </w:p>
          <w:p w14:paraId="24B94222">
            <w:pPr>
              <w:spacing w:line="360" w:lineRule="auto"/>
              <w:ind w:firstLine="474"/>
              <w:rPr>
                <w:color w:val="auto"/>
                <w:spacing w:val="-4"/>
                <w:sz w:val="24"/>
                <w:szCs w:val="24"/>
                <w:highlight w:val="none"/>
              </w:rPr>
            </w:pPr>
            <w:r>
              <w:rPr>
                <w:color w:val="auto"/>
                <w:spacing w:val="-4"/>
                <w:sz w:val="24"/>
                <w:szCs w:val="24"/>
                <w:highlight w:val="none"/>
              </w:rPr>
              <w:t>式中</w:t>
            </w:r>
            <w:r>
              <w:rPr>
                <w:color w:val="auto"/>
                <w:spacing w:val="-4"/>
                <w:position w:val="-12"/>
                <w:sz w:val="24"/>
                <w:szCs w:val="24"/>
                <w:highlight w:val="none"/>
              </w:rPr>
              <w:drawing>
                <wp:inline distT="0" distB="0" distL="114300" distR="114300">
                  <wp:extent cx="244475" cy="244475"/>
                  <wp:effectExtent l="0" t="0" r="3175" b="2540"/>
                  <wp:docPr id="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33"/>
                          <a:stretch>
                            <a:fillRect/>
                          </a:stretch>
                        </pic:blipFill>
                        <pic:spPr>
                          <a:xfrm>
                            <a:off x="0" y="0"/>
                            <a:ext cx="244475" cy="244475"/>
                          </a:xfrm>
                          <a:prstGeom prst="rect">
                            <a:avLst/>
                          </a:prstGeom>
                          <a:noFill/>
                          <a:ln>
                            <a:noFill/>
                          </a:ln>
                        </pic:spPr>
                      </pic:pic>
                    </a:graphicData>
                  </a:graphic>
                </wp:inline>
              </w:drawing>
            </w:r>
            <w:r>
              <w:rPr>
                <w:color w:val="auto"/>
                <w:spacing w:val="-4"/>
                <w:sz w:val="24"/>
                <w:szCs w:val="24"/>
                <w:highlight w:val="none"/>
              </w:rPr>
              <w:t>为油膜面积，</w:t>
            </w:r>
            <w:r>
              <w:rPr>
                <w:color w:val="auto"/>
                <w:spacing w:val="-4"/>
                <w:position w:val="-12"/>
                <w:sz w:val="24"/>
                <w:szCs w:val="24"/>
                <w:highlight w:val="none"/>
              </w:rPr>
              <w:drawing>
                <wp:inline distT="0" distB="0" distL="114300" distR="114300">
                  <wp:extent cx="627380" cy="244475"/>
                  <wp:effectExtent l="0" t="0" r="1270" b="2540"/>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34"/>
                          <a:stretch>
                            <a:fillRect/>
                          </a:stretch>
                        </pic:blipFill>
                        <pic:spPr>
                          <a:xfrm>
                            <a:off x="0" y="0"/>
                            <a:ext cx="627380" cy="244475"/>
                          </a:xfrm>
                          <a:prstGeom prst="rect">
                            <a:avLst/>
                          </a:prstGeom>
                          <a:noFill/>
                          <a:ln>
                            <a:noFill/>
                          </a:ln>
                        </pic:spPr>
                      </pic:pic>
                    </a:graphicData>
                  </a:graphic>
                </wp:inline>
              </w:drawing>
            </w:r>
            <w:r>
              <w:rPr>
                <w:color w:val="auto"/>
                <w:spacing w:val="-4"/>
                <w:sz w:val="24"/>
                <w:szCs w:val="24"/>
                <w:highlight w:val="none"/>
              </w:rPr>
              <w:t>；</w:t>
            </w:r>
            <w:r>
              <w:rPr>
                <w:color w:val="auto"/>
                <w:spacing w:val="-4"/>
                <w:position w:val="-12"/>
                <w:sz w:val="24"/>
                <w:szCs w:val="24"/>
                <w:highlight w:val="none"/>
              </w:rPr>
              <w:drawing>
                <wp:inline distT="0" distB="0" distL="114300" distR="114300">
                  <wp:extent cx="244475" cy="244475"/>
                  <wp:effectExtent l="0" t="0" r="3175" b="1905"/>
                  <wp:docPr id="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
                          <pic:cNvPicPr>
                            <a:picLocks noChangeAspect="1"/>
                          </pic:cNvPicPr>
                        </pic:nvPicPr>
                        <pic:blipFill>
                          <a:blip r:embed="rId35"/>
                          <a:stretch>
                            <a:fillRect/>
                          </a:stretch>
                        </pic:blipFill>
                        <pic:spPr>
                          <a:xfrm>
                            <a:off x="0" y="0"/>
                            <a:ext cx="244475" cy="244475"/>
                          </a:xfrm>
                          <a:prstGeom prst="rect">
                            <a:avLst/>
                          </a:prstGeom>
                          <a:noFill/>
                          <a:ln>
                            <a:noFill/>
                          </a:ln>
                        </pic:spPr>
                      </pic:pic>
                    </a:graphicData>
                  </a:graphic>
                </wp:inline>
              </w:drawing>
            </w:r>
            <w:r>
              <w:rPr>
                <w:color w:val="auto"/>
                <w:spacing w:val="-4"/>
                <w:sz w:val="24"/>
                <w:szCs w:val="24"/>
                <w:highlight w:val="none"/>
              </w:rPr>
              <w:t>为油膜直径；</w:t>
            </w:r>
            <w:r>
              <w:rPr>
                <w:color w:val="auto"/>
                <w:spacing w:val="-4"/>
                <w:position w:val="-12"/>
                <w:sz w:val="24"/>
                <w:szCs w:val="24"/>
                <w:highlight w:val="none"/>
              </w:rPr>
              <w:drawing>
                <wp:inline distT="0" distB="0" distL="114300" distR="114300">
                  <wp:extent cx="212725" cy="244475"/>
                  <wp:effectExtent l="0" t="0" r="15875" b="2540"/>
                  <wp:docPr id="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
                          <pic:cNvPicPr>
                            <a:picLocks noChangeAspect="1"/>
                          </pic:cNvPicPr>
                        </pic:nvPicPr>
                        <pic:blipFill>
                          <a:blip r:embed="rId36"/>
                          <a:stretch>
                            <a:fillRect/>
                          </a:stretch>
                        </pic:blipFill>
                        <pic:spPr>
                          <a:xfrm>
                            <a:off x="0" y="0"/>
                            <a:ext cx="212725" cy="244475"/>
                          </a:xfrm>
                          <a:prstGeom prst="rect">
                            <a:avLst/>
                          </a:prstGeom>
                          <a:noFill/>
                          <a:ln>
                            <a:noFill/>
                          </a:ln>
                        </pic:spPr>
                      </pic:pic>
                    </a:graphicData>
                  </a:graphic>
                </wp:inline>
              </w:drawing>
            </w:r>
            <w:r>
              <w:rPr>
                <w:color w:val="auto"/>
                <w:spacing w:val="-4"/>
                <w:sz w:val="24"/>
                <w:szCs w:val="24"/>
                <w:highlight w:val="none"/>
              </w:rPr>
              <w:t>为系数；</w:t>
            </w:r>
            <w:r>
              <w:rPr>
                <w:color w:val="auto"/>
                <w:spacing w:val="-4"/>
                <w:position w:val="-6"/>
                <w:sz w:val="24"/>
                <w:szCs w:val="24"/>
                <w:highlight w:val="none"/>
              </w:rPr>
              <w:drawing>
                <wp:inline distT="0" distB="0" distL="114300" distR="114300">
                  <wp:extent cx="74295" cy="159385"/>
                  <wp:effectExtent l="0" t="0" r="1905" b="13970"/>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37"/>
                          <a:stretch>
                            <a:fillRect/>
                          </a:stretch>
                        </pic:blipFill>
                        <pic:spPr>
                          <a:xfrm>
                            <a:off x="0" y="0"/>
                            <a:ext cx="74295" cy="159385"/>
                          </a:xfrm>
                          <a:prstGeom prst="rect">
                            <a:avLst/>
                          </a:prstGeom>
                          <a:noFill/>
                          <a:ln>
                            <a:noFill/>
                          </a:ln>
                        </pic:spPr>
                      </pic:pic>
                    </a:graphicData>
                  </a:graphic>
                </wp:inline>
              </w:drawing>
            </w:r>
            <w:r>
              <w:rPr>
                <w:color w:val="auto"/>
                <w:spacing w:val="-4"/>
                <w:sz w:val="24"/>
                <w:szCs w:val="24"/>
                <w:highlight w:val="none"/>
              </w:rPr>
              <w:t>为时间；油膜体积为：</w:t>
            </w:r>
          </w:p>
          <w:p w14:paraId="233FFFB4">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935355" cy="244475"/>
                  <wp:effectExtent l="0" t="0" r="17145" b="2540"/>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pic:cNvPicPr>
                        </pic:nvPicPr>
                        <pic:blipFill>
                          <a:blip r:embed="rId38"/>
                          <a:stretch>
                            <a:fillRect/>
                          </a:stretch>
                        </pic:blipFill>
                        <pic:spPr>
                          <a:xfrm>
                            <a:off x="0" y="0"/>
                            <a:ext cx="935355" cy="244475"/>
                          </a:xfrm>
                          <a:prstGeom prst="rect">
                            <a:avLst/>
                          </a:prstGeom>
                          <a:noFill/>
                          <a:ln>
                            <a:noFill/>
                          </a:ln>
                        </pic:spPr>
                      </pic:pic>
                    </a:graphicData>
                  </a:graphic>
                </wp:inline>
              </w:drawing>
            </w:r>
          </w:p>
          <w:p w14:paraId="3415B512">
            <w:pPr>
              <w:spacing w:line="360" w:lineRule="auto"/>
              <w:ind w:firstLine="490"/>
              <w:rPr>
                <w:color w:val="auto"/>
                <w:sz w:val="24"/>
                <w:szCs w:val="24"/>
                <w:highlight w:val="none"/>
              </w:rPr>
            </w:pPr>
            <w:r>
              <w:rPr>
                <w:color w:val="auto"/>
                <w:sz w:val="24"/>
                <w:szCs w:val="24"/>
                <w:highlight w:val="none"/>
              </w:rPr>
              <w:t>初始油膜厚度：</w:t>
            </w:r>
            <w:r>
              <w:rPr>
                <w:color w:val="auto"/>
                <w:position w:val="-12"/>
                <w:sz w:val="24"/>
                <w:szCs w:val="24"/>
                <w:highlight w:val="none"/>
              </w:rPr>
              <w:drawing>
                <wp:inline distT="0" distB="0" distL="114300" distR="114300">
                  <wp:extent cx="159385" cy="244475"/>
                  <wp:effectExtent l="0" t="0" r="12065" b="2540"/>
                  <wp:docPr id="9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
                          <pic:cNvPicPr>
                            <a:picLocks noChangeAspect="1"/>
                          </pic:cNvPicPr>
                        </pic:nvPicPr>
                        <pic:blipFill>
                          <a:blip r:embed="rId39"/>
                          <a:stretch>
                            <a:fillRect/>
                          </a:stretch>
                        </pic:blipFill>
                        <pic:spPr>
                          <a:xfrm>
                            <a:off x="0" y="0"/>
                            <a:ext cx="159385" cy="244475"/>
                          </a:xfrm>
                          <a:prstGeom prst="rect">
                            <a:avLst/>
                          </a:prstGeom>
                          <a:noFill/>
                          <a:ln>
                            <a:noFill/>
                          </a:ln>
                        </pic:spPr>
                      </pic:pic>
                    </a:graphicData>
                  </a:graphic>
                </wp:inline>
              </w:drawing>
            </w:r>
            <w:r>
              <w:rPr>
                <w:color w:val="auto"/>
                <w:sz w:val="24"/>
                <w:szCs w:val="24"/>
                <w:highlight w:val="none"/>
              </w:rPr>
              <w:t>=10cm</w:t>
            </w:r>
          </w:p>
          <w:p w14:paraId="6DC92DD3">
            <w:pPr>
              <w:spacing w:line="480" w:lineRule="exact"/>
              <w:ind w:firstLine="480"/>
              <w:rPr>
                <w:color w:val="auto"/>
                <w:sz w:val="24"/>
                <w:szCs w:val="24"/>
                <w:highlight w:val="none"/>
              </w:rPr>
            </w:pPr>
            <w:r>
              <w:rPr>
                <w:color w:val="auto"/>
                <w:sz w:val="24"/>
                <w:szCs w:val="24"/>
                <w:highlight w:val="none"/>
              </w:rPr>
              <w:t>②漂移运动</w:t>
            </w:r>
          </w:p>
          <w:p w14:paraId="7564ED76">
            <w:pPr>
              <w:spacing w:line="480" w:lineRule="exact"/>
              <w:ind w:firstLine="480"/>
              <w:rPr>
                <w:color w:val="auto"/>
                <w:kern w:val="0"/>
                <w:sz w:val="24"/>
                <w:szCs w:val="24"/>
                <w:highlight w:val="none"/>
              </w:rPr>
            </w:pPr>
            <w:r>
              <w:rPr>
                <w:color w:val="auto"/>
                <w:kern w:val="0"/>
                <w:sz w:val="24"/>
                <w:szCs w:val="24"/>
                <w:highlight w:val="none"/>
              </w:rPr>
              <w:t>油粒子漂移的作用力是水流和风拽力，油粒子总漂移速度由以下权重公式计算：</w:t>
            </w:r>
          </w:p>
          <w:p w14:paraId="291996B8">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297305" cy="266065"/>
                  <wp:effectExtent l="0" t="0" r="17145" b="635"/>
                  <wp:docPr id="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1"/>
                          <pic:cNvPicPr>
                            <a:picLocks noChangeAspect="1"/>
                          </pic:cNvPicPr>
                        </pic:nvPicPr>
                        <pic:blipFill>
                          <a:blip r:embed="rId40"/>
                          <a:stretch>
                            <a:fillRect/>
                          </a:stretch>
                        </pic:blipFill>
                        <pic:spPr>
                          <a:xfrm>
                            <a:off x="0" y="0"/>
                            <a:ext cx="1297305" cy="266065"/>
                          </a:xfrm>
                          <a:prstGeom prst="rect">
                            <a:avLst/>
                          </a:prstGeom>
                          <a:noFill/>
                          <a:ln>
                            <a:noFill/>
                          </a:ln>
                        </pic:spPr>
                      </pic:pic>
                    </a:graphicData>
                  </a:graphic>
                </wp:inline>
              </w:drawing>
            </w:r>
          </w:p>
          <w:p w14:paraId="15D3FAA5">
            <w:pPr>
              <w:spacing w:line="360" w:lineRule="auto"/>
              <w:ind w:firstLine="490"/>
              <w:rPr>
                <w:color w:val="auto"/>
                <w:sz w:val="24"/>
                <w:szCs w:val="24"/>
                <w:highlight w:val="none"/>
              </w:rPr>
            </w:pPr>
            <w:r>
              <w:rPr>
                <w:color w:val="auto"/>
                <w:sz w:val="24"/>
                <w:szCs w:val="24"/>
                <w:highlight w:val="none"/>
              </w:rPr>
              <w:t>其中</w:t>
            </w:r>
            <w:r>
              <w:rPr>
                <w:color w:val="auto"/>
                <w:position w:val="-12"/>
                <w:sz w:val="24"/>
                <w:szCs w:val="24"/>
                <w:highlight w:val="none"/>
              </w:rPr>
              <w:drawing>
                <wp:inline distT="0" distB="0" distL="114300" distR="114300">
                  <wp:extent cx="212725" cy="244475"/>
                  <wp:effectExtent l="0" t="0" r="15875" b="2540"/>
                  <wp:docPr id="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2"/>
                          <pic:cNvPicPr>
                            <a:picLocks noChangeAspect="1"/>
                          </pic:cNvPicPr>
                        </pic:nvPicPr>
                        <pic:blipFill>
                          <a:blip r:embed="rId41"/>
                          <a:stretch>
                            <a:fillRect/>
                          </a:stretch>
                        </pic:blipFill>
                        <pic:spPr>
                          <a:xfrm>
                            <a:off x="0" y="0"/>
                            <a:ext cx="212725" cy="244475"/>
                          </a:xfrm>
                          <a:prstGeom prst="rect">
                            <a:avLst/>
                          </a:prstGeom>
                          <a:noFill/>
                          <a:ln>
                            <a:noFill/>
                          </a:ln>
                        </pic:spPr>
                      </pic:pic>
                    </a:graphicData>
                  </a:graphic>
                </wp:inline>
              </w:drawing>
            </w:r>
            <w:r>
              <w:rPr>
                <w:color w:val="auto"/>
                <w:sz w:val="24"/>
                <w:szCs w:val="24"/>
                <w:highlight w:val="none"/>
              </w:rPr>
              <w:t>为水面以上10m处的风速；</w:t>
            </w:r>
            <w:r>
              <w:rPr>
                <w:color w:val="auto"/>
                <w:position w:val="-12"/>
                <w:sz w:val="24"/>
                <w:szCs w:val="24"/>
                <w:highlight w:val="none"/>
              </w:rPr>
              <w:drawing>
                <wp:inline distT="0" distB="0" distL="114300" distR="114300">
                  <wp:extent cx="191135" cy="244475"/>
                  <wp:effectExtent l="0" t="0" r="18415" b="2540"/>
                  <wp:docPr id="9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3"/>
                          <pic:cNvPicPr>
                            <a:picLocks noChangeAspect="1"/>
                          </pic:cNvPicPr>
                        </pic:nvPicPr>
                        <pic:blipFill>
                          <a:blip r:embed="rId42"/>
                          <a:stretch>
                            <a:fillRect/>
                          </a:stretch>
                        </pic:blipFill>
                        <pic:spPr>
                          <a:xfrm>
                            <a:off x="0" y="0"/>
                            <a:ext cx="191135" cy="244475"/>
                          </a:xfrm>
                          <a:prstGeom prst="rect">
                            <a:avLst/>
                          </a:prstGeom>
                          <a:noFill/>
                          <a:ln>
                            <a:noFill/>
                          </a:ln>
                        </pic:spPr>
                      </pic:pic>
                    </a:graphicData>
                  </a:graphic>
                </wp:inline>
              </w:drawing>
            </w:r>
            <w:r>
              <w:rPr>
                <w:color w:val="auto"/>
                <w:sz w:val="24"/>
                <w:szCs w:val="24"/>
                <w:highlight w:val="none"/>
              </w:rPr>
              <w:t>为表明流速；</w:t>
            </w:r>
            <w:r>
              <w:rPr>
                <w:color w:val="auto"/>
                <w:position w:val="-12"/>
                <w:sz w:val="24"/>
                <w:szCs w:val="24"/>
                <w:highlight w:val="none"/>
              </w:rPr>
              <w:drawing>
                <wp:inline distT="0" distB="0" distL="114300" distR="114300">
                  <wp:extent cx="159385" cy="244475"/>
                  <wp:effectExtent l="0" t="0" r="12065" b="1905"/>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43"/>
                          <a:stretch>
                            <a:fillRect/>
                          </a:stretch>
                        </pic:blipFill>
                        <pic:spPr>
                          <a:xfrm>
                            <a:off x="0" y="0"/>
                            <a:ext cx="159385" cy="244475"/>
                          </a:xfrm>
                          <a:prstGeom prst="rect">
                            <a:avLst/>
                          </a:prstGeom>
                          <a:noFill/>
                          <a:ln>
                            <a:noFill/>
                          </a:ln>
                        </pic:spPr>
                      </pic:pic>
                    </a:graphicData>
                  </a:graphic>
                </wp:inline>
              </w:drawing>
            </w:r>
            <w:r>
              <w:rPr>
                <w:color w:val="auto"/>
                <w:sz w:val="24"/>
                <w:szCs w:val="24"/>
                <w:highlight w:val="none"/>
              </w:rPr>
              <w:t>为风漂移系数，一般在0.03和0.04之间。</w:t>
            </w:r>
          </w:p>
          <w:p w14:paraId="35532278">
            <w:pPr>
              <w:spacing w:line="360" w:lineRule="auto"/>
              <w:ind w:firstLine="490"/>
              <w:rPr>
                <w:color w:val="auto"/>
                <w:sz w:val="24"/>
                <w:szCs w:val="24"/>
                <w:highlight w:val="none"/>
              </w:rPr>
            </w:pPr>
            <w:r>
              <w:rPr>
                <w:color w:val="auto"/>
                <w:sz w:val="24"/>
                <w:szCs w:val="24"/>
                <w:highlight w:val="none"/>
              </w:rPr>
              <w:t>风场数据从气象部门获得，而流场从二维水动力模型计算结果获得。但是一般二维水动力模型计算出的是垂向平均值，必须据此估算流速的垂向分布。假定其符合对数关系：</w:t>
            </w:r>
          </w:p>
          <w:p w14:paraId="3F76CF7D">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488440" cy="478155"/>
                  <wp:effectExtent l="0" t="0" r="16510" b="17145"/>
                  <wp:docPr id="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pic:cNvPicPr>
                            <a:picLocks noChangeAspect="1"/>
                          </pic:cNvPicPr>
                        </pic:nvPicPr>
                        <pic:blipFill>
                          <a:blip r:embed="rId44"/>
                          <a:stretch>
                            <a:fillRect/>
                          </a:stretch>
                        </pic:blipFill>
                        <pic:spPr>
                          <a:xfrm>
                            <a:off x="0" y="0"/>
                            <a:ext cx="1488440" cy="478155"/>
                          </a:xfrm>
                          <a:prstGeom prst="rect">
                            <a:avLst/>
                          </a:prstGeom>
                          <a:noFill/>
                          <a:ln>
                            <a:noFill/>
                          </a:ln>
                        </pic:spPr>
                      </pic:pic>
                    </a:graphicData>
                  </a:graphic>
                </wp:inline>
              </w:drawing>
            </w:r>
          </w:p>
          <w:p w14:paraId="7C46B733">
            <w:pPr>
              <w:ind w:firstLine="490"/>
              <w:rPr>
                <w:color w:val="auto"/>
                <w:sz w:val="24"/>
                <w:szCs w:val="24"/>
                <w:highlight w:val="none"/>
              </w:rPr>
            </w:pPr>
            <w:r>
              <w:rPr>
                <w:color w:val="auto"/>
                <w:sz w:val="24"/>
                <w:szCs w:val="24"/>
                <w:highlight w:val="none"/>
              </w:rPr>
              <w:t>其中</w:t>
            </w:r>
            <w:r>
              <w:rPr>
                <w:color w:val="auto"/>
                <w:position w:val="-4"/>
                <w:sz w:val="24"/>
                <w:szCs w:val="24"/>
                <w:highlight w:val="none"/>
              </w:rPr>
              <w:drawing>
                <wp:inline distT="0" distB="0" distL="114300" distR="114300">
                  <wp:extent cx="116840" cy="116840"/>
                  <wp:effectExtent l="0" t="0" r="0" b="17145"/>
                  <wp:docPr id="10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6"/>
                          <pic:cNvPicPr>
                            <a:picLocks noChangeAspect="1"/>
                          </pic:cNvPicPr>
                        </pic:nvPicPr>
                        <pic:blipFill>
                          <a:blip r:embed="rId45"/>
                          <a:stretch>
                            <a:fillRect/>
                          </a:stretch>
                        </pic:blipFill>
                        <pic:spPr>
                          <a:xfrm>
                            <a:off x="0" y="0"/>
                            <a:ext cx="116840" cy="116840"/>
                          </a:xfrm>
                          <a:prstGeom prst="rect">
                            <a:avLst/>
                          </a:prstGeom>
                          <a:noFill/>
                          <a:ln>
                            <a:noFill/>
                          </a:ln>
                        </pic:spPr>
                      </pic:pic>
                    </a:graphicData>
                  </a:graphic>
                </wp:inline>
              </w:drawing>
            </w:r>
            <w:r>
              <w:rPr>
                <w:color w:val="auto"/>
                <w:sz w:val="24"/>
                <w:szCs w:val="24"/>
                <w:highlight w:val="none"/>
              </w:rPr>
              <w:t>为水面以下深度；</w:t>
            </w:r>
            <w:r>
              <w:rPr>
                <w:color w:val="auto"/>
                <w:position w:val="-14"/>
                <w:sz w:val="24"/>
                <w:szCs w:val="24"/>
                <w:highlight w:val="none"/>
              </w:rPr>
              <w:drawing>
                <wp:inline distT="0" distB="0" distL="114300" distR="114300">
                  <wp:extent cx="340360" cy="266065"/>
                  <wp:effectExtent l="0" t="0" r="2540" b="635"/>
                  <wp:docPr id="1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pic:cNvPicPr>
                            <a:picLocks noChangeAspect="1"/>
                          </pic:cNvPicPr>
                        </pic:nvPicPr>
                        <pic:blipFill>
                          <a:blip r:embed="rId46"/>
                          <a:stretch>
                            <a:fillRect/>
                          </a:stretch>
                        </pic:blipFill>
                        <pic:spPr>
                          <a:xfrm>
                            <a:off x="0" y="0"/>
                            <a:ext cx="340360" cy="266065"/>
                          </a:xfrm>
                          <a:prstGeom prst="rect">
                            <a:avLst/>
                          </a:prstGeom>
                          <a:noFill/>
                          <a:ln>
                            <a:noFill/>
                          </a:ln>
                        </pic:spPr>
                      </pic:pic>
                    </a:graphicData>
                  </a:graphic>
                </wp:inline>
              </w:drawing>
            </w:r>
            <w:r>
              <w:rPr>
                <w:color w:val="auto"/>
                <w:sz w:val="24"/>
                <w:szCs w:val="24"/>
                <w:highlight w:val="none"/>
              </w:rPr>
              <w:t>为对数流速关系；</w:t>
            </w:r>
            <w:r>
              <w:rPr>
                <w:color w:val="auto"/>
                <w:position w:val="-4"/>
                <w:sz w:val="24"/>
                <w:szCs w:val="24"/>
                <w:highlight w:val="none"/>
              </w:rPr>
              <w:drawing>
                <wp:inline distT="0" distB="0" distL="114300" distR="114300">
                  <wp:extent cx="148590" cy="116840"/>
                  <wp:effectExtent l="0" t="0" r="3810" b="17145"/>
                  <wp:docPr id="10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8"/>
                          <pic:cNvPicPr>
                            <a:picLocks noChangeAspect="1"/>
                          </pic:cNvPicPr>
                        </pic:nvPicPr>
                        <pic:blipFill>
                          <a:blip r:embed="rId47"/>
                          <a:stretch>
                            <a:fillRect/>
                          </a:stretch>
                        </pic:blipFill>
                        <pic:spPr>
                          <a:xfrm>
                            <a:off x="0" y="0"/>
                            <a:ext cx="148590" cy="116840"/>
                          </a:xfrm>
                          <a:prstGeom prst="rect">
                            <a:avLst/>
                          </a:prstGeom>
                          <a:noFill/>
                          <a:ln>
                            <a:noFill/>
                          </a:ln>
                        </pic:spPr>
                      </pic:pic>
                    </a:graphicData>
                  </a:graphic>
                </wp:inline>
              </w:drawing>
            </w:r>
            <w:r>
              <w:rPr>
                <w:color w:val="auto"/>
                <w:sz w:val="24"/>
                <w:szCs w:val="24"/>
                <w:highlight w:val="none"/>
              </w:rPr>
              <w:t>为冯卡门常数（0.42）；</w:t>
            </w:r>
            <w:r>
              <w:rPr>
                <w:color w:val="auto"/>
                <w:position w:val="-12"/>
                <w:sz w:val="24"/>
                <w:szCs w:val="24"/>
                <w:highlight w:val="none"/>
              </w:rPr>
              <w:drawing>
                <wp:inline distT="0" distB="0" distL="114300" distR="114300">
                  <wp:extent cx="159385" cy="244475"/>
                  <wp:effectExtent l="0" t="0" r="12065" b="2540"/>
                  <wp:docPr id="10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9"/>
                          <pic:cNvPicPr>
                            <a:picLocks noChangeAspect="1"/>
                          </pic:cNvPicPr>
                        </pic:nvPicPr>
                        <pic:blipFill>
                          <a:blip r:embed="rId48"/>
                          <a:stretch>
                            <a:fillRect/>
                          </a:stretch>
                        </pic:blipFill>
                        <pic:spPr>
                          <a:xfrm>
                            <a:off x="0" y="0"/>
                            <a:ext cx="159385" cy="244475"/>
                          </a:xfrm>
                          <a:prstGeom prst="rect">
                            <a:avLst/>
                          </a:prstGeom>
                          <a:noFill/>
                          <a:ln>
                            <a:noFill/>
                          </a:ln>
                        </pic:spPr>
                      </pic:pic>
                    </a:graphicData>
                  </a:graphic>
                </wp:inline>
              </w:drawing>
            </w:r>
            <w:r>
              <w:rPr>
                <w:color w:val="auto"/>
                <w:sz w:val="24"/>
                <w:szCs w:val="24"/>
                <w:highlight w:val="none"/>
              </w:rPr>
              <w:t>为Nikuradse阻力系数；</w:t>
            </w:r>
            <w:r>
              <w:rPr>
                <w:color w:val="auto"/>
                <w:position w:val="-14"/>
                <w:sz w:val="24"/>
                <w:szCs w:val="24"/>
                <w:highlight w:val="none"/>
              </w:rPr>
              <w:drawing>
                <wp:inline distT="0" distB="0" distL="114300" distR="114300">
                  <wp:extent cx="212725" cy="244475"/>
                  <wp:effectExtent l="0" t="0" r="0" b="2540"/>
                  <wp:docPr id="10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0"/>
                          <pic:cNvPicPr>
                            <a:picLocks noChangeAspect="1"/>
                          </pic:cNvPicPr>
                        </pic:nvPicPr>
                        <pic:blipFill>
                          <a:blip r:embed="rId49"/>
                          <a:stretch>
                            <a:fillRect/>
                          </a:stretch>
                        </pic:blipFill>
                        <pic:spPr>
                          <a:xfrm>
                            <a:off x="0" y="0"/>
                            <a:ext cx="212725" cy="244475"/>
                          </a:xfrm>
                          <a:prstGeom prst="rect">
                            <a:avLst/>
                          </a:prstGeom>
                          <a:noFill/>
                          <a:ln>
                            <a:noFill/>
                          </a:ln>
                        </pic:spPr>
                      </pic:pic>
                    </a:graphicData>
                  </a:graphic>
                </wp:inline>
              </w:drawing>
            </w:r>
            <w:r>
              <w:rPr>
                <w:color w:val="auto"/>
                <w:sz w:val="24"/>
                <w:szCs w:val="24"/>
                <w:highlight w:val="none"/>
              </w:rPr>
              <w:t>为摩阻速度，定义为：</w:t>
            </w:r>
          </w:p>
          <w:p w14:paraId="5814CA5D">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445895" cy="967740"/>
                  <wp:effectExtent l="0" t="0" r="1905" b="3810"/>
                  <wp:docPr id="10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1"/>
                          <pic:cNvPicPr>
                            <a:picLocks noChangeAspect="1"/>
                          </pic:cNvPicPr>
                        </pic:nvPicPr>
                        <pic:blipFill>
                          <a:blip r:embed="rId50"/>
                          <a:stretch>
                            <a:fillRect/>
                          </a:stretch>
                        </pic:blipFill>
                        <pic:spPr>
                          <a:xfrm>
                            <a:off x="0" y="0"/>
                            <a:ext cx="1445895" cy="967740"/>
                          </a:xfrm>
                          <a:prstGeom prst="rect">
                            <a:avLst/>
                          </a:prstGeom>
                          <a:noFill/>
                          <a:ln>
                            <a:noFill/>
                          </a:ln>
                        </pic:spPr>
                      </pic:pic>
                    </a:graphicData>
                  </a:graphic>
                </wp:inline>
              </w:drawing>
            </w:r>
          </w:p>
          <w:p w14:paraId="1F36DF18">
            <w:pPr>
              <w:spacing w:line="360" w:lineRule="auto"/>
              <w:ind w:firstLine="490"/>
              <w:rPr>
                <w:color w:val="auto"/>
                <w:sz w:val="24"/>
                <w:szCs w:val="24"/>
                <w:highlight w:val="none"/>
              </w:rPr>
            </w:pPr>
            <w:r>
              <w:rPr>
                <w:color w:val="auto"/>
                <w:sz w:val="24"/>
                <w:szCs w:val="24"/>
                <w:highlight w:val="none"/>
              </w:rPr>
              <w:t>其中</w:t>
            </w:r>
            <w:r>
              <w:rPr>
                <w:color w:val="auto"/>
                <w:position w:val="-12"/>
                <w:sz w:val="24"/>
                <w:szCs w:val="24"/>
                <w:highlight w:val="none"/>
              </w:rPr>
              <w:drawing>
                <wp:inline distT="0" distB="0" distL="114300" distR="114300">
                  <wp:extent cx="308610" cy="244475"/>
                  <wp:effectExtent l="0" t="0" r="15240" b="2540"/>
                  <wp:docPr id="10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2"/>
                          <pic:cNvPicPr>
                            <a:picLocks noChangeAspect="1"/>
                          </pic:cNvPicPr>
                        </pic:nvPicPr>
                        <pic:blipFill>
                          <a:blip r:embed="rId51"/>
                          <a:stretch>
                            <a:fillRect/>
                          </a:stretch>
                        </pic:blipFill>
                        <pic:spPr>
                          <a:xfrm>
                            <a:off x="0" y="0"/>
                            <a:ext cx="308610" cy="244475"/>
                          </a:xfrm>
                          <a:prstGeom prst="rect">
                            <a:avLst/>
                          </a:prstGeom>
                          <a:noFill/>
                          <a:ln>
                            <a:noFill/>
                          </a:ln>
                        </pic:spPr>
                      </pic:pic>
                    </a:graphicData>
                  </a:graphic>
                </wp:inline>
              </w:drawing>
            </w:r>
            <w:r>
              <w:rPr>
                <w:color w:val="auto"/>
                <w:sz w:val="24"/>
                <w:szCs w:val="24"/>
                <w:highlight w:val="none"/>
              </w:rPr>
              <w:t>为平均流速。</w:t>
            </w:r>
          </w:p>
          <w:p w14:paraId="6CD5ECE3">
            <w:pPr>
              <w:spacing w:line="360" w:lineRule="auto"/>
              <w:ind w:firstLine="490"/>
              <w:rPr>
                <w:color w:val="auto"/>
                <w:sz w:val="24"/>
                <w:szCs w:val="24"/>
                <w:highlight w:val="none"/>
              </w:rPr>
            </w:pPr>
            <w:r>
              <w:rPr>
                <w:color w:val="auto"/>
                <w:sz w:val="24"/>
                <w:szCs w:val="24"/>
                <w:highlight w:val="none"/>
              </w:rPr>
              <w:t>当两式满足等于0时：</w:t>
            </w:r>
          </w:p>
          <w:p w14:paraId="4DFF7A6C">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648335" cy="382905"/>
                  <wp:effectExtent l="0" t="0" r="0" b="17145"/>
                  <wp:docPr id="10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3"/>
                          <pic:cNvPicPr>
                            <a:picLocks noChangeAspect="1"/>
                          </pic:cNvPicPr>
                        </pic:nvPicPr>
                        <pic:blipFill>
                          <a:blip r:embed="rId52"/>
                          <a:stretch>
                            <a:fillRect/>
                          </a:stretch>
                        </pic:blipFill>
                        <pic:spPr>
                          <a:xfrm>
                            <a:off x="0" y="0"/>
                            <a:ext cx="648335" cy="382905"/>
                          </a:xfrm>
                          <a:prstGeom prst="rect">
                            <a:avLst/>
                          </a:prstGeom>
                          <a:noFill/>
                          <a:ln>
                            <a:noFill/>
                          </a:ln>
                        </pic:spPr>
                      </pic:pic>
                    </a:graphicData>
                  </a:graphic>
                </wp:inline>
              </w:drawing>
            </w:r>
          </w:p>
          <w:p w14:paraId="3DD510AB">
            <w:pPr>
              <w:spacing w:line="360" w:lineRule="auto"/>
              <w:ind w:firstLine="490"/>
              <w:rPr>
                <w:color w:val="auto"/>
                <w:sz w:val="24"/>
                <w:szCs w:val="24"/>
                <w:highlight w:val="none"/>
              </w:rPr>
            </w:pPr>
            <w:r>
              <w:rPr>
                <w:color w:val="auto"/>
                <w:sz w:val="24"/>
                <w:szCs w:val="24"/>
                <w:highlight w:val="none"/>
              </w:rPr>
              <w:t>当水深大于此位置时模型假定对流速度为0。</w:t>
            </w:r>
          </w:p>
          <w:p w14:paraId="1A8A394F">
            <w:pPr>
              <w:spacing w:line="360" w:lineRule="auto"/>
              <w:ind w:firstLine="490"/>
              <w:rPr>
                <w:color w:val="auto"/>
                <w:sz w:val="24"/>
                <w:szCs w:val="24"/>
                <w:highlight w:val="none"/>
              </w:rPr>
            </w:pPr>
            <w:r>
              <w:rPr>
                <w:color w:val="auto"/>
                <w:sz w:val="24"/>
                <w:szCs w:val="24"/>
                <w:highlight w:val="none"/>
              </w:rPr>
              <w:t>当z=0时，即可求出表面流速</w:t>
            </w:r>
            <w:r>
              <w:rPr>
                <w:color w:val="auto"/>
                <w:position w:val="-12"/>
                <w:sz w:val="24"/>
                <w:szCs w:val="24"/>
                <w:highlight w:val="none"/>
              </w:rPr>
              <w:drawing>
                <wp:inline distT="0" distB="0" distL="114300" distR="114300">
                  <wp:extent cx="212725" cy="244475"/>
                  <wp:effectExtent l="0" t="0" r="15875" b="2540"/>
                  <wp:docPr id="10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4"/>
                          <pic:cNvPicPr>
                            <a:picLocks noChangeAspect="1"/>
                          </pic:cNvPicPr>
                        </pic:nvPicPr>
                        <pic:blipFill>
                          <a:blip r:embed="rId53"/>
                          <a:stretch>
                            <a:fillRect/>
                          </a:stretch>
                        </pic:blipFill>
                        <pic:spPr>
                          <a:xfrm>
                            <a:off x="0" y="0"/>
                            <a:ext cx="212725" cy="244475"/>
                          </a:xfrm>
                          <a:prstGeom prst="rect">
                            <a:avLst/>
                          </a:prstGeom>
                          <a:noFill/>
                          <a:ln>
                            <a:noFill/>
                          </a:ln>
                        </pic:spPr>
                      </pic:pic>
                    </a:graphicData>
                  </a:graphic>
                </wp:inline>
              </w:drawing>
            </w:r>
            <w:r>
              <w:rPr>
                <w:color w:val="auto"/>
                <w:sz w:val="24"/>
                <w:szCs w:val="24"/>
                <w:highlight w:val="none"/>
              </w:rPr>
              <w:t>：</w:t>
            </w:r>
          </w:p>
          <w:p w14:paraId="280C3043">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701675" cy="266065"/>
                  <wp:effectExtent l="0" t="0" r="3175" b="635"/>
                  <wp:docPr id="10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5"/>
                          <pic:cNvPicPr>
                            <a:picLocks noChangeAspect="1"/>
                          </pic:cNvPicPr>
                        </pic:nvPicPr>
                        <pic:blipFill>
                          <a:blip r:embed="rId54"/>
                          <a:stretch>
                            <a:fillRect/>
                          </a:stretch>
                        </pic:blipFill>
                        <pic:spPr>
                          <a:xfrm>
                            <a:off x="0" y="0"/>
                            <a:ext cx="701675" cy="266065"/>
                          </a:xfrm>
                          <a:prstGeom prst="rect">
                            <a:avLst/>
                          </a:prstGeom>
                          <a:noFill/>
                          <a:ln>
                            <a:noFill/>
                          </a:ln>
                        </pic:spPr>
                      </pic:pic>
                    </a:graphicData>
                  </a:graphic>
                </wp:inline>
              </w:drawing>
            </w:r>
          </w:p>
          <w:p w14:paraId="45FED81D">
            <w:pPr>
              <w:spacing w:line="360" w:lineRule="auto"/>
              <w:ind w:firstLine="490"/>
              <w:rPr>
                <w:color w:val="auto"/>
                <w:sz w:val="24"/>
                <w:szCs w:val="24"/>
                <w:highlight w:val="none"/>
              </w:rPr>
            </w:pPr>
            <w:r>
              <w:rPr>
                <w:color w:val="auto"/>
                <w:sz w:val="24"/>
                <w:szCs w:val="24"/>
                <w:highlight w:val="none"/>
              </w:rPr>
              <w:t>二维水动力计算结果中的流速计算点位于各离散的网格点，而“油粒子”模型中绝大部分时间里粒子不是正好处于这些点上，因此需要对流速值内插。因此本文采用双线内插值法：</w:t>
            </w:r>
          </w:p>
          <w:p w14:paraId="43ABCCC2">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3625850" cy="266065"/>
                  <wp:effectExtent l="0" t="0" r="0" b="635"/>
                  <wp:docPr id="11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6"/>
                          <pic:cNvPicPr>
                            <a:picLocks noChangeAspect="1"/>
                          </pic:cNvPicPr>
                        </pic:nvPicPr>
                        <pic:blipFill>
                          <a:blip r:embed="rId55"/>
                          <a:stretch>
                            <a:fillRect/>
                          </a:stretch>
                        </pic:blipFill>
                        <pic:spPr>
                          <a:xfrm>
                            <a:off x="0" y="0"/>
                            <a:ext cx="3625850" cy="266065"/>
                          </a:xfrm>
                          <a:prstGeom prst="rect">
                            <a:avLst/>
                          </a:prstGeom>
                          <a:noFill/>
                          <a:ln>
                            <a:noFill/>
                          </a:ln>
                        </pic:spPr>
                      </pic:pic>
                    </a:graphicData>
                  </a:graphic>
                </wp:inline>
              </w:drawing>
            </w:r>
          </w:p>
          <w:p w14:paraId="2488F347">
            <w:pPr>
              <w:spacing w:line="360" w:lineRule="auto"/>
              <w:ind w:firstLine="490"/>
              <w:rPr>
                <w:color w:val="auto"/>
                <w:sz w:val="24"/>
                <w:szCs w:val="24"/>
                <w:highlight w:val="none"/>
              </w:rPr>
            </w:pPr>
            <w:r>
              <w:rPr>
                <w:color w:val="auto"/>
                <w:sz w:val="24"/>
                <w:szCs w:val="24"/>
                <w:highlight w:val="none"/>
              </w:rPr>
              <w:t>其中</w:t>
            </w:r>
            <w:r>
              <w:rPr>
                <w:color w:val="auto"/>
                <w:position w:val="-12"/>
                <w:sz w:val="24"/>
                <w:szCs w:val="24"/>
                <w:highlight w:val="none"/>
              </w:rPr>
              <w:drawing>
                <wp:inline distT="0" distB="0" distL="114300" distR="114300">
                  <wp:extent cx="159385" cy="244475"/>
                  <wp:effectExtent l="0" t="0" r="12065" b="2540"/>
                  <wp:docPr id="1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7"/>
                          <pic:cNvPicPr>
                            <a:picLocks noChangeAspect="1"/>
                          </pic:cNvPicPr>
                        </pic:nvPicPr>
                        <pic:blipFill>
                          <a:blip r:embed="rId56"/>
                          <a:stretch>
                            <a:fillRect/>
                          </a:stretch>
                        </pic:blipFill>
                        <pic:spPr>
                          <a:xfrm>
                            <a:off x="0" y="0"/>
                            <a:ext cx="159385" cy="244475"/>
                          </a:xfrm>
                          <a:prstGeom prst="rect">
                            <a:avLst/>
                          </a:prstGeom>
                          <a:noFill/>
                          <a:ln>
                            <a:noFill/>
                          </a:ln>
                        </pic:spPr>
                      </pic:pic>
                    </a:graphicData>
                  </a:graphic>
                </wp:inline>
              </w:drawing>
            </w:r>
            <w:r>
              <w:rPr>
                <w:color w:val="auto"/>
                <w:sz w:val="24"/>
                <w:szCs w:val="24"/>
                <w:highlight w:val="none"/>
              </w:rPr>
              <w:t>、</w:t>
            </w:r>
            <w:r>
              <w:rPr>
                <w:color w:val="auto"/>
                <w:position w:val="-12"/>
                <w:sz w:val="24"/>
                <w:szCs w:val="24"/>
                <w:highlight w:val="none"/>
              </w:rPr>
              <w:drawing>
                <wp:inline distT="0" distB="0" distL="114300" distR="114300">
                  <wp:extent cx="159385" cy="244475"/>
                  <wp:effectExtent l="0" t="0" r="12065" b="2540"/>
                  <wp:docPr id="1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8"/>
                          <pic:cNvPicPr>
                            <a:picLocks noChangeAspect="1"/>
                          </pic:cNvPicPr>
                        </pic:nvPicPr>
                        <pic:blipFill>
                          <a:blip r:embed="rId57"/>
                          <a:stretch>
                            <a:fillRect/>
                          </a:stretch>
                        </pic:blipFill>
                        <pic:spPr>
                          <a:xfrm>
                            <a:off x="0" y="0"/>
                            <a:ext cx="159385" cy="244475"/>
                          </a:xfrm>
                          <a:prstGeom prst="rect">
                            <a:avLst/>
                          </a:prstGeom>
                          <a:noFill/>
                          <a:ln>
                            <a:noFill/>
                          </a:ln>
                        </pic:spPr>
                      </pic:pic>
                    </a:graphicData>
                  </a:graphic>
                </wp:inline>
              </w:drawing>
            </w:r>
            <w:r>
              <w:rPr>
                <w:color w:val="auto"/>
                <w:sz w:val="24"/>
                <w:szCs w:val="24"/>
                <w:highlight w:val="none"/>
              </w:rPr>
              <w:t>、</w:t>
            </w:r>
            <w:r>
              <w:rPr>
                <w:color w:val="auto"/>
                <w:position w:val="-12"/>
                <w:sz w:val="24"/>
                <w:szCs w:val="24"/>
                <w:highlight w:val="none"/>
              </w:rPr>
              <w:drawing>
                <wp:inline distT="0" distB="0" distL="114300" distR="114300">
                  <wp:extent cx="159385" cy="244475"/>
                  <wp:effectExtent l="0" t="0" r="12065" b="2540"/>
                  <wp:docPr id="1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9"/>
                          <pic:cNvPicPr>
                            <a:picLocks noChangeAspect="1"/>
                          </pic:cNvPicPr>
                        </pic:nvPicPr>
                        <pic:blipFill>
                          <a:blip r:embed="rId58"/>
                          <a:stretch>
                            <a:fillRect/>
                          </a:stretch>
                        </pic:blipFill>
                        <pic:spPr>
                          <a:xfrm>
                            <a:off x="0" y="0"/>
                            <a:ext cx="159385" cy="244475"/>
                          </a:xfrm>
                          <a:prstGeom prst="rect">
                            <a:avLst/>
                          </a:prstGeom>
                          <a:noFill/>
                          <a:ln>
                            <a:noFill/>
                          </a:ln>
                        </pic:spPr>
                      </pic:pic>
                    </a:graphicData>
                  </a:graphic>
                </wp:inline>
              </w:drawing>
            </w:r>
            <w:r>
              <w:rPr>
                <w:color w:val="auto"/>
                <w:sz w:val="24"/>
                <w:szCs w:val="24"/>
                <w:highlight w:val="none"/>
              </w:rPr>
              <w:t>、</w:t>
            </w:r>
            <w:r>
              <w:rPr>
                <w:color w:val="auto"/>
                <w:position w:val="-12"/>
                <w:sz w:val="24"/>
                <w:szCs w:val="24"/>
                <w:highlight w:val="none"/>
              </w:rPr>
              <w:drawing>
                <wp:inline distT="0" distB="0" distL="114300" distR="114300">
                  <wp:extent cx="159385" cy="244475"/>
                  <wp:effectExtent l="0" t="0" r="12065" b="2540"/>
                  <wp:docPr id="11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0"/>
                          <pic:cNvPicPr>
                            <a:picLocks noChangeAspect="1"/>
                          </pic:cNvPicPr>
                        </pic:nvPicPr>
                        <pic:blipFill>
                          <a:blip r:embed="rId59"/>
                          <a:stretch>
                            <a:fillRect/>
                          </a:stretch>
                        </pic:blipFill>
                        <pic:spPr>
                          <a:xfrm>
                            <a:off x="0" y="0"/>
                            <a:ext cx="159385" cy="244475"/>
                          </a:xfrm>
                          <a:prstGeom prst="rect">
                            <a:avLst/>
                          </a:prstGeom>
                          <a:noFill/>
                          <a:ln>
                            <a:noFill/>
                          </a:ln>
                        </pic:spPr>
                      </pic:pic>
                    </a:graphicData>
                  </a:graphic>
                </wp:inline>
              </w:drawing>
            </w:r>
            <w:r>
              <w:rPr>
                <w:color w:val="auto"/>
                <w:sz w:val="24"/>
                <w:szCs w:val="24"/>
                <w:highlight w:val="none"/>
              </w:rPr>
              <w:t>是网格点的已知流速；x、y为距离。</w:t>
            </w:r>
          </w:p>
          <w:p w14:paraId="068E855F">
            <w:pPr>
              <w:spacing w:line="360" w:lineRule="auto"/>
              <w:ind w:firstLine="490"/>
              <w:rPr>
                <w:snapToGrid w:val="0"/>
                <w:color w:val="auto"/>
                <w:sz w:val="24"/>
                <w:szCs w:val="24"/>
                <w:highlight w:val="none"/>
              </w:rPr>
            </w:pPr>
            <w:r>
              <w:rPr>
                <w:snapToGrid w:val="0"/>
                <w:color w:val="auto"/>
                <w:sz w:val="24"/>
                <w:szCs w:val="24"/>
                <w:highlight w:val="none"/>
              </w:rPr>
              <w:t>③紊动扩散</w:t>
            </w:r>
          </w:p>
          <w:p w14:paraId="26587FCE">
            <w:pPr>
              <w:spacing w:line="360" w:lineRule="auto"/>
              <w:ind w:firstLine="490"/>
              <w:rPr>
                <w:color w:val="auto"/>
                <w:sz w:val="24"/>
                <w:szCs w:val="24"/>
                <w:highlight w:val="none"/>
              </w:rPr>
            </w:pPr>
            <w:r>
              <w:rPr>
                <w:color w:val="auto"/>
                <w:sz w:val="24"/>
                <w:szCs w:val="24"/>
                <w:highlight w:val="none"/>
              </w:rPr>
              <w:t>假定</w:t>
            </w:r>
            <w:r>
              <w:rPr>
                <w:rFonts w:hint="eastAsia"/>
                <w:color w:val="auto"/>
                <w:sz w:val="24"/>
                <w:szCs w:val="24"/>
                <w:highlight w:val="none"/>
              </w:rPr>
              <w:t>水平</w:t>
            </w:r>
            <w:r>
              <w:rPr>
                <w:color w:val="auto"/>
                <w:sz w:val="24"/>
                <w:szCs w:val="24"/>
                <w:highlight w:val="none"/>
              </w:rPr>
              <w:t>扩散各向同性，一个时间步长内</w:t>
            </w:r>
            <w:r>
              <w:rPr>
                <w:color w:val="auto"/>
                <w:position w:val="-6"/>
                <w:sz w:val="24"/>
                <w:szCs w:val="24"/>
                <w:highlight w:val="none"/>
              </w:rPr>
              <w:drawing>
                <wp:inline distT="0" distB="0" distL="114300" distR="114300">
                  <wp:extent cx="159385" cy="148590"/>
                  <wp:effectExtent l="0" t="0" r="12065" b="3175"/>
                  <wp:docPr id="11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1"/>
                          <pic:cNvPicPr>
                            <a:picLocks noChangeAspect="1"/>
                          </pic:cNvPicPr>
                        </pic:nvPicPr>
                        <pic:blipFill>
                          <a:blip r:embed="rId60"/>
                          <a:stretch>
                            <a:fillRect/>
                          </a:stretch>
                        </pic:blipFill>
                        <pic:spPr>
                          <a:xfrm>
                            <a:off x="0" y="0"/>
                            <a:ext cx="159385" cy="148590"/>
                          </a:xfrm>
                          <a:prstGeom prst="rect">
                            <a:avLst/>
                          </a:prstGeom>
                          <a:noFill/>
                          <a:ln>
                            <a:noFill/>
                          </a:ln>
                        </pic:spPr>
                      </pic:pic>
                    </a:graphicData>
                  </a:graphic>
                </wp:inline>
              </w:drawing>
            </w:r>
            <w:r>
              <w:rPr>
                <w:color w:val="auto"/>
                <w:sz w:val="24"/>
                <w:szCs w:val="24"/>
                <w:highlight w:val="none"/>
              </w:rPr>
              <w:t>方向上的可能扩散距离</w:t>
            </w:r>
            <w:r>
              <w:rPr>
                <w:color w:val="auto"/>
                <w:position w:val="-12"/>
                <w:sz w:val="24"/>
                <w:szCs w:val="24"/>
                <w:highlight w:val="none"/>
              </w:rPr>
              <w:drawing>
                <wp:inline distT="0" distB="0" distL="114300" distR="114300">
                  <wp:extent cx="191135" cy="244475"/>
                  <wp:effectExtent l="0" t="0" r="18415" b="2540"/>
                  <wp:docPr id="1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2"/>
                          <pic:cNvPicPr>
                            <a:picLocks noChangeAspect="1"/>
                          </pic:cNvPicPr>
                        </pic:nvPicPr>
                        <pic:blipFill>
                          <a:blip r:embed="rId61"/>
                          <a:stretch>
                            <a:fillRect/>
                          </a:stretch>
                        </pic:blipFill>
                        <pic:spPr>
                          <a:xfrm>
                            <a:off x="0" y="0"/>
                            <a:ext cx="191135" cy="244475"/>
                          </a:xfrm>
                          <a:prstGeom prst="rect">
                            <a:avLst/>
                          </a:prstGeom>
                          <a:noFill/>
                          <a:ln>
                            <a:noFill/>
                          </a:ln>
                        </pic:spPr>
                      </pic:pic>
                    </a:graphicData>
                  </a:graphic>
                </wp:inline>
              </w:drawing>
            </w:r>
            <w:r>
              <w:rPr>
                <w:color w:val="auto"/>
                <w:sz w:val="24"/>
                <w:szCs w:val="24"/>
                <w:highlight w:val="none"/>
              </w:rPr>
              <w:t>可表示为：</w:t>
            </w:r>
          </w:p>
          <w:p w14:paraId="30EF63B0">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488440" cy="297815"/>
                  <wp:effectExtent l="0" t="0" r="16510" b="6350"/>
                  <wp:docPr id="11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3"/>
                          <pic:cNvPicPr>
                            <a:picLocks noChangeAspect="1"/>
                          </pic:cNvPicPr>
                        </pic:nvPicPr>
                        <pic:blipFill>
                          <a:blip r:embed="rId62"/>
                          <a:stretch>
                            <a:fillRect/>
                          </a:stretch>
                        </pic:blipFill>
                        <pic:spPr>
                          <a:xfrm>
                            <a:off x="0" y="0"/>
                            <a:ext cx="1488440" cy="297815"/>
                          </a:xfrm>
                          <a:prstGeom prst="rect">
                            <a:avLst/>
                          </a:prstGeom>
                          <a:noFill/>
                          <a:ln>
                            <a:noFill/>
                          </a:ln>
                        </pic:spPr>
                      </pic:pic>
                    </a:graphicData>
                  </a:graphic>
                </wp:inline>
              </w:drawing>
            </w:r>
          </w:p>
          <w:p w14:paraId="09E6B965">
            <w:pPr>
              <w:spacing w:line="360" w:lineRule="auto"/>
              <w:ind w:firstLine="490"/>
              <w:rPr>
                <w:color w:val="auto"/>
                <w:sz w:val="24"/>
                <w:szCs w:val="24"/>
                <w:highlight w:val="none"/>
              </w:rPr>
            </w:pPr>
            <w:r>
              <w:rPr>
                <w:color w:val="auto"/>
                <w:sz w:val="24"/>
                <w:szCs w:val="24"/>
                <w:highlight w:val="none"/>
              </w:rPr>
              <w:t>其中</w:t>
            </w:r>
            <w:r>
              <w:rPr>
                <w:color w:val="auto"/>
                <w:position w:val="-14"/>
                <w:sz w:val="24"/>
                <w:szCs w:val="24"/>
                <w:highlight w:val="none"/>
              </w:rPr>
              <w:drawing>
                <wp:inline distT="0" distB="0" distL="114300" distR="114300">
                  <wp:extent cx="340360" cy="287020"/>
                  <wp:effectExtent l="0" t="0" r="2540" b="17780"/>
                  <wp:docPr id="11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4"/>
                          <pic:cNvPicPr>
                            <a:picLocks noChangeAspect="1"/>
                          </pic:cNvPicPr>
                        </pic:nvPicPr>
                        <pic:blipFill>
                          <a:blip r:embed="rId63"/>
                          <a:stretch>
                            <a:fillRect/>
                          </a:stretch>
                        </pic:blipFill>
                        <pic:spPr>
                          <a:xfrm>
                            <a:off x="0" y="0"/>
                            <a:ext cx="340360" cy="287020"/>
                          </a:xfrm>
                          <a:prstGeom prst="rect">
                            <a:avLst/>
                          </a:prstGeom>
                          <a:noFill/>
                          <a:ln>
                            <a:noFill/>
                          </a:ln>
                        </pic:spPr>
                      </pic:pic>
                    </a:graphicData>
                  </a:graphic>
                </wp:inline>
              </w:drawing>
            </w:r>
            <w:r>
              <w:rPr>
                <w:color w:val="auto"/>
                <w:sz w:val="24"/>
                <w:szCs w:val="24"/>
                <w:highlight w:val="none"/>
              </w:rPr>
              <w:t>为-1到1的随机数，</w:t>
            </w:r>
            <w:r>
              <w:rPr>
                <w:color w:val="auto"/>
                <w:position w:val="-12"/>
                <w:sz w:val="24"/>
                <w:szCs w:val="24"/>
                <w:highlight w:val="none"/>
              </w:rPr>
              <w:drawing>
                <wp:inline distT="0" distB="0" distL="114300" distR="114300">
                  <wp:extent cx="212725" cy="244475"/>
                  <wp:effectExtent l="0" t="0" r="15875" b="2540"/>
                  <wp:docPr id="11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5"/>
                          <pic:cNvPicPr>
                            <a:picLocks noChangeAspect="1"/>
                          </pic:cNvPicPr>
                        </pic:nvPicPr>
                        <pic:blipFill>
                          <a:blip r:embed="rId64"/>
                          <a:stretch>
                            <a:fillRect/>
                          </a:stretch>
                        </pic:blipFill>
                        <pic:spPr>
                          <a:xfrm>
                            <a:off x="0" y="0"/>
                            <a:ext cx="212725" cy="244475"/>
                          </a:xfrm>
                          <a:prstGeom prst="rect">
                            <a:avLst/>
                          </a:prstGeom>
                          <a:noFill/>
                          <a:ln>
                            <a:noFill/>
                          </a:ln>
                        </pic:spPr>
                      </pic:pic>
                    </a:graphicData>
                  </a:graphic>
                </wp:inline>
              </w:drawing>
            </w:r>
            <w:r>
              <w:rPr>
                <w:color w:val="auto"/>
                <w:sz w:val="24"/>
                <w:szCs w:val="24"/>
                <w:highlight w:val="none"/>
              </w:rPr>
              <w:t>为</w:t>
            </w:r>
            <w:r>
              <w:rPr>
                <w:color w:val="auto"/>
                <w:position w:val="-6"/>
                <w:sz w:val="24"/>
                <w:szCs w:val="24"/>
                <w:highlight w:val="none"/>
              </w:rPr>
              <w:drawing>
                <wp:inline distT="0" distB="0" distL="114300" distR="114300">
                  <wp:extent cx="159385" cy="148590"/>
                  <wp:effectExtent l="0" t="0" r="12065" b="3175"/>
                  <wp:docPr id="1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6"/>
                          <pic:cNvPicPr>
                            <a:picLocks noChangeAspect="1"/>
                          </pic:cNvPicPr>
                        </pic:nvPicPr>
                        <pic:blipFill>
                          <a:blip r:embed="rId60"/>
                          <a:stretch>
                            <a:fillRect/>
                          </a:stretch>
                        </pic:blipFill>
                        <pic:spPr>
                          <a:xfrm>
                            <a:off x="0" y="0"/>
                            <a:ext cx="159385" cy="148590"/>
                          </a:xfrm>
                          <a:prstGeom prst="rect">
                            <a:avLst/>
                          </a:prstGeom>
                          <a:noFill/>
                          <a:ln>
                            <a:noFill/>
                          </a:ln>
                        </pic:spPr>
                      </pic:pic>
                    </a:graphicData>
                  </a:graphic>
                </wp:inline>
              </w:drawing>
            </w:r>
            <w:r>
              <w:rPr>
                <w:color w:val="auto"/>
                <w:sz w:val="24"/>
                <w:szCs w:val="24"/>
                <w:highlight w:val="none"/>
              </w:rPr>
              <w:t>方向上的扩散系数。</w:t>
            </w:r>
          </w:p>
          <w:p w14:paraId="18EC8C5A">
            <w:pPr>
              <w:spacing w:line="360" w:lineRule="auto"/>
              <w:ind w:firstLine="490"/>
              <w:rPr>
                <w:snapToGrid w:val="0"/>
                <w:color w:val="auto"/>
                <w:sz w:val="24"/>
                <w:szCs w:val="24"/>
                <w:highlight w:val="none"/>
              </w:rPr>
            </w:pPr>
            <w:r>
              <w:rPr>
                <w:snapToGrid w:val="0"/>
                <w:color w:val="auto"/>
                <w:sz w:val="24"/>
                <w:szCs w:val="24"/>
                <w:highlight w:val="none"/>
              </w:rPr>
              <w:t>（2）风化过程</w:t>
            </w:r>
          </w:p>
          <w:p w14:paraId="1FD75D70">
            <w:pPr>
              <w:adjustRightInd w:val="0"/>
              <w:snapToGrid w:val="0"/>
              <w:spacing w:line="480" w:lineRule="exact"/>
              <w:ind w:firstLine="482"/>
              <w:rPr>
                <w:color w:val="auto"/>
                <w:kern w:val="0"/>
                <w:sz w:val="24"/>
                <w:szCs w:val="24"/>
                <w:highlight w:val="none"/>
              </w:rPr>
            </w:pPr>
            <w:r>
              <w:rPr>
                <w:color w:val="auto"/>
                <w:kern w:val="0"/>
                <w:sz w:val="24"/>
                <w:szCs w:val="24"/>
                <w:highlight w:val="none"/>
              </w:rPr>
              <w:t>油粒子的风化包括蒸发、溶解和形成乳化物等过程，在这些过程中油粒子的组成发生改变，但油粒子水平位置没有变化。</w:t>
            </w:r>
          </w:p>
          <w:p w14:paraId="46066612">
            <w:pPr>
              <w:spacing w:line="360" w:lineRule="auto"/>
              <w:ind w:firstLine="490"/>
              <w:rPr>
                <w:snapToGrid w:val="0"/>
                <w:color w:val="auto"/>
                <w:sz w:val="24"/>
                <w:szCs w:val="24"/>
                <w:highlight w:val="none"/>
              </w:rPr>
            </w:pPr>
            <w:r>
              <w:rPr>
                <w:snapToGrid w:val="0"/>
                <w:color w:val="auto"/>
                <w:sz w:val="24"/>
                <w:szCs w:val="24"/>
                <w:highlight w:val="none"/>
              </w:rPr>
              <w:t>①蒸发</w:t>
            </w:r>
          </w:p>
          <w:p w14:paraId="35423F7D">
            <w:pPr>
              <w:spacing w:line="360" w:lineRule="auto"/>
              <w:ind w:firstLine="490"/>
              <w:rPr>
                <w:color w:val="auto"/>
                <w:sz w:val="24"/>
                <w:szCs w:val="24"/>
                <w:highlight w:val="none"/>
              </w:rPr>
            </w:pPr>
            <w:r>
              <w:rPr>
                <w:color w:val="auto"/>
                <w:sz w:val="24"/>
                <w:szCs w:val="24"/>
                <w:highlight w:val="none"/>
              </w:rPr>
              <w:t>油膜蒸发受油分、气温和水温、溢油面积、风速、太阳辐射和油膜厚度等因素的影响。假定：</w:t>
            </w:r>
          </w:p>
          <w:p w14:paraId="2DB3F4FD">
            <w:pPr>
              <w:spacing w:line="360" w:lineRule="auto"/>
              <w:ind w:firstLine="490"/>
              <w:rPr>
                <w:color w:val="auto"/>
                <w:sz w:val="24"/>
                <w:szCs w:val="24"/>
                <w:highlight w:val="none"/>
              </w:rPr>
            </w:pPr>
            <w:r>
              <w:rPr>
                <w:color w:val="auto"/>
                <w:sz w:val="24"/>
                <w:szCs w:val="24"/>
                <w:highlight w:val="none"/>
              </w:rPr>
              <w:t>在油膜内部扩散不受限制（气温高于0℃以及油膜厚度低于5-10cm时基本如此）；</w:t>
            </w:r>
          </w:p>
          <w:p w14:paraId="37D0CDA7">
            <w:pPr>
              <w:spacing w:line="360" w:lineRule="auto"/>
              <w:ind w:firstLine="490"/>
              <w:rPr>
                <w:color w:val="auto"/>
                <w:sz w:val="24"/>
                <w:szCs w:val="24"/>
                <w:highlight w:val="none"/>
              </w:rPr>
            </w:pPr>
            <w:r>
              <w:rPr>
                <w:color w:val="auto"/>
                <w:sz w:val="24"/>
                <w:szCs w:val="24"/>
                <w:highlight w:val="none"/>
              </w:rPr>
              <w:t>油膜完全混合；</w:t>
            </w:r>
          </w:p>
          <w:p w14:paraId="1AF610EC">
            <w:pPr>
              <w:spacing w:line="360" w:lineRule="auto"/>
              <w:ind w:firstLine="490"/>
              <w:rPr>
                <w:color w:val="auto"/>
                <w:sz w:val="24"/>
                <w:szCs w:val="24"/>
                <w:highlight w:val="none"/>
              </w:rPr>
            </w:pPr>
            <w:r>
              <w:rPr>
                <w:color w:val="auto"/>
                <w:sz w:val="24"/>
                <w:szCs w:val="24"/>
                <w:highlight w:val="none"/>
              </w:rPr>
              <w:t>油组分在大气中的分压与蒸汽压相比可忽略不计。</w:t>
            </w:r>
          </w:p>
          <w:p w14:paraId="45AA506B">
            <w:pPr>
              <w:spacing w:line="360" w:lineRule="auto"/>
              <w:ind w:firstLine="490"/>
              <w:rPr>
                <w:color w:val="auto"/>
                <w:sz w:val="24"/>
                <w:szCs w:val="24"/>
                <w:highlight w:val="none"/>
              </w:rPr>
            </w:pPr>
            <w:r>
              <w:rPr>
                <w:color w:val="auto"/>
                <w:sz w:val="24"/>
                <w:szCs w:val="24"/>
                <w:highlight w:val="none"/>
              </w:rPr>
              <w:t>蒸发率可由下式表示：</w:t>
            </w:r>
          </w:p>
          <w:p w14:paraId="4DA49193">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2360295" cy="457200"/>
                  <wp:effectExtent l="0" t="0" r="0" b="0"/>
                  <wp:docPr id="12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7"/>
                          <pic:cNvPicPr>
                            <a:picLocks noChangeAspect="1"/>
                          </pic:cNvPicPr>
                        </pic:nvPicPr>
                        <pic:blipFill>
                          <a:blip r:embed="rId65"/>
                          <a:stretch>
                            <a:fillRect/>
                          </a:stretch>
                        </pic:blipFill>
                        <pic:spPr>
                          <a:xfrm>
                            <a:off x="0" y="0"/>
                            <a:ext cx="2360295" cy="457200"/>
                          </a:xfrm>
                          <a:prstGeom prst="rect">
                            <a:avLst/>
                          </a:prstGeom>
                          <a:noFill/>
                          <a:ln>
                            <a:noFill/>
                          </a:ln>
                        </pic:spPr>
                      </pic:pic>
                    </a:graphicData>
                  </a:graphic>
                </wp:inline>
              </w:drawing>
            </w:r>
          </w:p>
          <w:p w14:paraId="01537A20">
            <w:pPr>
              <w:spacing w:line="360" w:lineRule="auto"/>
              <w:ind w:firstLine="490"/>
              <w:rPr>
                <w:color w:val="auto"/>
                <w:sz w:val="24"/>
                <w:szCs w:val="24"/>
                <w:highlight w:val="none"/>
              </w:rPr>
            </w:pPr>
            <w:r>
              <w:rPr>
                <w:color w:val="auto"/>
                <w:sz w:val="24"/>
                <w:szCs w:val="24"/>
                <w:highlight w:val="none"/>
              </w:rPr>
              <w:t>式中N为蒸发率；</w:t>
            </w:r>
            <w:r>
              <w:rPr>
                <w:color w:val="auto"/>
                <w:position w:val="-12"/>
                <w:sz w:val="24"/>
                <w:szCs w:val="24"/>
                <w:highlight w:val="none"/>
              </w:rPr>
              <w:drawing>
                <wp:inline distT="0" distB="0" distL="114300" distR="114300">
                  <wp:extent cx="159385" cy="244475"/>
                  <wp:effectExtent l="0" t="0" r="12065" b="2540"/>
                  <wp:docPr id="12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8"/>
                          <pic:cNvPicPr>
                            <a:picLocks noChangeAspect="1"/>
                          </pic:cNvPicPr>
                        </pic:nvPicPr>
                        <pic:blipFill>
                          <a:blip r:embed="rId66"/>
                          <a:stretch>
                            <a:fillRect/>
                          </a:stretch>
                        </pic:blipFill>
                        <pic:spPr>
                          <a:xfrm>
                            <a:off x="0" y="0"/>
                            <a:ext cx="159385" cy="244475"/>
                          </a:xfrm>
                          <a:prstGeom prst="rect">
                            <a:avLst/>
                          </a:prstGeom>
                          <a:noFill/>
                          <a:ln>
                            <a:noFill/>
                          </a:ln>
                        </pic:spPr>
                      </pic:pic>
                    </a:graphicData>
                  </a:graphic>
                </wp:inline>
              </w:drawing>
            </w:r>
            <w:r>
              <w:rPr>
                <w:color w:val="auto"/>
                <w:sz w:val="24"/>
                <w:szCs w:val="24"/>
                <w:highlight w:val="none"/>
              </w:rPr>
              <w:t>为物质输移系数；</w:t>
            </w:r>
            <w:r>
              <w:rPr>
                <w:color w:val="auto"/>
                <w:position w:val="-12"/>
                <w:sz w:val="24"/>
                <w:szCs w:val="24"/>
                <w:highlight w:val="none"/>
              </w:rPr>
              <w:drawing>
                <wp:inline distT="0" distB="0" distL="114300" distR="114300">
                  <wp:extent cx="308610" cy="244475"/>
                  <wp:effectExtent l="0" t="0" r="15240" b="0"/>
                  <wp:docPr id="12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9"/>
                          <pic:cNvPicPr>
                            <a:picLocks noChangeAspect="1"/>
                          </pic:cNvPicPr>
                        </pic:nvPicPr>
                        <pic:blipFill>
                          <a:blip r:embed="rId67"/>
                          <a:stretch>
                            <a:fillRect/>
                          </a:stretch>
                        </pic:blipFill>
                        <pic:spPr>
                          <a:xfrm>
                            <a:off x="0" y="0"/>
                            <a:ext cx="308610" cy="244475"/>
                          </a:xfrm>
                          <a:prstGeom prst="rect">
                            <a:avLst/>
                          </a:prstGeom>
                          <a:noFill/>
                          <a:ln>
                            <a:noFill/>
                          </a:ln>
                        </pic:spPr>
                      </pic:pic>
                    </a:graphicData>
                  </a:graphic>
                </wp:inline>
              </w:drawing>
            </w:r>
            <w:r>
              <w:rPr>
                <w:color w:val="auto"/>
                <w:sz w:val="24"/>
                <w:szCs w:val="24"/>
                <w:highlight w:val="none"/>
              </w:rPr>
              <w:t>为蒸汽压；R为气体常数；T为温度；M为分子量；</w:t>
            </w:r>
            <w:r>
              <w:rPr>
                <w:color w:val="auto"/>
                <w:position w:val="-10"/>
                <w:sz w:val="24"/>
                <w:szCs w:val="24"/>
                <w:highlight w:val="none"/>
              </w:rPr>
              <w:drawing>
                <wp:inline distT="0" distB="0" distL="114300" distR="114300">
                  <wp:extent cx="159385" cy="159385"/>
                  <wp:effectExtent l="0" t="0" r="0" b="12700"/>
                  <wp:docPr id="12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0"/>
                          <pic:cNvPicPr>
                            <a:picLocks noChangeAspect="1"/>
                          </pic:cNvPicPr>
                        </pic:nvPicPr>
                        <pic:blipFill>
                          <a:blip r:embed="rId68"/>
                          <a:stretch>
                            <a:fillRect/>
                          </a:stretch>
                        </pic:blipFill>
                        <pic:spPr>
                          <a:xfrm>
                            <a:off x="0" y="0"/>
                            <a:ext cx="159385" cy="159385"/>
                          </a:xfrm>
                          <a:prstGeom prst="rect">
                            <a:avLst/>
                          </a:prstGeom>
                          <a:noFill/>
                          <a:ln>
                            <a:noFill/>
                          </a:ln>
                        </pic:spPr>
                      </pic:pic>
                    </a:graphicData>
                  </a:graphic>
                </wp:inline>
              </w:drawing>
            </w:r>
            <w:r>
              <w:rPr>
                <w:color w:val="auto"/>
                <w:sz w:val="24"/>
                <w:szCs w:val="24"/>
                <w:highlight w:val="none"/>
              </w:rPr>
              <w:t>为油组分密度；i为各种油组分。</w:t>
            </w:r>
            <w:r>
              <w:rPr>
                <w:color w:val="auto"/>
                <w:position w:val="-12"/>
                <w:sz w:val="24"/>
                <w:szCs w:val="24"/>
                <w:highlight w:val="none"/>
              </w:rPr>
              <w:drawing>
                <wp:inline distT="0" distB="0" distL="114300" distR="114300">
                  <wp:extent cx="191135" cy="244475"/>
                  <wp:effectExtent l="0" t="0" r="18415" b="1905"/>
                  <wp:docPr id="12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1"/>
                          <pic:cNvPicPr>
                            <a:picLocks noChangeAspect="1"/>
                          </pic:cNvPicPr>
                        </pic:nvPicPr>
                        <pic:blipFill>
                          <a:blip r:embed="rId69"/>
                          <a:stretch>
                            <a:fillRect/>
                          </a:stretch>
                        </pic:blipFill>
                        <pic:spPr>
                          <a:xfrm>
                            <a:off x="0" y="0"/>
                            <a:ext cx="191135" cy="244475"/>
                          </a:xfrm>
                          <a:prstGeom prst="rect">
                            <a:avLst/>
                          </a:prstGeom>
                          <a:noFill/>
                          <a:ln>
                            <a:noFill/>
                          </a:ln>
                        </pic:spPr>
                      </pic:pic>
                    </a:graphicData>
                  </a:graphic>
                </wp:inline>
              </w:drawing>
            </w:r>
            <w:r>
              <w:rPr>
                <w:color w:val="auto"/>
                <w:sz w:val="24"/>
                <w:szCs w:val="24"/>
                <w:highlight w:val="none"/>
              </w:rPr>
              <w:t>由下式估算：</w:t>
            </w:r>
          </w:p>
          <w:p w14:paraId="3DCD9168">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616075" cy="244475"/>
                  <wp:effectExtent l="0" t="0" r="3175" b="2540"/>
                  <wp:docPr id="12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2"/>
                          <pic:cNvPicPr>
                            <a:picLocks noChangeAspect="1"/>
                          </pic:cNvPicPr>
                        </pic:nvPicPr>
                        <pic:blipFill>
                          <a:blip r:embed="rId70"/>
                          <a:stretch>
                            <a:fillRect/>
                          </a:stretch>
                        </pic:blipFill>
                        <pic:spPr>
                          <a:xfrm>
                            <a:off x="0" y="0"/>
                            <a:ext cx="1616075" cy="244475"/>
                          </a:xfrm>
                          <a:prstGeom prst="rect">
                            <a:avLst/>
                          </a:prstGeom>
                          <a:noFill/>
                          <a:ln>
                            <a:noFill/>
                          </a:ln>
                        </pic:spPr>
                      </pic:pic>
                    </a:graphicData>
                  </a:graphic>
                </wp:inline>
              </w:drawing>
            </w:r>
          </w:p>
          <w:p w14:paraId="7FD9A554">
            <w:pPr>
              <w:spacing w:line="360" w:lineRule="auto"/>
              <w:ind w:firstLine="490"/>
              <w:rPr>
                <w:color w:val="auto"/>
                <w:sz w:val="24"/>
                <w:szCs w:val="24"/>
                <w:highlight w:val="none"/>
              </w:rPr>
            </w:pPr>
            <w:r>
              <w:rPr>
                <w:color w:val="auto"/>
                <w:sz w:val="24"/>
                <w:szCs w:val="24"/>
                <w:highlight w:val="none"/>
              </w:rPr>
              <w:t>其中k为蒸发系数；</w:t>
            </w:r>
            <w:r>
              <w:rPr>
                <w:color w:val="auto"/>
                <w:position w:val="-12"/>
                <w:sz w:val="24"/>
                <w:szCs w:val="24"/>
                <w:highlight w:val="none"/>
              </w:rPr>
              <w:drawing>
                <wp:inline distT="0" distB="0" distL="114300" distR="114300">
                  <wp:extent cx="212725" cy="244475"/>
                  <wp:effectExtent l="0" t="0" r="15875" b="2540"/>
                  <wp:docPr id="12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3"/>
                          <pic:cNvPicPr>
                            <a:picLocks noChangeAspect="1"/>
                          </pic:cNvPicPr>
                        </pic:nvPicPr>
                        <pic:blipFill>
                          <a:blip r:embed="rId71"/>
                          <a:stretch>
                            <a:fillRect/>
                          </a:stretch>
                        </pic:blipFill>
                        <pic:spPr>
                          <a:xfrm>
                            <a:off x="0" y="0"/>
                            <a:ext cx="212725" cy="244475"/>
                          </a:xfrm>
                          <a:prstGeom prst="rect">
                            <a:avLst/>
                          </a:prstGeom>
                          <a:noFill/>
                          <a:ln>
                            <a:noFill/>
                          </a:ln>
                        </pic:spPr>
                      </pic:pic>
                    </a:graphicData>
                  </a:graphic>
                </wp:inline>
              </w:drawing>
            </w:r>
            <w:r>
              <w:rPr>
                <w:color w:val="auto"/>
                <w:sz w:val="24"/>
                <w:szCs w:val="24"/>
                <w:highlight w:val="none"/>
              </w:rPr>
              <w:t>为组分i的蒸气Schmidts数。</w:t>
            </w:r>
          </w:p>
          <w:p w14:paraId="07EB95D0">
            <w:pPr>
              <w:spacing w:line="360" w:lineRule="auto"/>
              <w:ind w:firstLine="490"/>
              <w:rPr>
                <w:snapToGrid w:val="0"/>
                <w:color w:val="auto"/>
                <w:sz w:val="24"/>
                <w:szCs w:val="24"/>
                <w:highlight w:val="none"/>
              </w:rPr>
            </w:pPr>
            <w:r>
              <w:rPr>
                <w:snapToGrid w:val="0"/>
                <w:color w:val="auto"/>
                <w:sz w:val="24"/>
                <w:szCs w:val="24"/>
                <w:highlight w:val="none"/>
              </w:rPr>
              <w:t>②乳化</w:t>
            </w:r>
          </w:p>
          <w:p w14:paraId="05DF2234">
            <w:pPr>
              <w:spacing w:line="360" w:lineRule="auto"/>
              <w:ind w:firstLine="490"/>
              <w:rPr>
                <w:color w:val="auto"/>
                <w:sz w:val="24"/>
                <w:szCs w:val="24"/>
                <w:highlight w:val="none"/>
              </w:rPr>
            </w:pPr>
            <w:r>
              <w:rPr>
                <w:color w:val="auto"/>
                <w:sz w:val="24"/>
                <w:szCs w:val="24"/>
                <w:highlight w:val="none"/>
              </w:rPr>
              <w:t>a．形成水包油乳化物过程</w:t>
            </w:r>
          </w:p>
          <w:p w14:paraId="7316F3F8">
            <w:pPr>
              <w:spacing w:line="480" w:lineRule="exact"/>
              <w:ind w:firstLine="480"/>
              <w:rPr>
                <w:color w:val="auto"/>
                <w:kern w:val="0"/>
                <w:sz w:val="24"/>
                <w:szCs w:val="24"/>
                <w:highlight w:val="none"/>
              </w:rPr>
            </w:pPr>
            <w:r>
              <w:rPr>
                <w:color w:val="auto"/>
                <w:kern w:val="0"/>
                <w:sz w:val="24"/>
                <w:szCs w:val="24"/>
                <w:highlight w:val="none"/>
              </w:rPr>
              <w:t>油向水体中的运动机理包括溶解、扩散、沉淀等。扩散是溢油发生后最初几星期内最重要的过程。扩散是一种机械过程，水流的紊动能量将油膜撕裂成油滴，形成水包油的乳化。这些乳化物可以被表面活性剂稳定，防止油滴返回到油膜。在恶劣天气状况下最主要的扩散作用力是波浪破碎，而在平静的天气状况下主要的扩散作用力是油膜的伸展压缩运动。从油膜扩散到水体中的油分损失量计算</w:t>
            </w:r>
            <w:r>
              <w:rPr>
                <w:rFonts w:hint="eastAsia"/>
                <w:color w:val="auto"/>
                <w:kern w:val="0"/>
                <w:sz w:val="24"/>
                <w:szCs w:val="24"/>
                <w:highlight w:val="none"/>
              </w:rPr>
              <w:t>：</w:t>
            </w:r>
          </w:p>
          <w:p w14:paraId="68BF655C">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723265" cy="244475"/>
                  <wp:effectExtent l="0" t="0" r="635" b="2540"/>
                  <wp:docPr id="12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4"/>
                          <pic:cNvPicPr>
                            <a:picLocks noChangeAspect="1"/>
                          </pic:cNvPicPr>
                        </pic:nvPicPr>
                        <pic:blipFill>
                          <a:blip r:embed="rId72"/>
                          <a:stretch>
                            <a:fillRect/>
                          </a:stretch>
                        </pic:blipFill>
                        <pic:spPr>
                          <a:xfrm>
                            <a:off x="0" y="0"/>
                            <a:ext cx="723265" cy="244475"/>
                          </a:xfrm>
                          <a:prstGeom prst="rect">
                            <a:avLst/>
                          </a:prstGeom>
                          <a:noFill/>
                          <a:ln>
                            <a:noFill/>
                          </a:ln>
                        </pic:spPr>
                      </pic:pic>
                    </a:graphicData>
                  </a:graphic>
                </wp:inline>
              </w:drawing>
            </w:r>
          </w:p>
          <w:p w14:paraId="0B47D4CB">
            <w:pPr>
              <w:spacing w:line="360" w:lineRule="auto"/>
              <w:ind w:firstLine="490"/>
              <w:rPr>
                <w:color w:val="auto"/>
                <w:sz w:val="24"/>
                <w:szCs w:val="24"/>
                <w:highlight w:val="none"/>
              </w:rPr>
            </w:pPr>
            <w:r>
              <w:rPr>
                <w:color w:val="auto"/>
                <w:sz w:val="24"/>
                <w:szCs w:val="24"/>
                <w:highlight w:val="none"/>
              </w:rPr>
              <w:t>其中</w:t>
            </w:r>
            <w:r>
              <w:rPr>
                <w:color w:val="auto"/>
                <w:position w:val="-12"/>
                <w:sz w:val="24"/>
                <w:szCs w:val="24"/>
                <w:highlight w:val="none"/>
              </w:rPr>
              <w:drawing>
                <wp:inline distT="0" distB="0" distL="114300" distR="114300">
                  <wp:extent cx="212725" cy="244475"/>
                  <wp:effectExtent l="0" t="0" r="15875" b="254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3"/>
                          <a:stretch>
                            <a:fillRect/>
                          </a:stretch>
                        </pic:blipFill>
                        <pic:spPr>
                          <a:xfrm>
                            <a:off x="0" y="0"/>
                            <a:ext cx="212725" cy="244475"/>
                          </a:xfrm>
                          <a:prstGeom prst="rect">
                            <a:avLst/>
                          </a:prstGeom>
                          <a:noFill/>
                          <a:ln>
                            <a:noFill/>
                          </a:ln>
                        </pic:spPr>
                      </pic:pic>
                    </a:graphicData>
                  </a:graphic>
                </wp:inline>
              </w:drawing>
            </w:r>
            <w:r>
              <w:rPr>
                <w:color w:val="auto"/>
                <w:sz w:val="24"/>
                <w:szCs w:val="24"/>
                <w:highlight w:val="none"/>
              </w:rPr>
              <w:t>是进入到水体的分量；</w:t>
            </w:r>
            <w:r>
              <w:rPr>
                <w:color w:val="auto"/>
                <w:position w:val="-12"/>
                <w:sz w:val="24"/>
                <w:szCs w:val="24"/>
                <w:highlight w:val="none"/>
              </w:rPr>
              <w:drawing>
                <wp:inline distT="0" distB="0" distL="114300" distR="114300">
                  <wp:extent cx="212725" cy="244475"/>
                  <wp:effectExtent l="0" t="0" r="15875" b="254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4"/>
                          <a:stretch>
                            <a:fillRect/>
                          </a:stretch>
                        </pic:blipFill>
                        <pic:spPr>
                          <a:xfrm>
                            <a:off x="0" y="0"/>
                            <a:ext cx="212725" cy="244475"/>
                          </a:xfrm>
                          <a:prstGeom prst="rect">
                            <a:avLst/>
                          </a:prstGeom>
                          <a:noFill/>
                          <a:ln>
                            <a:noFill/>
                          </a:ln>
                        </pic:spPr>
                      </pic:pic>
                    </a:graphicData>
                  </a:graphic>
                </wp:inline>
              </w:drawing>
            </w:r>
            <w:r>
              <w:rPr>
                <w:color w:val="auto"/>
                <w:sz w:val="24"/>
                <w:szCs w:val="24"/>
                <w:highlight w:val="none"/>
              </w:rPr>
              <w:t>是进入到水体后没有返回的分量：</w:t>
            </w:r>
          </w:p>
          <w:p w14:paraId="26604D17">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180465" cy="436245"/>
                  <wp:effectExtent l="0" t="0" r="635" b="190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5"/>
                          <a:stretch>
                            <a:fillRect/>
                          </a:stretch>
                        </pic:blipFill>
                        <pic:spPr>
                          <a:xfrm>
                            <a:off x="0" y="0"/>
                            <a:ext cx="1180465" cy="436245"/>
                          </a:xfrm>
                          <a:prstGeom prst="rect">
                            <a:avLst/>
                          </a:prstGeom>
                          <a:noFill/>
                          <a:ln>
                            <a:noFill/>
                          </a:ln>
                        </pic:spPr>
                      </pic:pic>
                    </a:graphicData>
                  </a:graphic>
                </wp:inline>
              </w:drawing>
            </w:r>
          </w:p>
          <w:p w14:paraId="78816065">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371600" cy="436245"/>
                  <wp:effectExtent l="0" t="0" r="0" b="1905"/>
                  <wp:docPr id="13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8"/>
                          <pic:cNvPicPr>
                            <a:picLocks noChangeAspect="1"/>
                          </pic:cNvPicPr>
                        </pic:nvPicPr>
                        <pic:blipFill>
                          <a:blip r:embed="rId76"/>
                          <a:stretch>
                            <a:fillRect/>
                          </a:stretch>
                        </pic:blipFill>
                        <pic:spPr>
                          <a:xfrm>
                            <a:off x="0" y="0"/>
                            <a:ext cx="1371600" cy="436245"/>
                          </a:xfrm>
                          <a:prstGeom prst="rect">
                            <a:avLst/>
                          </a:prstGeom>
                          <a:noFill/>
                          <a:ln>
                            <a:noFill/>
                          </a:ln>
                        </pic:spPr>
                      </pic:pic>
                    </a:graphicData>
                  </a:graphic>
                </wp:inline>
              </w:drawing>
            </w:r>
          </w:p>
          <w:p w14:paraId="7F6433AD">
            <w:pPr>
              <w:spacing w:line="360" w:lineRule="auto"/>
              <w:ind w:firstLine="490"/>
              <w:rPr>
                <w:color w:val="auto"/>
                <w:sz w:val="24"/>
                <w:szCs w:val="24"/>
                <w:highlight w:val="none"/>
              </w:rPr>
            </w:pPr>
            <w:r>
              <w:rPr>
                <w:color w:val="auto"/>
                <w:sz w:val="24"/>
                <w:szCs w:val="24"/>
                <w:highlight w:val="none"/>
              </w:rPr>
              <w:t>其中</w:t>
            </w:r>
            <w:r>
              <w:rPr>
                <w:color w:val="auto"/>
                <w:position w:val="-12"/>
                <w:sz w:val="24"/>
                <w:szCs w:val="24"/>
                <w:highlight w:val="none"/>
              </w:rPr>
              <w:drawing>
                <wp:inline distT="0" distB="0" distL="114300" distR="114300">
                  <wp:extent cx="244475" cy="244475"/>
                  <wp:effectExtent l="0" t="0" r="3175" b="1905"/>
                  <wp:docPr id="13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9"/>
                          <pic:cNvPicPr>
                            <a:picLocks noChangeAspect="1"/>
                          </pic:cNvPicPr>
                        </pic:nvPicPr>
                        <pic:blipFill>
                          <a:blip r:embed="rId77"/>
                          <a:stretch>
                            <a:fillRect/>
                          </a:stretch>
                        </pic:blipFill>
                        <pic:spPr>
                          <a:xfrm>
                            <a:off x="0" y="0"/>
                            <a:ext cx="244475" cy="244475"/>
                          </a:xfrm>
                          <a:prstGeom prst="rect">
                            <a:avLst/>
                          </a:prstGeom>
                          <a:noFill/>
                          <a:ln>
                            <a:noFill/>
                          </a:ln>
                        </pic:spPr>
                      </pic:pic>
                    </a:graphicData>
                  </a:graphic>
                </wp:inline>
              </w:drawing>
            </w:r>
            <w:r>
              <w:rPr>
                <w:color w:val="auto"/>
                <w:sz w:val="24"/>
                <w:szCs w:val="24"/>
                <w:highlight w:val="none"/>
              </w:rPr>
              <w:t>为油的粘度；</w:t>
            </w:r>
            <w:r>
              <w:rPr>
                <w:color w:val="auto"/>
                <w:position w:val="-12"/>
                <w:sz w:val="24"/>
                <w:szCs w:val="24"/>
                <w:highlight w:val="none"/>
              </w:rPr>
              <w:drawing>
                <wp:inline distT="0" distB="0" distL="114300" distR="114300">
                  <wp:extent cx="191135" cy="244475"/>
                  <wp:effectExtent l="0" t="0" r="18415" b="1905"/>
                  <wp:docPr id="13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0"/>
                          <pic:cNvPicPr>
                            <a:picLocks noChangeAspect="1"/>
                          </pic:cNvPicPr>
                        </pic:nvPicPr>
                        <pic:blipFill>
                          <a:blip r:embed="rId78"/>
                          <a:stretch>
                            <a:fillRect/>
                          </a:stretch>
                        </pic:blipFill>
                        <pic:spPr>
                          <a:xfrm>
                            <a:off x="0" y="0"/>
                            <a:ext cx="191135" cy="244475"/>
                          </a:xfrm>
                          <a:prstGeom prst="rect">
                            <a:avLst/>
                          </a:prstGeom>
                          <a:noFill/>
                          <a:ln>
                            <a:noFill/>
                          </a:ln>
                        </pic:spPr>
                      </pic:pic>
                    </a:graphicData>
                  </a:graphic>
                </wp:inline>
              </w:drawing>
            </w:r>
            <w:r>
              <w:rPr>
                <w:color w:val="auto"/>
                <w:sz w:val="24"/>
                <w:szCs w:val="24"/>
                <w:highlight w:val="none"/>
              </w:rPr>
              <w:t>为油-水界面张力。</w:t>
            </w:r>
          </w:p>
          <w:p w14:paraId="5724AA86">
            <w:pPr>
              <w:spacing w:line="360" w:lineRule="auto"/>
              <w:ind w:firstLine="490"/>
              <w:rPr>
                <w:color w:val="auto"/>
                <w:sz w:val="24"/>
                <w:szCs w:val="24"/>
                <w:highlight w:val="none"/>
              </w:rPr>
            </w:pPr>
            <w:r>
              <w:rPr>
                <w:color w:val="auto"/>
                <w:sz w:val="24"/>
                <w:szCs w:val="24"/>
                <w:highlight w:val="none"/>
              </w:rPr>
              <w:t>油滴返回油膜的速率为</w:t>
            </w:r>
            <w:r>
              <w:rPr>
                <w:rFonts w:hint="eastAsia"/>
                <w:color w:val="auto"/>
                <w:sz w:val="24"/>
                <w:szCs w:val="24"/>
                <w:highlight w:val="none"/>
              </w:rPr>
              <w:t>：</w:t>
            </w:r>
          </w:p>
          <w:p w14:paraId="55D86E6A">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212850" cy="436245"/>
                  <wp:effectExtent l="0" t="0" r="6350" b="1905"/>
                  <wp:docPr id="13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1"/>
                          <pic:cNvPicPr>
                            <a:picLocks noChangeAspect="1"/>
                          </pic:cNvPicPr>
                        </pic:nvPicPr>
                        <pic:blipFill>
                          <a:blip r:embed="rId79"/>
                          <a:stretch>
                            <a:fillRect/>
                          </a:stretch>
                        </pic:blipFill>
                        <pic:spPr>
                          <a:xfrm>
                            <a:off x="0" y="0"/>
                            <a:ext cx="1212850" cy="436245"/>
                          </a:xfrm>
                          <a:prstGeom prst="rect">
                            <a:avLst/>
                          </a:prstGeom>
                          <a:noFill/>
                          <a:ln>
                            <a:noFill/>
                          </a:ln>
                        </pic:spPr>
                      </pic:pic>
                    </a:graphicData>
                  </a:graphic>
                </wp:inline>
              </w:drawing>
            </w:r>
          </w:p>
          <w:p w14:paraId="43ADDB97">
            <w:pPr>
              <w:spacing w:line="360" w:lineRule="auto"/>
              <w:ind w:firstLine="490"/>
              <w:rPr>
                <w:color w:val="auto"/>
                <w:sz w:val="24"/>
                <w:szCs w:val="24"/>
                <w:highlight w:val="none"/>
              </w:rPr>
            </w:pPr>
            <w:r>
              <w:rPr>
                <w:color w:val="auto"/>
                <w:sz w:val="24"/>
                <w:szCs w:val="24"/>
                <w:highlight w:val="none"/>
              </w:rPr>
              <w:t>b．形成油包水乳化物过程</w:t>
            </w:r>
          </w:p>
          <w:p w14:paraId="5066739F">
            <w:pPr>
              <w:spacing w:line="360" w:lineRule="auto"/>
              <w:ind w:firstLine="490"/>
              <w:rPr>
                <w:color w:val="auto"/>
                <w:sz w:val="24"/>
                <w:szCs w:val="24"/>
                <w:highlight w:val="none"/>
              </w:rPr>
            </w:pPr>
            <w:r>
              <w:rPr>
                <w:color w:val="auto"/>
                <w:sz w:val="24"/>
                <w:szCs w:val="24"/>
                <w:highlight w:val="none"/>
              </w:rPr>
              <w:t>油中含水率变化可由下式平衡方程表示：</w:t>
            </w:r>
          </w:p>
          <w:p w14:paraId="286E6141">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840105" cy="436245"/>
                  <wp:effectExtent l="0" t="0" r="17145" b="1905"/>
                  <wp:docPr id="13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2"/>
                          <pic:cNvPicPr>
                            <a:picLocks noChangeAspect="1"/>
                          </pic:cNvPicPr>
                        </pic:nvPicPr>
                        <pic:blipFill>
                          <a:blip r:embed="rId80"/>
                          <a:stretch>
                            <a:fillRect/>
                          </a:stretch>
                        </pic:blipFill>
                        <pic:spPr>
                          <a:xfrm>
                            <a:off x="0" y="0"/>
                            <a:ext cx="840105" cy="436245"/>
                          </a:xfrm>
                          <a:prstGeom prst="rect">
                            <a:avLst/>
                          </a:prstGeom>
                          <a:noFill/>
                          <a:ln>
                            <a:noFill/>
                          </a:ln>
                        </pic:spPr>
                      </pic:pic>
                    </a:graphicData>
                  </a:graphic>
                </wp:inline>
              </w:drawing>
            </w:r>
          </w:p>
          <w:p w14:paraId="70011BDA">
            <w:pPr>
              <w:spacing w:line="360" w:lineRule="auto"/>
              <w:ind w:firstLine="490"/>
              <w:rPr>
                <w:color w:val="auto"/>
                <w:sz w:val="24"/>
                <w:szCs w:val="24"/>
                <w:highlight w:val="none"/>
              </w:rPr>
            </w:pPr>
            <w:r>
              <w:rPr>
                <w:color w:val="auto"/>
                <w:position w:val="-12"/>
                <w:sz w:val="24"/>
                <w:szCs w:val="24"/>
                <w:highlight w:val="none"/>
              </w:rPr>
              <w:drawing>
                <wp:inline distT="0" distB="0" distL="114300" distR="114300">
                  <wp:extent cx="159385" cy="244475"/>
                  <wp:effectExtent l="0" t="0" r="12065" b="2540"/>
                  <wp:docPr id="13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3"/>
                          <pic:cNvPicPr>
                            <a:picLocks noChangeAspect="1"/>
                          </pic:cNvPicPr>
                        </pic:nvPicPr>
                        <pic:blipFill>
                          <a:blip r:embed="rId81"/>
                          <a:stretch>
                            <a:fillRect/>
                          </a:stretch>
                        </pic:blipFill>
                        <pic:spPr>
                          <a:xfrm>
                            <a:off x="0" y="0"/>
                            <a:ext cx="159385" cy="244475"/>
                          </a:xfrm>
                          <a:prstGeom prst="rect">
                            <a:avLst/>
                          </a:prstGeom>
                          <a:noFill/>
                          <a:ln>
                            <a:noFill/>
                          </a:ln>
                        </pic:spPr>
                      </pic:pic>
                    </a:graphicData>
                  </a:graphic>
                </wp:inline>
              </w:drawing>
            </w:r>
            <w:r>
              <w:rPr>
                <w:color w:val="auto"/>
                <w:sz w:val="24"/>
                <w:szCs w:val="24"/>
                <w:highlight w:val="none"/>
              </w:rPr>
              <w:t>和</w:t>
            </w:r>
            <w:r>
              <w:rPr>
                <w:color w:val="auto"/>
                <w:position w:val="-12"/>
                <w:sz w:val="24"/>
                <w:szCs w:val="24"/>
                <w:highlight w:val="none"/>
              </w:rPr>
              <w:drawing>
                <wp:inline distT="0" distB="0" distL="114300" distR="114300">
                  <wp:extent cx="191135" cy="244475"/>
                  <wp:effectExtent l="0" t="0" r="18415" b="2540"/>
                  <wp:docPr id="13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4"/>
                          <pic:cNvPicPr>
                            <a:picLocks noChangeAspect="1"/>
                          </pic:cNvPicPr>
                        </pic:nvPicPr>
                        <pic:blipFill>
                          <a:blip r:embed="rId82"/>
                          <a:stretch>
                            <a:fillRect/>
                          </a:stretch>
                        </pic:blipFill>
                        <pic:spPr>
                          <a:xfrm>
                            <a:off x="0" y="0"/>
                            <a:ext cx="191135" cy="244475"/>
                          </a:xfrm>
                          <a:prstGeom prst="rect">
                            <a:avLst/>
                          </a:prstGeom>
                          <a:noFill/>
                          <a:ln>
                            <a:noFill/>
                          </a:ln>
                        </pic:spPr>
                      </pic:pic>
                    </a:graphicData>
                  </a:graphic>
                </wp:inline>
              </w:drawing>
            </w:r>
            <w:r>
              <w:rPr>
                <w:color w:val="auto"/>
                <w:sz w:val="24"/>
                <w:szCs w:val="24"/>
                <w:highlight w:val="none"/>
              </w:rPr>
              <w:t>分别为水的吸收速率和释出速率，</w:t>
            </w:r>
          </w:p>
          <w:p w14:paraId="1A7FB857">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860550" cy="457200"/>
                  <wp:effectExtent l="0" t="0" r="6350" b="0"/>
                  <wp:docPr id="13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5"/>
                          <pic:cNvPicPr>
                            <a:picLocks noChangeAspect="1"/>
                          </pic:cNvPicPr>
                        </pic:nvPicPr>
                        <pic:blipFill>
                          <a:blip r:embed="rId83"/>
                          <a:stretch>
                            <a:fillRect/>
                          </a:stretch>
                        </pic:blipFill>
                        <pic:spPr>
                          <a:xfrm>
                            <a:off x="0" y="0"/>
                            <a:ext cx="1860550" cy="457200"/>
                          </a:xfrm>
                          <a:prstGeom prst="rect">
                            <a:avLst/>
                          </a:prstGeom>
                          <a:noFill/>
                          <a:ln>
                            <a:noFill/>
                          </a:ln>
                        </pic:spPr>
                      </pic:pic>
                    </a:graphicData>
                  </a:graphic>
                </wp:inline>
              </w:drawing>
            </w:r>
          </w:p>
          <w:p w14:paraId="509942E1">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626870" cy="436245"/>
                  <wp:effectExtent l="0" t="0" r="11430" b="1905"/>
                  <wp:docPr id="14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6"/>
                          <pic:cNvPicPr>
                            <a:picLocks noChangeAspect="1"/>
                          </pic:cNvPicPr>
                        </pic:nvPicPr>
                        <pic:blipFill>
                          <a:blip r:embed="rId84"/>
                          <a:stretch>
                            <a:fillRect/>
                          </a:stretch>
                        </pic:blipFill>
                        <pic:spPr>
                          <a:xfrm>
                            <a:off x="0" y="0"/>
                            <a:ext cx="1626870" cy="436245"/>
                          </a:xfrm>
                          <a:prstGeom prst="rect">
                            <a:avLst/>
                          </a:prstGeom>
                          <a:noFill/>
                          <a:ln>
                            <a:noFill/>
                          </a:ln>
                        </pic:spPr>
                      </pic:pic>
                    </a:graphicData>
                  </a:graphic>
                </wp:inline>
              </w:drawing>
            </w:r>
          </w:p>
          <w:p w14:paraId="2A347B1F">
            <w:pPr>
              <w:spacing w:line="360" w:lineRule="auto"/>
              <w:ind w:firstLine="490"/>
              <w:rPr>
                <w:color w:val="auto"/>
                <w:sz w:val="24"/>
                <w:szCs w:val="24"/>
                <w:highlight w:val="none"/>
              </w:rPr>
            </w:pPr>
            <w:r>
              <w:rPr>
                <w:color w:val="auto"/>
                <w:sz w:val="24"/>
                <w:szCs w:val="24"/>
                <w:highlight w:val="none"/>
              </w:rPr>
              <w:t>其中</w:t>
            </w:r>
            <w:r>
              <w:rPr>
                <w:color w:val="auto"/>
                <w:position w:val="-12"/>
                <w:sz w:val="24"/>
                <w:szCs w:val="24"/>
                <w:highlight w:val="none"/>
              </w:rPr>
              <w:drawing>
                <wp:inline distT="0" distB="0" distL="114300" distR="114300">
                  <wp:extent cx="297815" cy="244475"/>
                  <wp:effectExtent l="0" t="0" r="6985" b="2540"/>
                  <wp:docPr id="14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7"/>
                          <pic:cNvPicPr>
                            <a:picLocks noChangeAspect="1"/>
                          </pic:cNvPicPr>
                        </pic:nvPicPr>
                        <pic:blipFill>
                          <a:blip r:embed="rId85"/>
                          <a:stretch>
                            <a:fillRect/>
                          </a:stretch>
                        </pic:blipFill>
                        <pic:spPr>
                          <a:xfrm>
                            <a:off x="0" y="0"/>
                            <a:ext cx="297815" cy="244475"/>
                          </a:xfrm>
                          <a:prstGeom prst="rect">
                            <a:avLst/>
                          </a:prstGeom>
                          <a:noFill/>
                          <a:ln>
                            <a:noFill/>
                          </a:ln>
                        </pic:spPr>
                      </pic:pic>
                    </a:graphicData>
                  </a:graphic>
                </wp:inline>
              </w:drawing>
            </w:r>
            <w:r>
              <w:rPr>
                <w:color w:val="auto"/>
                <w:sz w:val="24"/>
                <w:szCs w:val="24"/>
                <w:highlight w:val="none"/>
              </w:rPr>
              <w:t>为最大含水率；</w:t>
            </w:r>
            <w:r>
              <w:rPr>
                <w:color w:val="auto"/>
                <w:position w:val="-12"/>
                <w:sz w:val="24"/>
                <w:szCs w:val="24"/>
                <w:highlight w:val="none"/>
              </w:rPr>
              <w:drawing>
                <wp:inline distT="0" distB="0" distL="114300" distR="114300">
                  <wp:extent cx="191135" cy="244475"/>
                  <wp:effectExtent l="0" t="0" r="18415" b="1905"/>
                  <wp:docPr id="14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8"/>
                          <pic:cNvPicPr>
                            <a:picLocks noChangeAspect="1"/>
                          </pic:cNvPicPr>
                        </pic:nvPicPr>
                        <pic:blipFill>
                          <a:blip r:embed="rId86"/>
                          <a:stretch>
                            <a:fillRect/>
                          </a:stretch>
                        </pic:blipFill>
                        <pic:spPr>
                          <a:xfrm>
                            <a:off x="0" y="0"/>
                            <a:ext cx="191135" cy="244475"/>
                          </a:xfrm>
                          <a:prstGeom prst="rect">
                            <a:avLst/>
                          </a:prstGeom>
                          <a:noFill/>
                          <a:ln>
                            <a:noFill/>
                          </a:ln>
                        </pic:spPr>
                      </pic:pic>
                    </a:graphicData>
                  </a:graphic>
                </wp:inline>
              </w:drawing>
            </w:r>
            <w:r>
              <w:rPr>
                <w:color w:val="auto"/>
                <w:sz w:val="24"/>
                <w:szCs w:val="24"/>
                <w:highlight w:val="none"/>
              </w:rPr>
              <w:t>为实际含水率；</w:t>
            </w:r>
            <w:r>
              <w:rPr>
                <w:color w:val="auto"/>
                <w:position w:val="-6"/>
                <w:sz w:val="24"/>
                <w:szCs w:val="24"/>
                <w:highlight w:val="none"/>
              </w:rPr>
              <w:drawing>
                <wp:inline distT="0" distB="0" distL="114300" distR="114300">
                  <wp:extent cx="212725" cy="159385"/>
                  <wp:effectExtent l="0" t="0" r="15875" b="12700"/>
                  <wp:docPr id="14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9"/>
                          <pic:cNvPicPr>
                            <a:picLocks noChangeAspect="1"/>
                          </pic:cNvPicPr>
                        </pic:nvPicPr>
                        <pic:blipFill>
                          <a:blip r:embed="rId87"/>
                          <a:stretch>
                            <a:fillRect/>
                          </a:stretch>
                        </pic:blipFill>
                        <pic:spPr>
                          <a:xfrm>
                            <a:off x="0" y="0"/>
                            <a:ext cx="212725" cy="159385"/>
                          </a:xfrm>
                          <a:prstGeom prst="rect">
                            <a:avLst/>
                          </a:prstGeom>
                          <a:noFill/>
                          <a:ln>
                            <a:noFill/>
                          </a:ln>
                        </pic:spPr>
                      </pic:pic>
                    </a:graphicData>
                  </a:graphic>
                </wp:inline>
              </w:drawing>
            </w:r>
            <w:r>
              <w:rPr>
                <w:color w:val="auto"/>
                <w:sz w:val="24"/>
                <w:szCs w:val="24"/>
                <w:highlight w:val="none"/>
              </w:rPr>
              <w:t>为油中沥青含量（重量比）；</w:t>
            </w:r>
            <w:r>
              <w:rPr>
                <w:color w:val="auto"/>
                <w:position w:val="-6"/>
                <w:sz w:val="24"/>
                <w:szCs w:val="24"/>
                <w:highlight w:val="none"/>
              </w:rPr>
              <w:drawing>
                <wp:inline distT="0" distB="0" distL="114300" distR="114300">
                  <wp:extent cx="297815" cy="159385"/>
                  <wp:effectExtent l="0" t="0" r="6985" b="12700"/>
                  <wp:docPr id="14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0"/>
                          <pic:cNvPicPr>
                            <a:picLocks noChangeAspect="1"/>
                          </pic:cNvPicPr>
                        </pic:nvPicPr>
                        <pic:blipFill>
                          <a:blip r:embed="rId88"/>
                          <a:stretch>
                            <a:fillRect/>
                          </a:stretch>
                        </pic:blipFill>
                        <pic:spPr>
                          <a:xfrm>
                            <a:off x="0" y="0"/>
                            <a:ext cx="297815" cy="159385"/>
                          </a:xfrm>
                          <a:prstGeom prst="rect">
                            <a:avLst/>
                          </a:prstGeom>
                          <a:noFill/>
                          <a:ln>
                            <a:noFill/>
                          </a:ln>
                        </pic:spPr>
                      </pic:pic>
                    </a:graphicData>
                  </a:graphic>
                </wp:inline>
              </w:drawing>
            </w:r>
            <w:r>
              <w:rPr>
                <w:color w:val="auto"/>
                <w:sz w:val="24"/>
                <w:szCs w:val="24"/>
                <w:highlight w:val="none"/>
              </w:rPr>
              <w:t>为油中总石蜡含量（重量比）；</w:t>
            </w:r>
            <w:r>
              <w:rPr>
                <w:color w:val="auto"/>
                <w:position w:val="-12"/>
                <w:sz w:val="24"/>
                <w:szCs w:val="24"/>
                <w:highlight w:val="none"/>
              </w:rPr>
              <w:drawing>
                <wp:inline distT="0" distB="0" distL="114300" distR="114300">
                  <wp:extent cx="191135" cy="244475"/>
                  <wp:effectExtent l="0" t="0" r="18415" b="2540"/>
                  <wp:docPr id="14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1"/>
                          <pic:cNvPicPr>
                            <a:picLocks noChangeAspect="1"/>
                          </pic:cNvPicPr>
                        </pic:nvPicPr>
                        <pic:blipFill>
                          <a:blip r:embed="rId89"/>
                          <a:stretch>
                            <a:fillRect/>
                          </a:stretch>
                        </pic:blipFill>
                        <pic:spPr>
                          <a:xfrm>
                            <a:off x="0" y="0"/>
                            <a:ext cx="191135" cy="244475"/>
                          </a:xfrm>
                          <a:prstGeom prst="rect">
                            <a:avLst/>
                          </a:prstGeom>
                          <a:noFill/>
                          <a:ln>
                            <a:noFill/>
                          </a:ln>
                        </pic:spPr>
                      </pic:pic>
                    </a:graphicData>
                  </a:graphic>
                </wp:inline>
              </w:drawing>
            </w:r>
            <w:r>
              <w:rPr>
                <w:color w:val="auto"/>
                <w:sz w:val="24"/>
                <w:szCs w:val="24"/>
                <w:highlight w:val="none"/>
              </w:rPr>
              <w:t>、</w:t>
            </w:r>
            <w:r>
              <w:rPr>
                <w:color w:val="auto"/>
                <w:position w:val="-12"/>
                <w:sz w:val="24"/>
                <w:szCs w:val="24"/>
                <w:highlight w:val="none"/>
              </w:rPr>
              <w:drawing>
                <wp:inline distT="0" distB="0" distL="114300" distR="114300">
                  <wp:extent cx="212725" cy="244475"/>
                  <wp:effectExtent l="0" t="0" r="15875" b="2540"/>
                  <wp:docPr id="14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2"/>
                          <pic:cNvPicPr>
                            <a:picLocks noChangeAspect="1"/>
                          </pic:cNvPicPr>
                        </pic:nvPicPr>
                        <pic:blipFill>
                          <a:blip r:embed="rId90"/>
                          <a:stretch>
                            <a:fillRect/>
                          </a:stretch>
                        </pic:blipFill>
                        <pic:spPr>
                          <a:xfrm>
                            <a:off x="0" y="0"/>
                            <a:ext cx="212725" cy="244475"/>
                          </a:xfrm>
                          <a:prstGeom prst="rect">
                            <a:avLst/>
                          </a:prstGeom>
                          <a:noFill/>
                          <a:ln>
                            <a:noFill/>
                          </a:ln>
                        </pic:spPr>
                      </pic:pic>
                    </a:graphicData>
                  </a:graphic>
                </wp:inline>
              </w:drawing>
            </w:r>
            <w:r>
              <w:rPr>
                <w:color w:val="auto"/>
                <w:sz w:val="24"/>
                <w:szCs w:val="24"/>
                <w:highlight w:val="none"/>
              </w:rPr>
              <w:t>分别为吸收系数和释放系数。</w:t>
            </w:r>
          </w:p>
          <w:p w14:paraId="7936CC63">
            <w:pPr>
              <w:spacing w:line="360" w:lineRule="auto"/>
              <w:ind w:firstLine="490"/>
              <w:rPr>
                <w:snapToGrid w:val="0"/>
                <w:color w:val="auto"/>
                <w:sz w:val="24"/>
                <w:szCs w:val="24"/>
                <w:highlight w:val="none"/>
              </w:rPr>
            </w:pPr>
            <w:r>
              <w:rPr>
                <w:snapToGrid w:val="0"/>
                <w:color w:val="auto"/>
                <w:sz w:val="24"/>
                <w:szCs w:val="24"/>
                <w:highlight w:val="none"/>
              </w:rPr>
              <w:t>③溶解</w:t>
            </w:r>
          </w:p>
          <w:p w14:paraId="0F86C4EB">
            <w:pPr>
              <w:spacing w:line="360" w:lineRule="auto"/>
              <w:ind w:firstLine="490"/>
              <w:rPr>
                <w:color w:val="auto"/>
                <w:sz w:val="24"/>
                <w:szCs w:val="24"/>
                <w:highlight w:val="none"/>
              </w:rPr>
            </w:pPr>
            <w:r>
              <w:rPr>
                <w:color w:val="auto"/>
                <w:sz w:val="24"/>
                <w:szCs w:val="24"/>
                <w:highlight w:val="none"/>
              </w:rPr>
              <w:t>溶解率用下式表示：</w:t>
            </w:r>
          </w:p>
          <w:p w14:paraId="469AFB24">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977390" cy="436245"/>
                  <wp:effectExtent l="0" t="0" r="0" b="1905"/>
                  <wp:docPr id="14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3"/>
                          <pic:cNvPicPr>
                            <a:picLocks noChangeAspect="1"/>
                          </pic:cNvPicPr>
                        </pic:nvPicPr>
                        <pic:blipFill>
                          <a:blip r:embed="rId91"/>
                          <a:stretch>
                            <a:fillRect/>
                          </a:stretch>
                        </pic:blipFill>
                        <pic:spPr>
                          <a:xfrm>
                            <a:off x="0" y="0"/>
                            <a:ext cx="1977390" cy="436245"/>
                          </a:xfrm>
                          <a:prstGeom prst="rect">
                            <a:avLst/>
                          </a:prstGeom>
                          <a:noFill/>
                          <a:ln>
                            <a:noFill/>
                          </a:ln>
                        </pic:spPr>
                      </pic:pic>
                    </a:graphicData>
                  </a:graphic>
                </wp:inline>
              </w:drawing>
            </w:r>
          </w:p>
          <w:p w14:paraId="3586B734">
            <w:pPr>
              <w:spacing w:line="360" w:lineRule="auto"/>
              <w:ind w:firstLine="490"/>
              <w:rPr>
                <w:color w:val="auto"/>
                <w:sz w:val="24"/>
                <w:szCs w:val="24"/>
                <w:highlight w:val="none"/>
              </w:rPr>
            </w:pPr>
            <w:r>
              <w:rPr>
                <w:color w:val="auto"/>
                <w:sz w:val="24"/>
                <w:szCs w:val="24"/>
                <w:highlight w:val="none"/>
              </w:rPr>
              <w:t>其中</w:t>
            </w:r>
            <w:r>
              <w:rPr>
                <w:color w:val="auto"/>
                <w:position w:val="-12"/>
                <w:sz w:val="24"/>
                <w:szCs w:val="24"/>
                <w:highlight w:val="none"/>
              </w:rPr>
              <w:drawing>
                <wp:inline distT="0" distB="0" distL="114300" distR="114300">
                  <wp:extent cx="266065" cy="244475"/>
                  <wp:effectExtent l="0" t="0" r="635" b="2540"/>
                  <wp:docPr id="14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4"/>
                          <pic:cNvPicPr>
                            <a:picLocks noChangeAspect="1"/>
                          </pic:cNvPicPr>
                        </pic:nvPicPr>
                        <pic:blipFill>
                          <a:blip r:embed="rId92"/>
                          <a:stretch>
                            <a:fillRect/>
                          </a:stretch>
                        </pic:blipFill>
                        <pic:spPr>
                          <a:xfrm>
                            <a:off x="0" y="0"/>
                            <a:ext cx="266065" cy="244475"/>
                          </a:xfrm>
                          <a:prstGeom prst="rect">
                            <a:avLst/>
                          </a:prstGeom>
                          <a:noFill/>
                          <a:ln>
                            <a:noFill/>
                          </a:ln>
                        </pic:spPr>
                      </pic:pic>
                    </a:graphicData>
                  </a:graphic>
                </wp:inline>
              </w:drawing>
            </w:r>
            <w:r>
              <w:rPr>
                <w:color w:val="auto"/>
                <w:sz w:val="24"/>
                <w:szCs w:val="24"/>
                <w:highlight w:val="none"/>
              </w:rPr>
              <w:t>为组分i的溶解度；</w:t>
            </w:r>
            <w:r>
              <w:rPr>
                <w:color w:val="auto"/>
                <w:position w:val="-14"/>
                <w:sz w:val="24"/>
                <w:szCs w:val="24"/>
                <w:highlight w:val="none"/>
              </w:rPr>
              <w:drawing>
                <wp:inline distT="0" distB="0" distL="114300" distR="114300">
                  <wp:extent cx="340360" cy="244475"/>
                  <wp:effectExtent l="0" t="0" r="2540" b="2540"/>
                  <wp:docPr id="14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5"/>
                          <pic:cNvPicPr>
                            <a:picLocks noChangeAspect="1"/>
                          </pic:cNvPicPr>
                        </pic:nvPicPr>
                        <pic:blipFill>
                          <a:blip r:embed="rId93"/>
                          <a:stretch>
                            <a:fillRect/>
                          </a:stretch>
                        </pic:blipFill>
                        <pic:spPr>
                          <a:xfrm>
                            <a:off x="0" y="0"/>
                            <a:ext cx="340360" cy="244475"/>
                          </a:xfrm>
                          <a:prstGeom prst="rect">
                            <a:avLst/>
                          </a:prstGeom>
                          <a:noFill/>
                          <a:ln>
                            <a:noFill/>
                          </a:ln>
                        </pic:spPr>
                      </pic:pic>
                    </a:graphicData>
                  </a:graphic>
                </wp:inline>
              </w:drawing>
            </w:r>
            <w:r>
              <w:rPr>
                <w:color w:val="auto"/>
                <w:sz w:val="24"/>
                <w:szCs w:val="24"/>
                <w:highlight w:val="none"/>
              </w:rPr>
              <w:t>为组分的摩尔分数；</w:t>
            </w:r>
            <w:r>
              <w:rPr>
                <w:color w:val="auto"/>
                <w:position w:val="-12"/>
                <w:sz w:val="24"/>
                <w:szCs w:val="24"/>
                <w:highlight w:val="none"/>
              </w:rPr>
              <w:drawing>
                <wp:inline distT="0" distB="0" distL="114300" distR="114300">
                  <wp:extent cx="212725" cy="244475"/>
                  <wp:effectExtent l="0" t="0" r="15875" b="2540"/>
                  <wp:docPr id="15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6"/>
                          <pic:cNvPicPr>
                            <a:picLocks noChangeAspect="1"/>
                          </pic:cNvPicPr>
                        </pic:nvPicPr>
                        <pic:blipFill>
                          <a:blip r:embed="rId94"/>
                          <a:stretch>
                            <a:fillRect/>
                          </a:stretch>
                        </pic:blipFill>
                        <pic:spPr>
                          <a:xfrm>
                            <a:off x="0" y="0"/>
                            <a:ext cx="212725" cy="244475"/>
                          </a:xfrm>
                          <a:prstGeom prst="rect">
                            <a:avLst/>
                          </a:prstGeom>
                          <a:noFill/>
                          <a:ln>
                            <a:noFill/>
                          </a:ln>
                        </pic:spPr>
                      </pic:pic>
                    </a:graphicData>
                  </a:graphic>
                </wp:inline>
              </w:drawing>
            </w:r>
            <w:r>
              <w:rPr>
                <w:color w:val="auto"/>
                <w:sz w:val="24"/>
                <w:szCs w:val="24"/>
                <w:highlight w:val="none"/>
              </w:rPr>
              <w:t>为组分i的摩尔重量、</w:t>
            </w:r>
            <w:r>
              <w:rPr>
                <w:color w:val="auto"/>
                <w:position w:val="-12"/>
                <w:sz w:val="24"/>
                <w:szCs w:val="24"/>
                <w:highlight w:val="none"/>
              </w:rPr>
              <w:drawing>
                <wp:inline distT="0" distB="0" distL="114300" distR="114300">
                  <wp:extent cx="244475" cy="244475"/>
                  <wp:effectExtent l="0" t="0" r="3175" b="2540"/>
                  <wp:docPr id="15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7"/>
                          <pic:cNvPicPr>
                            <a:picLocks noChangeAspect="1"/>
                          </pic:cNvPicPr>
                        </pic:nvPicPr>
                        <pic:blipFill>
                          <a:blip r:embed="rId95"/>
                          <a:stretch>
                            <a:fillRect/>
                          </a:stretch>
                        </pic:blipFill>
                        <pic:spPr>
                          <a:xfrm>
                            <a:off x="0" y="0"/>
                            <a:ext cx="244475" cy="244475"/>
                          </a:xfrm>
                          <a:prstGeom prst="rect">
                            <a:avLst/>
                          </a:prstGeom>
                          <a:noFill/>
                          <a:ln>
                            <a:noFill/>
                          </a:ln>
                        </pic:spPr>
                      </pic:pic>
                    </a:graphicData>
                  </a:graphic>
                </wp:inline>
              </w:drawing>
            </w:r>
            <w:r>
              <w:rPr>
                <w:color w:val="auto"/>
                <w:sz w:val="24"/>
                <w:szCs w:val="24"/>
                <w:highlight w:val="none"/>
              </w:rPr>
              <w:t>为溶解传质系数，由下式估算：</w:t>
            </w:r>
          </w:p>
          <w:p w14:paraId="1C3B6FBD">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084580" cy="244475"/>
                  <wp:effectExtent l="0" t="0" r="1270" b="2540"/>
                  <wp:docPr id="15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8"/>
                          <pic:cNvPicPr>
                            <a:picLocks noChangeAspect="1"/>
                          </pic:cNvPicPr>
                        </pic:nvPicPr>
                        <pic:blipFill>
                          <a:blip r:embed="rId96"/>
                          <a:stretch>
                            <a:fillRect/>
                          </a:stretch>
                        </pic:blipFill>
                        <pic:spPr>
                          <a:xfrm>
                            <a:off x="0" y="0"/>
                            <a:ext cx="1084580" cy="244475"/>
                          </a:xfrm>
                          <a:prstGeom prst="rect">
                            <a:avLst/>
                          </a:prstGeom>
                          <a:noFill/>
                          <a:ln>
                            <a:noFill/>
                          </a:ln>
                        </pic:spPr>
                      </pic:pic>
                    </a:graphicData>
                  </a:graphic>
                </wp:inline>
              </w:drawing>
            </w:r>
          </w:p>
          <w:p w14:paraId="55DC9F6E">
            <w:pPr>
              <w:spacing w:line="360" w:lineRule="auto"/>
              <w:ind w:firstLine="490"/>
              <w:rPr>
                <w:color w:val="auto"/>
                <w:sz w:val="24"/>
                <w:szCs w:val="24"/>
                <w:highlight w:val="none"/>
              </w:rPr>
            </w:pPr>
            <w:r>
              <w:rPr>
                <w:color w:val="auto"/>
                <w:sz w:val="24"/>
                <w:szCs w:val="24"/>
                <w:highlight w:val="none"/>
              </w:rPr>
              <w:t>其中</w:t>
            </w:r>
          </w:p>
          <w:p w14:paraId="51C70C4E">
            <w:pPr>
              <w:spacing w:line="360" w:lineRule="auto"/>
              <w:jc w:val="center"/>
              <w:rPr>
                <w:color w:val="auto"/>
                <w:position w:val="-32"/>
                <w:sz w:val="24"/>
                <w:szCs w:val="24"/>
                <w:highlight w:val="none"/>
              </w:rPr>
            </w:pPr>
            <w:r>
              <w:rPr>
                <w:color w:val="auto"/>
                <w:position w:val="-32"/>
                <w:sz w:val="24"/>
                <w:szCs w:val="24"/>
                <w:highlight w:val="none"/>
              </w:rPr>
              <w:drawing>
                <wp:inline distT="0" distB="0" distL="114300" distR="114300">
                  <wp:extent cx="1073785" cy="701675"/>
                  <wp:effectExtent l="0" t="0" r="12065" b="3175"/>
                  <wp:docPr id="15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9"/>
                          <pic:cNvPicPr>
                            <a:picLocks noChangeAspect="1"/>
                          </pic:cNvPicPr>
                        </pic:nvPicPr>
                        <pic:blipFill>
                          <a:blip r:embed="rId97"/>
                          <a:stretch>
                            <a:fillRect/>
                          </a:stretch>
                        </pic:blipFill>
                        <pic:spPr>
                          <a:xfrm>
                            <a:off x="0" y="0"/>
                            <a:ext cx="1073785" cy="701675"/>
                          </a:xfrm>
                          <a:prstGeom prst="rect">
                            <a:avLst/>
                          </a:prstGeom>
                          <a:noFill/>
                          <a:ln>
                            <a:noFill/>
                          </a:ln>
                        </pic:spPr>
                      </pic:pic>
                    </a:graphicData>
                  </a:graphic>
                </wp:inline>
              </w:drawing>
            </w:r>
          </w:p>
          <w:p w14:paraId="616362FE">
            <w:pPr>
              <w:numPr>
                <w:ilvl w:val="0"/>
                <w:numId w:val="3"/>
              </w:numPr>
              <w:adjustRightInd w:val="0"/>
              <w:snapToGrid w:val="0"/>
              <w:spacing w:line="480" w:lineRule="exact"/>
              <w:ind w:left="420" w:leftChars="200"/>
              <w:rPr>
                <w:rFonts w:hint="eastAsia"/>
                <w:sz w:val="24"/>
                <w:szCs w:val="24"/>
                <w:highlight w:val="none"/>
              </w:rPr>
            </w:pPr>
            <w:r>
              <w:rPr>
                <w:rFonts w:hint="eastAsia"/>
                <w:sz w:val="24"/>
                <w:szCs w:val="24"/>
                <w:highlight w:val="none"/>
              </w:rPr>
              <w:t>预测方案</w:t>
            </w:r>
          </w:p>
          <w:p w14:paraId="32C85EA6">
            <w:pPr>
              <w:adjustRightInd w:val="0"/>
              <w:snapToGrid w:val="0"/>
              <w:spacing w:line="480" w:lineRule="exact"/>
              <w:ind w:firstLine="480" w:firstLineChars="0"/>
              <w:jc w:val="both"/>
              <w:rPr>
                <w:rFonts w:hint="eastAsia"/>
                <w:snapToGrid/>
                <w:spacing w:val="0"/>
                <w:kern w:val="2"/>
                <w:sz w:val="24"/>
                <w:szCs w:val="24"/>
                <w:highlight w:val="none"/>
                <w:lang w:val="en-US" w:eastAsia="zh-CN"/>
              </w:rPr>
            </w:pPr>
            <w:r>
              <w:rPr>
                <w:rFonts w:hint="eastAsia"/>
                <w:snapToGrid/>
                <w:spacing w:val="0"/>
                <w:kern w:val="2"/>
                <w:sz w:val="24"/>
                <w:szCs w:val="24"/>
                <w:highlight w:val="none"/>
                <w:lang w:val="en-US" w:eastAsia="zh-CN"/>
              </w:rPr>
              <w:t>根据前文风险识别结果，选取京杭运河淮安段黄码港锚地工程所在水域进行船舶燃料油泄漏预测，本项目工程主要涉及水域为京杭大运河（南水北调工程），其非调水期水流流向为自北向南、调水期水流流向为自南向北。</w:t>
            </w:r>
          </w:p>
          <w:p w14:paraId="2822B47D">
            <w:pPr>
              <w:adjustRightInd w:val="0"/>
              <w:snapToGrid w:val="0"/>
              <w:spacing w:line="480" w:lineRule="exact"/>
              <w:ind w:firstLine="480" w:firstLineChars="0"/>
              <w:jc w:val="both"/>
              <w:rPr>
                <w:rFonts w:hint="eastAsia"/>
                <w:snapToGrid/>
                <w:spacing w:val="0"/>
                <w:kern w:val="2"/>
                <w:sz w:val="24"/>
                <w:szCs w:val="24"/>
                <w:highlight w:val="none"/>
                <w:lang w:val="en-US" w:eastAsia="zh-CN"/>
              </w:rPr>
            </w:pPr>
            <w:r>
              <w:rPr>
                <w:rFonts w:hint="eastAsia"/>
                <w:snapToGrid/>
                <w:spacing w:val="0"/>
                <w:kern w:val="2"/>
                <w:sz w:val="24"/>
                <w:szCs w:val="24"/>
                <w:highlight w:val="none"/>
                <w:lang w:val="en-US" w:eastAsia="zh-CN"/>
              </w:rPr>
              <w:t>情景1：当京杭大运河非调水期时，京杭大运河水流流向为自北向南，结合项目施工位置及周边敏感目标位置关系，假设泄漏点发生在本项目南港疏浚施工点处，其中南港疏浚施工点位于京杭大运河（淮安市区）清水通道维护区内，距离下游大运河桥省考断面200m。</w:t>
            </w:r>
          </w:p>
          <w:p w14:paraId="19C9AB05">
            <w:pPr>
              <w:adjustRightInd w:val="0"/>
              <w:snapToGrid w:val="0"/>
              <w:spacing w:line="480" w:lineRule="exact"/>
              <w:ind w:firstLine="480" w:firstLineChars="0"/>
              <w:jc w:val="both"/>
              <w:rPr>
                <w:rFonts w:hint="eastAsia"/>
                <w:snapToGrid/>
                <w:spacing w:val="0"/>
                <w:kern w:val="2"/>
                <w:sz w:val="24"/>
                <w:szCs w:val="24"/>
                <w:highlight w:val="none"/>
                <w:lang w:val="en-US" w:eastAsia="zh-CN"/>
              </w:rPr>
            </w:pPr>
            <w:r>
              <w:rPr>
                <w:rFonts w:hint="eastAsia"/>
                <w:snapToGrid/>
                <w:spacing w:val="0"/>
                <w:kern w:val="2"/>
                <w:sz w:val="24"/>
                <w:szCs w:val="24"/>
                <w:highlight w:val="none"/>
                <w:lang w:val="en-US" w:eastAsia="zh-CN"/>
              </w:rPr>
              <w:t>情景2：当京杭大运河调水期时，京杭大运河水流流向为自南向北，考虑到最大影响范围和与清水通道维护区、考核断面的位置关系，假设泄漏点发生在本项目新建锚地处，其中新建锚地位于京杭大运河（淮安区）清水通道维护区内，距离上游黄码大桥省考断面360m。</w:t>
            </w:r>
          </w:p>
          <w:p w14:paraId="0B69A9AC">
            <w:pPr>
              <w:spacing w:line="480" w:lineRule="exact"/>
              <w:jc w:val="center"/>
              <w:rPr>
                <w:rFonts w:eastAsia="黑体"/>
                <w:sz w:val="24"/>
                <w:szCs w:val="24"/>
                <w:highlight w:val="none"/>
              </w:rPr>
            </w:pPr>
            <w:r>
              <w:rPr>
                <w:rFonts w:hint="default" w:ascii="Times New Roman" w:hAnsi="Times New Roman" w:eastAsia="宋体" w:cs="Times New Roman"/>
                <w:b/>
                <w:bCs/>
                <w:kern w:val="2"/>
                <w:sz w:val="24"/>
                <w:szCs w:val="24"/>
                <w:lang w:val="en-US" w:eastAsia="zh-CN" w:bidi="ar-SA"/>
              </w:rPr>
              <w:t>表</w:t>
            </w:r>
            <w:r>
              <w:rPr>
                <w:rFonts w:hint="eastAsia" w:ascii="Times New Roman" w:hAnsi="Times New Roman" w:eastAsia="宋体" w:cs="Times New Roman"/>
                <w:b/>
                <w:bCs/>
                <w:kern w:val="2"/>
                <w:sz w:val="24"/>
                <w:szCs w:val="24"/>
                <w:lang w:val="en-US" w:eastAsia="zh-CN" w:bidi="ar-SA"/>
              </w:rPr>
              <w:t>4.3-5</w:t>
            </w:r>
            <w:r>
              <w:rPr>
                <w:rFonts w:hint="default" w:ascii="Times New Roman" w:hAnsi="Times New Roman" w:eastAsia="宋体" w:cs="Times New Roman"/>
                <w:b/>
                <w:bCs/>
                <w:kern w:val="2"/>
                <w:sz w:val="24"/>
                <w:szCs w:val="24"/>
                <w:lang w:val="en-US" w:eastAsia="zh-CN" w:bidi="ar-SA"/>
              </w:rPr>
              <w:t xml:space="preserve">  溢油事故预测方案表</w:t>
            </w:r>
          </w:p>
          <w:tbl>
            <w:tblPr>
              <w:tblStyle w:val="89"/>
              <w:tblW w:w="5000" w:type="pct"/>
              <w:tblInd w:w="3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356"/>
              <w:gridCol w:w="1329"/>
              <w:gridCol w:w="793"/>
              <w:gridCol w:w="1990"/>
              <w:gridCol w:w="963"/>
              <w:gridCol w:w="2238"/>
            </w:tblGrid>
            <w:tr w14:paraId="353F8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4" w:type="pct"/>
                  <w:tcBorders>
                    <w:tl2br w:val="nil"/>
                    <w:tr2bl w:val="nil"/>
                  </w:tcBorders>
                  <w:noWrap w:val="0"/>
                  <w:vAlign w:val="center"/>
                </w:tcPr>
                <w:p w14:paraId="062154C8">
                  <w:pPr>
                    <w:widowControl/>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序号</w:t>
                  </w:r>
                </w:p>
              </w:tc>
              <w:tc>
                <w:tcPr>
                  <w:tcW w:w="742" w:type="pct"/>
                  <w:tcBorders>
                    <w:tl2br w:val="nil"/>
                    <w:tr2bl w:val="nil"/>
                  </w:tcBorders>
                  <w:noWrap w:val="0"/>
                  <w:vAlign w:val="center"/>
                </w:tcPr>
                <w:p w14:paraId="7C1B0EFA">
                  <w:pPr>
                    <w:widowControl/>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泄漏点</w:t>
                  </w:r>
                </w:p>
              </w:tc>
              <w:tc>
                <w:tcPr>
                  <w:tcW w:w="727" w:type="pct"/>
                  <w:tcBorders>
                    <w:tl2br w:val="nil"/>
                    <w:tr2bl w:val="nil"/>
                  </w:tcBorders>
                  <w:noWrap w:val="0"/>
                  <w:vAlign w:val="center"/>
                </w:tcPr>
                <w:p w14:paraId="4EDE1D11">
                  <w:pPr>
                    <w:widowControl/>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性质</w:t>
                  </w:r>
                </w:p>
              </w:tc>
              <w:tc>
                <w:tcPr>
                  <w:tcW w:w="433" w:type="pct"/>
                  <w:tcBorders>
                    <w:tl2br w:val="nil"/>
                    <w:tr2bl w:val="nil"/>
                  </w:tcBorders>
                  <w:noWrap w:val="0"/>
                  <w:vAlign w:val="center"/>
                </w:tcPr>
                <w:p w14:paraId="542259FF">
                  <w:pPr>
                    <w:widowControl/>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泄漏量</w:t>
                  </w:r>
                </w:p>
              </w:tc>
              <w:tc>
                <w:tcPr>
                  <w:tcW w:w="1089" w:type="pct"/>
                  <w:tcBorders>
                    <w:tl2br w:val="nil"/>
                    <w:tr2bl w:val="nil"/>
                  </w:tcBorders>
                  <w:noWrap w:val="0"/>
                  <w:vAlign w:val="center"/>
                </w:tcPr>
                <w:p w14:paraId="5070E2F2">
                  <w:pPr>
                    <w:widowControl/>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预测时期</w:t>
                  </w:r>
                </w:p>
              </w:tc>
              <w:tc>
                <w:tcPr>
                  <w:tcW w:w="527" w:type="pct"/>
                  <w:tcBorders>
                    <w:tl2br w:val="nil"/>
                    <w:tr2bl w:val="nil"/>
                  </w:tcBorders>
                  <w:noWrap w:val="0"/>
                  <w:vAlign w:val="center"/>
                </w:tcPr>
                <w:p w14:paraId="513FD062">
                  <w:pPr>
                    <w:widowControl/>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不利</w:t>
                  </w:r>
                </w:p>
                <w:p w14:paraId="470EC092">
                  <w:pPr>
                    <w:widowControl/>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风向</w:t>
                  </w:r>
                </w:p>
              </w:tc>
              <w:tc>
                <w:tcPr>
                  <w:tcW w:w="1225" w:type="pct"/>
                  <w:tcBorders>
                    <w:tl2br w:val="nil"/>
                    <w:tr2bl w:val="nil"/>
                  </w:tcBorders>
                  <w:noWrap w:val="0"/>
                  <w:vAlign w:val="center"/>
                </w:tcPr>
                <w:p w14:paraId="332B575F">
                  <w:pPr>
                    <w:widowControl/>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与下游环境敏感目标的距离</w:t>
                  </w:r>
                </w:p>
              </w:tc>
            </w:tr>
            <w:tr w14:paraId="0B318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tcBorders>
                    <w:tl2br w:val="nil"/>
                    <w:tr2bl w:val="nil"/>
                  </w:tcBorders>
                  <w:noWrap w:val="0"/>
                  <w:vAlign w:val="center"/>
                </w:tcPr>
                <w:p w14:paraId="3471D30A">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742" w:type="pct"/>
                  <w:tcBorders>
                    <w:tl2br w:val="nil"/>
                    <w:tr2bl w:val="nil"/>
                  </w:tcBorders>
                  <w:noWrap w:val="0"/>
                  <w:vAlign w:val="center"/>
                </w:tcPr>
                <w:p w14:paraId="21581D0B">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南港疏浚施工点</w:t>
                  </w:r>
                </w:p>
              </w:tc>
              <w:tc>
                <w:tcPr>
                  <w:tcW w:w="727" w:type="pct"/>
                  <w:tcBorders>
                    <w:tl2br w:val="nil"/>
                    <w:tr2bl w:val="nil"/>
                  </w:tcBorders>
                  <w:noWrap w:val="0"/>
                  <w:vAlign w:val="center"/>
                </w:tcPr>
                <w:p w14:paraId="784A5888">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500t级挖泥船碰撞导致燃料油泄漏</w:t>
                  </w:r>
                </w:p>
              </w:tc>
              <w:tc>
                <w:tcPr>
                  <w:tcW w:w="433" w:type="pct"/>
                  <w:tcBorders>
                    <w:tl2br w:val="nil"/>
                    <w:tr2bl w:val="nil"/>
                  </w:tcBorders>
                  <w:noWrap w:val="0"/>
                  <w:vAlign w:val="center"/>
                </w:tcPr>
                <w:p w14:paraId="1055C731">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26t</w:t>
                  </w:r>
                </w:p>
              </w:tc>
              <w:tc>
                <w:tcPr>
                  <w:tcW w:w="1089" w:type="pct"/>
                  <w:tcBorders>
                    <w:tl2br w:val="nil"/>
                    <w:tr2bl w:val="nil"/>
                  </w:tcBorders>
                  <w:noWrap w:val="0"/>
                  <w:vAlign w:val="center"/>
                </w:tcPr>
                <w:p w14:paraId="36319206">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施工期</w:t>
                  </w:r>
                </w:p>
                <w:p w14:paraId="4069331A">
                  <w:pPr>
                    <w:widowControl/>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丰水期/非调水期</w:t>
                  </w:r>
                </w:p>
                <w:p w14:paraId="43735A32">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流向自北向南</w:t>
                  </w:r>
                </w:p>
              </w:tc>
              <w:tc>
                <w:tcPr>
                  <w:tcW w:w="527" w:type="pct"/>
                  <w:tcBorders>
                    <w:tl2br w:val="nil"/>
                    <w:tr2bl w:val="nil"/>
                  </w:tcBorders>
                  <w:noWrap w:val="0"/>
                  <w:vAlign w:val="center"/>
                </w:tcPr>
                <w:p w14:paraId="0C02D5CD">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西风</w:t>
                  </w:r>
                </w:p>
                <w:p w14:paraId="6F4397D3">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5.0m/s</w:t>
                  </w:r>
                </w:p>
              </w:tc>
              <w:tc>
                <w:tcPr>
                  <w:tcW w:w="1225" w:type="pct"/>
                  <w:tcBorders>
                    <w:tl2br w:val="nil"/>
                    <w:tr2bl w:val="nil"/>
                  </w:tcBorders>
                  <w:noWrap w:val="0"/>
                  <w:vAlign w:val="center"/>
                </w:tcPr>
                <w:p w14:paraId="7FE83EFC">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位于京杭大运河（淮安市区）清水通道维护区内，距离下游大运河桥省考断面200m</w:t>
                  </w:r>
                </w:p>
              </w:tc>
            </w:tr>
            <w:tr w14:paraId="59A2B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tcBorders>
                    <w:tl2br w:val="nil"/>
                    <w:tr2bl w:val="nil"/>
                  </w:tcBorders>
                  <w:noWrap w:val="0"/>
                  <w:vAlign w:val="center"/>
                </w:tcPr>
                <w:p w14:paraId="52978C39">
                  <w:pPr>
                    <w:widowControl/>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742" w:type="pct"/>
                  <w:tcBorders>
                    <w:tl2br w:val="nil"/>
                    <w:tr2bl w:val="nil"/>
                  </w:tcBorders>
                  <w:noWrap w:val="0"/>
                  <w:vAlign w:val="center"/>
                </w:tcPr>
                <w:p w14:paraId="0AC4FB33">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新建锚地处</w:t>
                  </w:r>
                </w:p>
              </w:tc>
              <w:tc>
                <w:tcPr>
                  <w:tcW w:w="727" w:type="pct"/>
                  <w:tcBorders>
                    <w:tl2br w:val="nil"/>
                    <w:tr2bl w:val="nil"/>
                  </w:tcBorders>
                  <w:noWrap w:val="0"/>
                  <w:vAlign w:val="center"/>
                </w:tcPr>
                <w:p w14:paraId="76D585C1">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1000t级散货船碰撞导致燃料油泄漏</w:t>
                  </w:r>
                </w:p>
              </w:tc>
              <w:tc>
                <w:tcPr>
                  <w:tcW w:w="433" w:type="pct"/>
                  <w:tcBorders>
                    <w:tl2br w:val="nil"/>
                    <w:tr2bl w:val="nil"/>
                  </w:tcBorders>
                  <w:noWrap w:val="0"/>
                  <w:vAlign w:val="center"/>
                </w:tcPr>
                <w:p w14:paraId="33F590A5">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70t</w:t>
                  </w:r>
                </w:p>
              </w:tc>
              <w:tc>
                <w:tcPr>
                  <w:tcW w:w="1089" w:type="pct"/>
                  <w:tcBorders>
                    <w:tl2br w:val="nil"/>
                    <w:tr2bl w:val="nil"/>
                  </w:tcBorders>
                  <w:noWrap w:val="0"/>
                  <w:vAlign w:val="center"/>
                </w:tcPr>
                <w:p w14:paraId="73533A8B">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运营期</w:t>
                  </w:r>
                </w:p>
                <w:p w14:paraId="761A3045">
                  <w:pPr>
                    <w:widowControl/>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枯水期/调水期</w:t>
                  </w:r>
                </w:p>
                <w:p w14:paraId="31A89959">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流向自南向北</w:t>
                  </w:r>
                </w:p>
              </w:tc>
              <w:tc>
                <w:tcPr>
                  <w:tcW w:w="527" w:type="pct"/>
                  <w:tcBorders>
                    <w:tl2br w:val="nil"/>
                    <w:tr2bl w:val="nil"/>
                  </w:tcBorders>
                  <w:noWrap w:val="0"/>
                  <w:vAlign w:val="center"/>
                </w:tcPr>
                <w:p w14:paraId="113EBBCD">
                  <w:pPr>
                    <w:widowControl/>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东南风</w:t>
                  </w:r>
                </w:p>
                <w:p w14:paraId="1429AF49">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5.0m/s</w:t>
                  </w:r>
                </w:p>
              </w:tc>
              <w:tc>
                <w:tcPr>
                  <w:tcW w:w="1225" w:type="pct"/>
                  <w:tcBorders>
                    <w:tl2br w:val="nil"/>
                    <w:tr2bl w:val="nil"/>
                  </w:tcBorders>
                  <w:noWrap w:val="0"/>
                  <w:vAlign w:val="center"/>
                </w:tcPr>
                <w:p w14:paraId="34BCEA58">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京杭大运河（淮安区）清水通道维护区内，距离上游黄码大桥省考断面360m</w:t>
                  </w:r>
                </w:p>
              </w:tc>
            </w:tr>
          </w:tbl>
          <w:p w14:paraId="69797621">
            <w:pPr>
              <w:adjustRightInd w:val="0"/>
              <w:snapToGrid w:val="0"/>
              <w:spacing w:line="480" w:lineRule="exact"/>
              <w:ind w:left="420" w:leftChars="200"/>
              <w:rPr>
                <w:rFonts w:hint="eastAsia"/>
                <w:sz w:val="24"/>
                <w:szCs w:val="24"/>
                <w:highlight w:val="none"/>
              </w:rPr>
            </w:pPr>
            <w:r>
              <w:rPr>
                <w:rFonts w:hint="eastAsia"/>
                <w:sz w:val="24"/>
                <w:szCs w:val="24"/>
                <w:highlight w:val="none"/>
              </w:rPr>
              <w:t>3、预测结果</w:t>
            </w:r>
          </w:p>
          <w:p w14:paraId="538C7B5C">
            <w:pPr>
              <w:adjustRightInd w:val="0"/>
              <w:snapToGrid w:val="0"/>
              <w:spacing w:line="480" w:lineRule="exact"/>
              <w:ind w:firstLine="480"/>
              <w:rPr>
                <w:rFonts w:hint="default" w:eastAsia="宋体"/>
                <w:b/>
                <w:snapToGrid w:val="0"/>
                <w:color w:val="auto"/>
                <w:kern w:val="0"/>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（1）工况1（</w:t>
            </w:r>
            <w:r>
              <w:rPr>
                <w:rFonts w:hint="eastAsia" w:cs="Times New Roman"/>
                <w:color w:val="auto"/>
                <w:sz w:val="24"/>
                <w:szCs w:val="24"/>
                <w:highlight w:val="none"/>
                <w:lang w:val="en-US" w:eastAsia="zh-CN"/>
              </w:rPr>
              <w:t>西</w:t>
            </w:r>
            <w:r>
              <w:rPr>
                <w:rFonts w:hint="eastAsia"/>
                <w:color w:val="auto"/>
                <w:sz w:val="24"/>
                <w:szCs w:val="24"/>
                <w:highlight w:val="none"/>
              </w:rPr>
              <w:t>风、</w:t>
            </w:r>
            <w:r>
              <w:rPr>
                <w:rFonts w:hint="eastAsia"/>
                <w:color w:val="auto"/>
                <w:sz w:val="24"/>
                <w:szCs w:val="24"/>
                <w:highlight w:val="none"/>
                <w:lang w:val="en-US" w:eastAsia="zh-CN"/>
              </w:rPr>
              <w:t>丰水期、非调水期</w:t>
            </w:r>
            <w:r>
              <w:rPr>
                <w:rFonts w:hint="eastAsia"/>
                <w:snapToGrid w:val="0"/>
                <w:color w:val="auto"/>
                <w:kern w:val="0"/>
                <w:sz w:val="24"/>
                <w:szCs w:val="24"/>
                <w:highlight w:val="none"/>
              </w:rPr>
              <w:t>涨潮排放</w:t>
            </w:r>
            <w:r>
              <w:rPr>
                <w:rFonts w:hint="eastAsia" w:ascii="Times New Roman" w:hAnsi="Times New Roman" w:eastAsia="宋体" w:cs="Times New Roman"/>
                <w:color w:val="auto"/>
                <w:sz w:val="24"/>
                <w:szCs w:val="24"/>
                <w:highlight w:val="none"/>
                <w:lang w:val="en-US" w:eastAsia="zh-CN"/>
              </w:rPr>
              <w:t>）</w:t>
            </w:r>
            <w:r>
              <w:rPr>
                <w:sz w:val="24"/>
                <w:szCs w:val="24"/>
                <w:highlight w:val="none"/>
              </w:rPr>
              <w:t>风险影响预测分析</w:t>
            </w:r>
          </w:p>
          <w:p w14:paraId="675255B5">
            <w:pPr>
              <w:spacing w:line="480" w:lineRule="exact"/>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在该事故工况下，可能最不利影响目标为较近的京杭大运河（淮安市区）清水通道维护区（0m）和大运河桥省考断面（200m）。由图4.3-3可知，一旦新建南港疏浚施工点处500t级挖泥船碰撞导致燃料油泄漏，油膜瞬间在京杭大运河（淮安市区）清水通道维护区内扩散，在风和水流的作用下，油膜扩散面积逐渐增大并向下游漂移，</w:t>
            </w:r>
            <w:r>
              <w:rPr>
                <w:rFonts w:hint="eastAsia" w:cs="Times New Roman"/>
                <w:color w:val="auto"/>
                <w:sz w:val="24"/>
                <w:szCs w:val="24"/>
                <w:highlight w:val="none"/>
                <w:lang w:val="en-US" w:eastAsia="zh-CN"/>
              </w:rPr>
              <w:t>0.4</w:t>
            </w:r>
            <w:r>
              <w:rPr>
                <w:rFonts w:hint="eastAsia" w:ascii="Times New Roman" w:hAnsi="Times New Roman" w:eastAsia="宋体" w:cs="Times New Roman"/>
                <w:color w:val="auto"/>
                <w:sz w:val="24"/>
                <w:szCs w:val="24"/>
                <w:highlight w:val="none"/>
                <w:lang w:val="en-US" w:eastAsia="zh-CN"/>
              </w:rPr>
              <w:t>h后油膜抵达大运河桥省考断面，油膜厚度为0.0</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mm，</w:t>
            </w:r>
            <w:r>
              <w:rPr>
                <w:rFonts w:hint="eastAsia" w:cs="Times New Roman"/>
                <w:color w:val="auto"/>
                <w:sz w:val="24"/>
                <w:szCs w:val="24"/>
                <w:highlight w:val="none"/>
                <w:lang w:val="en-US" w:eastAsia="zh-CN"/>
              </w:rPr>
              <w:t>0.83</w:t>
            </w:r>
            <w:r>
              <w:rPr>
                <w:rFonts w:hint="eastAsia" w:ascii="Times New Roman" w:hAnsi="Times New Roman" w:eastAsia="宋体" w:cs="Times New Roman"/>
                <w:color w:val="auto"/>
                <w:sz w:val="24"/>
                <w:szCs w:val="24"/>
                <w:highlight w:val="none"/>
                <w:lang w:val="en-US" w:eastAsia="zh-CN"/>
              </w:rPr>
              <w:t>h后油膜漂离大运河桥省考断面，污染影响大大减小。可见一旦发生溢油事故，会对保护目标水质产生一定影响。</w:t>
            </w:r>
            <w:r>
              <w:rPr>
                <w:rFonts w:hint="eastAsia" w:cs="Times New Roman"/>
                <w:b w:val="0"/>
                <w:bCs w:val="0"/>
                <w:color w:val="000000"/>
                <w:sz w:val="24"/>
                <w:szCs w:val="24"/>
                <w:highlight w:val="none"/>
                <w:lang w:val="en-US" w:eastAsia="zh-CN" w:bidi="ar"/>
              </w:rPr>
              <w:t>本工程在采取一系列</w:t>
            </w:r>
            <w:r>
              <w:rPr>
                <w:rFonts w:hint="eastAsia"/>
                <w:sz w:val="24"/>
                <w:highlight w:val="none"/>
                <w:lang w:val="en-US" w:eastAsia="zh-CN"/>
              </w:rPr>
              <w:t>环境风险防范措施后，环境风险可控。</w:t>
            </w:r>
          </w:p>
          <w:p w14:paraId="24048B8C">
            <w:pPr>
              <w:jc w:val="center"/>
              <w:rPr>
                <w:rFonts w:hint="eastAsia" w:eastAsia="宋体"/>
                <w:color w:val="auto"/>
                <w:sz w:val="24"/>
                <w:szCs w:val="24"/>
                <w:highlight w:val="none"/>
                <w:lang w:eastAsia="zh-CN"/>
              </w:rPr>
            </w:pPr>
            <w:r>
              <w:rPr>
                <w:rFonts w:hint="eastAsia" w:eastAsia="宋体"/>
                <w:color w:val="auto"/>
                <w:sz w:val="24"/>
                <w:szCs w:val="24"/>
                <w:highlight w:val="none"/>
                <w:lang w:eastAsia="zh-CN"/>
              </w:rPr>
              <w:drawing>
                <wp:inline distT="0" distB="0" distL="114300" distR="114300">
                  <wp:extent cx="5788660" cy="1663065"/>
                  <wp:effectExtent l="0" t="0" r="2540" b="13335"/>
                  <wp:docPr id="154" name="图片 154" descr="17159118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1715911836869"/>
                          <pic:cNvPicPr>
                            <a:picLocks noChangeAspect="1"/>
                          </pic:cNvPicPr>
                        </pic:nvPicPr>
                        <pic:blipFill>
                          <a:blip r:embed="rId98"/>
                          <a:stretch>
                            <a:fillRect/>
                          </a:stretch>
                        </pic:blipFill>
                        <pic:spPr>
                          <a:xfrm>
                            <a:off x="0" y="0"/>
                            <a:ext cx="5788660" cy="1663065"/>
                          </a:xfrm>
                          <a:prstGeom prst="rect">
                            <a:avLst/>
                          </a:prstGeom>
                        </pic:spPr>
                      </pic:pic>
                    </a:graphicData>
                  </a:graphic>
                </wp:inline>
              </w:drawing>
            </w:r>
          </w:p>
          <w:p w14:paraId="4D899E60">
            <w:pPr>
              <w:pStyle w:val="22"/>
              <w:jc w:val="center"/>
              <w:rPr>
                <w:rFonts w:hint="eastAsia" w:ascii="Times New Roman" w:hAnsi="Times New Roman" w:eastAsia="宋体" w:cs="Times New Roman"/>
                <w:b/>
                <w:bCs/>
                <w:spacing w:val="0"/>
                <w:kern w:val="2"/>
                <w:sz w:val="24"/>
                <w:szCs w:val="24"/>
                <w:lang w:val="en-US" w:eastAsia="zh-CN" w:bidi="ar-SA"/>
              </w:rPr>
            </w:pPr>
            <w:r>
              <w:rPr>
                <w:rFonts w:hint="eastAsia" w:ascii="Times New Roman" w:hAnsi="Times New Roman" w:eastAsia="宋体" w:cs="Times New Roman"/>
                <w:b/>
                <w:bCs/>
                <w:spacing w:val="0"/>
                <w:kern w:val="2"/>
                <w:sz w:val="24"/>
                <w:szCs w:val="24"/>
                <w:lang w:val="en-US" w:eastAsia="zh-CN" w:bidi="ar-SA"/>
              </w:rPr>
              <w:t>图4.3-1  施工期（丰水期/非调水期）南港疏浚施工点处500t级挖泥船碰撞导致燃料油泄漏油膜抵达大运河桥省考断面</w:t>
            </w:r>
          </w:p>
          <w:p w14:paraId="2E6AD7C6">
            <w:pPr>
              <w:adjustRightInd w:val="0"/>
              <w:snapToGrid w:val="0"/>
              <w:spacing w:line="480" w:lineRule="exact"/>
              <w:ind w:firstLine="480"/>
              <w:rPr>
                <w:rFonts w:hint="default" w:eastAsia="宋体"/>
                <w:b/>
                <w:snapToGrid w:val="0"/>
                <w:color w:val="auto"/>
                <w:kern w:val="0"/>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）工况</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（东</w:t>
            </w:r>
            <w:r>
              <w:rPr>
                <w:rFonts w:hint="eastAsia" w:cs="Times New Roman"/>
                <w:color w:val="auto"/>
                <w:sz w:val="24"/>
                <w:szCs w:val="24"/>
                <w:highlight w:val="none"/>
                <w:lang w:val="en-US" w:eastAsia="zh-CN"/>
              </w:rPr>
              <w:t>南</w:t>
            </w:r>
            <w:r>
              <w:rPr>
                <w:rFonts w:hint="eastAsia"/>
                <w:color w:val="auto"/>
                <w:sz w:val="24"/>
                <w:szCs w:val="24"/>
                <w:highlight w:val="none"/>
              </w:rPr>
              <w:t>风、</w:t>
            </w:r>
            <w:r>
              <w:rPr>
                <w:rFonts w:hint="eastAsia"/>
                <w:color w:val="auto"/>
                <w:sz w:val="24"/>
                <w:szCs w:val="24"/>
                <w:highlight w:val="none"/>
                <w:lang w:val="en-US" w:eastAsia="zh-CN"/>
              </w:rPr>
              <w:t>枯水期、调水期</w:t>
            </w:r>
            <w:r>
              <w:rPr>
                <w:rFonts w:hint="eastAsia"/>
                <w:snapToGrid w:val="0"/>
                <w:color w:val="auto"/>
                <w:kern w:val="0"/>
                <w:sz w:val="24"/>
                <w:szCs w:val="24"/>
                <w:highlight w:val="none"/>
              </w:rPr>
              <w:t>排放</w:t>
            </w:r>
            <w:r>
              <w:rPr>
                <w:rFonts w:hint="eastAsia" w:ascii="Times New Roman" w:hAnsi="Times New Roman" w:eastAsia="宋体" w:cs="Times New Roman"/>
                <w:color w:val="auto"/>
                <w:sz w:val="24"/>
                <w:szCs w:val="24"/>
                <w:highlight w:val="none"/>
                <w:lang w:val="en-US" w:eastAsia="zh-CN"/>
              </w:rPr>
              <w:t>）</w:t>
            </w:r>
            <w:r>
              <w:rPr>
                <w:sz w:val="24"/>
                <w:szCs w:val="24"/>
                <w:highlight w:val="none"/>
              </w:rPr>
              <w:t>风险影响预测分析</w:t>
            </w:r>
          </w:p>
          <w:p w14:paraId="278CC7CA">
            <w:pPr>
              <w:spacing w:line="480" w:lineRule="exact"/>
              <w:ind w:firstLine="480" w:firstLineChars="200"/>
              <w:rPr>
                <w:rFonts w:hint="eastAsia"/>
                <w:color w:val="auto"/>
                <w:sz w:val="24"/>
                <w:szCs w:val="24"/>
                <w:highlight w:val="none"/>
              </w:rPr>
            </w:pPr>
            <w:r>
              <w:rPr>
                <w:rFonts w:hint="eastAsia"/>
                <w:color w:val="auto"/>
                <w:sz w:val="24"/>
                <w:szCs w:val="24"/>
                <w:highlight w:val="none"/>
              </w:rPr>
              <w:t>在</w:t>
            </w:r>
            <w:r>
              <w:rPr>
                <w:rFonts w:hint="eastAsia"/>
                <w:color w:val="auto"/>
                <w:sz w:val="24"/>
                <w:szCs w:val="24"/>
                <w:highlight w:val="none"/>
                <w:lang w:val="en-US" w:eastAsia="zh-CN"/>
              </w:rPr>
              <w:t>该</w:t>
            </w:r>
            <w:r>
              <w:rPr>
                <w:color w:val="auto"/>
                <w:sz w:val="24"/>
                <w:szCs w:val="24"/>
                <w:highlight w:val="none"/>
              </w:rPr>
              <w:t>事故工况下可能最不利影响</w:t>
            </w:r>
            <w:r>
              <w:rPr>
                <w:rFonts w:ascii="Times New Roman" w:hAnsi="Times New Roman" w:eastAsia="宋体" w:cs="Times New Roman"/>
                <w:color w:val="auto"/>
                <w:sz w:val="24"/>
                <w:szCs w:val="24"/>
                <w:highlight w:val="none"/>
              </w:rPr>
              <w:t>目标为</w:t>
            </w:r>
            <w:r>
              <w:rPr>
                <w:rFonts w:hint="eastAsia" w:ascii="Times New Roman" w:hAnsi="Times New Roman" w:eastAsia="宋体" w:cs="Times New Roman"/>
                <w:color w:val="auto"/>
                <w:sz w:val="24"/>
                <w:szCs w:val="24"/>
                <w:highlight w:val="none"/>
              </w:rPr>
              <w:t>上游</w:t>
            </w:r>
            <w:r>
              <w:rPr>
                <w:rFonts w:hint="eastAsia" w:ascii="Times New Roman" w:hAnsi="Times New Roman" w:eastAsia="宋体" w:cs="Times New Roman"/>
                <w:color w:val="auto"/>
                <w:sz w:val="24"/>
                <w:szCs w:val="24"/>
                <w:highlight w:val="none"/>
                <w:lang w:val="en-US" w:eastAsia="zh-CN"/>
              </w:rPr>
              <w:t>较近的京杭大运河（淮安区）清水通道维护区（0m）和黄码大桥省考断面（</w:t>
            </w:r>
            <w:r>
              <w:rPr>
                <w:rFonts w:hint="eastAsia" w:cs="Times New Roman"/>
                <w:color w:val="auto"/>
                <w:sz w:val="24"/>
                <w:szCs w:val="24"/>
                <w:highlight w:val="none"/>
                <w:lang w:val="en-US" w:eastAsia="zh-CN"/>
              </w:rPr>
              <w:t>36</w:t>
            </w:r>
            <w:r>
              <w:rPr>
                <w:rFonts w:hint="eastAsia" w:ascii="Times New Roman" w:hAnsi="Times New Roman" w:eastAsia="宋体" w:cs="Times New Roman"/>
                <w:color w:val="auto"/>
                <w:sz w:val="24"/>
                <w:szCs w:val="24"/>
                <w:highlight w:val="none"/>
                <w:lang w:val="en-US" w:eastAsia="zh-CN"/>
              </w:rPr>
              <w:t>0m）。由图4.3-1可知，一旦新建锚地处发生1000t级散货船发生碰撞造成燃料油泄漏，油膜瞬间在京杭大运河（淮安区）清水通道维护区内扩散，在风和水流的作用下，油膜扩散面积逐渐增大并向</w:t>
            </w:r>
            <w:r>
              <w:rPr>
                <w:rFonts w:hint="eastAsia" w:cs="Times New Roman"/>
                <w:color w:val="auto"/>
                <w:sz w:val="24"/>
                <w:szCs w:val="24"/>
                <w:highlight w:val="none"/>
                <w:lang w:val="en-US" w:eastAsia="zh-CN"/>
              </w:rPr>
              <w:t>上</w:t>
            </w:r>
            <w:r>
              <w:rPr>
                <w:rFonts w:hint="eastAsia" w:ascii="Times New Roman" w:hAnsi="Times New Roman" w:eastAsia="宋体" w:cs="Times New Roman"/>
                <w:color w:val="auto"/>
                <w:sz w:val="24"/>
                <w:szCs w:val="24"/>
                <w:highlight w:val="none"/>
                <w:lang w:val="en-US" w:eastAsia="zh-CN"/>
              </w:rPr>
              <w:t>游漂移，0.</w:t>
            </w:r>
            <w:r>
              <w:rPr>
                <w:rFonts w:hint="eastAsia" w:cs="Times New Roman"/>
                <w:color w:val="auto"/>
                <w:sz w:val="24"/>
                <w:szCs w:val="24"/>
                <w:highlight w:val="none"/>
                <w:lang w:val="en-US" w:eastAsia="zh-CN"/>
              </w:rPr>
              <w:t>73</w:t>
            </w:r>
            <w:r>
              <w:rPr>
                <w:rFonts w:ascii="Times New Roman" w:hAnsi="Times New Roman" w:eastAsia="宋体" w:cs="Times New Roman"/>
                <w:color w:val="auto"/>
                <w:sz w:val="24"/>
                <w:szCs w:val="24"/>
                <w:highlight w:val="none"/>
              </w:rPr>
              <w:t>h后油膜抵达</w:t>
            </w:r>
            <w:r>
              <w:rPr>
                <w:rFonts w:hint="eastAsia" w:ascii="Times New Roman" w:hAnsi="Times New Roman" w:eastAsia="宋体" w:cs="Times New Roman"/>
                <w:color w:val="auto"/>
                <w:sz w:val="24"/>
                <w:szCs w:val="24"/>
                <w:highlight w:val="none"/>
                <w:lang w:val="en-US" w:eastAsia="zh-CN"/>
              </w:rPr>
              <w:t>黄码大桥省考断面</w:t>
            </w:r>
            <w:r>
              <w:rPr>
                <w:rFonts w:ascii="Times New Roman" w:hAnsi="Times New Roman" w:eastAsia="宋体" w:cs="Times New Roman"/>
                <w:color w:val="auto"/>
                <w:sz w:val="24"/>
                <w:szCs w:val="24"/>
                <w:highlight w:val="none"/>
              </w:rPr>
              <w:t>，油膜厚度为0.</w:t>
            </w:r>
            <w:r>
              <w:rPr>
                <w:rFonts w:hint="eastAsia" w:ascii="Times New Roman" w:hAnsi="Times New Roman" w:eastAsia="宋体" w:cs="Times New Roman"/>
                <w:color w:val="auto"/>
                <w:sz w:val="24"/>
                <w:szCs w:val="24"/>
                <w:highlight w:val="none"/>
                <w:lang w:val="en-US" w:eastAsia="zh-CN"/>
              </w:rPr>
              <w:t>08</w:t>
            </w:r>
            <w:r>
              <w:rPr>
                <w:rFonts w:ascii="Times New Roman" w:hAnsi="Times New Roman" w:eastAsia="宋体" w:cs="Times New Roman"/>
                <w:color w:val="auto"/>
                <w:sz w:val="24"/>
                <w:szCs w:val="24"/>
                <w:highlight w:val="none"/>
              </w:rPr>
              <w:t>mm，</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05</w:t>
            </w:r>
            <w:r>
              <w:rPr>
                <w:rFonts w:ascii="Times New Roman" w:hAnsi="Times New Roman" w:eastAsia="宋体" w:cs="Times New Roman"/>
                <w:color w:val="auto"/>
                <w:sz w:val="24"/>
                <w:szCs w:val="24"/>
                <w:highlight w:val="none"/>
              </w:rPr>
              <w:t>h后油膜漂离</w:t>
            </w:r>
            <w:r>
              <w:rPr>
                <w:rFonts w:hint="eastAsia" w:ascii="Times New Roman" w:hAnsi="Times New Roman" w:eastAsia="宋体" w:cs="Times New Roman"/>
                <w:color w:val="auto"/>
                <w:sz w:val="24"/>
                <w:szCs w:val="24"/>
                <w:highlight w:val="none"/>
                <w:lang w:val="en-US" w:eastAsia="zh-CN"/>
              </w:rPr>
              <w:t>黄码大桥省考断面</w:t>
            </w:r>
            <w:r>
              <w:rPr>
                <w:rFonts w:ascii="Times New Roman" w:hAnsi="Times New Roman" w:eastAsia="宋体" w:cs="Times New Roman"/>
                <w:color w:val="auto"/>
                <w:sz w:val="24"/>
                <w:szCs w:val="24"/>
                <w:highlight w:val="none"/>
              </w:rPr>
              <w:t>，污染影响大大减小。可见一旦发生溢油事故，会对保护目标水质产生一定影响。</w:t>
            </w:r>
            <w:r>
              <w:rPr>
                <w:rFonts w:hint="eastAsia" w:cs="Times New Roman"/>
                <w:b w:val="0"/>
                <w:bCs w:val="0"/>
                <w:color w:val="000000"/>
                <w:sz w:val="24"/>
                <w:szCs w:val="24"/>
                <w:highlight w:val="none"/>
                <w:lang w:val="en-US" w:eastAsia="zh-CN" w:bidi="ar"/>
              </w:rPr>
              <w:t>本工程在采取一系列</w:t>
            </w:r>
            <w:r>
              <w:rPr>
                <w:rFonts w:hint="eastAsia"/>
                <w:sz w:val="24"/>
                <w:highlight w:val="none"/>
                <w:lang w:val="en-US" w:eastAsia="zh-CN"/>
              </w:rPr>
              <w:t>环境风险防范措施后，环境风险可控。</w:t>
            </w:r>
          </w:p>
          <w:p w14:paraId="0BE6A7B2">
            <w:pPr>
              <w:jc w:val="center"/>
              <w:rPr>
                <w:rFonts w:hint="eastAsia" w:eastAsia="宋体"/>
                <w:color w:val="auto"/>
                <w:sz w:val="24"/>
                <w:szCs w:val="24"/>
                <w:highlight w:val="none"/>
                <w:lang w:eastAsia="zh-CN"/>
              </w:rPr>
            </w:pPr>
            <w:r>
              <w:rPr>
                <w:rFonts w:hint="eastAsia" w:eastAsia="宋体"/>
                <w:color w:val="auto"/>
                <w:sz w:val="24"/>
                <w:szCs w:val="24"/>
                <w:highlight w:val="none"/>
                <w:lang w:eastAsia="zh-CN"/>
              </w:rPr>
              <w:drawing>
                <wp:inline distT="0" distB="0" distL="114300" distR="114300">
                  <wp:extent cx="3088640" cy="3708400"/>
                  <wp:effectExtent l="0" t="0" r="16510" b="6350"/>
                  <wp:docPr id="155" name="图片 155" descr="17159088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1715908825235"/>
                          <pic:cNvPicPr>
                            <a:picLocks noChangeAspect="1"/>
                          </pic:cNvPicPr>
                        </pic:nvPicPr>
                        <pic:blipFill>
                          <a:blip r:embed="rId99"/>
                          <a:stretch>
                            <a:fillRect/>
                          </a:stretch>
                        </pic:blipFill>
                        <pic:spPr>
                          <a:xfrm>
                            <a:off x="0" y="0"/>
                            <a:ext cx="3088640" cy="3708400"/>
                          </a:xfrm>
                          <a:prstGeom prst="rect">
                            <a:avLst/>
                          </a:prstGeom>
                        </pic:spPr>
                      </pic:pic>
                    </a:graphicData>
                  </a:graphic>
                </wp:inline>
              </w:drawing>
            </w:r>
          </w:p>
          <w:p w14:paraId="614E498A">
            <w:pPr>
              <w:pStyle w:val="22"/>
              <w:jc w:val="center"/>
              <w:rPr>
                <w:rFonts w:hint="default" w:ascii="Times New Roman" w:hAnsi="Times New Roman" w:eastAsia="宋体" w:cs="Times New Roman"/>
                <w:b/>
                <w:bCs/>
                <w:spacing w:val="0"/>
                <w:kern w:val="2"/>
                <w:sz w:val="24"/>
                <w:szCs w:val="24"/>
                <w:lang w:val="en-US" w:eastAsia="zh-CN" w:bidi="ar-SA"/>
              </w:rPr>
            </w:pPr>
            <w:r>
              <w:rPr>
                <w:rFonts w:hint="default" w:ascii="Times New Roman" w:hAnsi="Times New Roman" w:eastAsia="宋体" w:cs="Times New Roman"/>
                <w:b/>
                <w:bCs/>
                <w:spacing w:val="0"/>
                <w:kern w:val="2"/>
                <w:sz w:val="24"/>
                <w:szCs w:val="24"/>
                <w:lang w:val="en-US" w:eastAsia="zh-CN" w:bidi="ar-SA"/>
              </w:rPr>
              <w:t>图</w:t>
            </w:r>
            <w:r>
              <w:rPr>
                <w:rFonts w:hint="eastAsia" w:ascii="Times New Roman" w:hAnsi="Times New Roman" w:eastAsia="宋体" w:cs="Times New Roman"/>
                <w:b/>
                <w:bCs/>
                <w:spacing w:val="0"/>
                <w:kern w:val="2"/>
                <w:sz w:val="24"/>
                <w:szCs w:val="24"/>
                <w:lang w:val="en-US" w:eastAsia="zh-CN" w:bidi="ar-SA"/>
              </w:rPr>
              <w:t>4.3</w:t>
            </w:r>
            <w:r>
              <w:rPr>
                <w:rFonts w:hint="default" w:ascii="Times New Roman" w:hAnsi="Times New Roman" w:eastAsia="宋体" w:cs="Times New Roman"/>
                <w:b/>
                <w:bCs/>
                <w:spacing w:val="0"/>
                <w:kern w:val="2"/>
                <w:sz w:val="24"/>
                <w:szCs w:val="24"/>
                <w:lang w:val="en-US" w:eastAsia="zh-CN" w:bidi="ar-SA"/>
              </w:rPr>
              <w:t>-</w:t>
            </w:r>
            <w:r>
              <w:rPr>
                <w:rFonts w:hint="eastAsia" w:ascii="Times New Roman" w:hAnsi="Times New Roman" w:eastAsia="宋体" w:cs="Times New Roman"/>
                <w:b/>
                <w:bCs/>
                <w:spacing w:val="0"/>
                <w:kern w:val="2"/>
                <w:sz w:val="24"/>
                <w:szCs w:val="24"/>
                <w:lang w:val="en-US" w:eastAsia="zh-CN" w:bidi="ar-SA"/>
              </w:rPr>
              <w:t>2</w:t>
            </w:r>
            <w:r>
              <w:rPr>
                <w:rFonts w:hint="default" w:ascii="Times New Roman" w:hAnsi="Times New Roman" w:eastAsia="宋体" w:cs="Times New Roman"/>
                <w:b/>
                <w:bCs/>
                <w:spacing w:val="0"/>
                <w:kern w:val="2"/>
                <w:sz w:val="24"/>
                <w:szCs w:val="24"/>
                <w:lang w:val="en-US" w:eastAsia="zh-CN" w:bidi="ar-SA"/>
              </w:rPr>
              <w:t xml:space="preserve"> </w:t>
            </w:r>
            <w:r>
              <w:rPr>
                <w:rFonts w:hint="eastAsia" w:ascii="Times New Roman" w:hAnsi="Times New Roman" w:eastAsia="宋体" w:cs="Times New Roman"/>
                <w:b/>
                <w:bCs/>
                <w:spacing w:val="0"/>
                <w:kern w:val="2"/>
                <w:sz w:val="24"/>
                <w:szCs w:val="24"/>
                <w:lang w:val="en-US" w:eastAsia="zh-CN" w:bidi="ar-SA"/>
              </w:rPr>
              <w:t xml:space="preserve"> 运营期（枯水期/调水期）新建锚地处1000t级散货船发生碰撞造成燃料油泄漏油膜到达黄码大桥省考断面</w:t>
            </w:r>
          </w:p>
          <w:p w14:paraId="355479A5">
            <w:pPr>
              <w:adjustRightInd w:val="0"/>
              <w:snapToGrid w:val="0"/>
              <w:spacing w:before="156" w:beforeLines="50"/>
              <w:ind w:firstLine="482"/>
              <w:jc w:val="left"/>
              <w:rPr>
                <w:b/>
                <w:color w:val="auto"/>
                <w:sz w:val="24"/>
                <w:szCs w:val="24"/>
                <w:highlight w:val="none"/>
              </w:rPr>
            </w:pPr>
            <w:r>
              <w:rPr>
                <w:rFonts w:hint="eastAsia"/>
                <w:b/>
                <w:color w:val="auto"/>
                <w:sz w:val="24"/>
                <w:szCs w:val="24"/>
                <w:highlight w:val="none"/>
                <w:lang w:val="en-US" w:eastAsia="zh-CN"/>
              </w:rPr>
              <w:t>三</w:t>
            </w:r>
            <w:r>
              <w:rPr>
                <w:b/>
                <w:color w:val="auto"/>
                <w:sz w:val="24"/>
                <w:szCs w:val="24"/>
                <w:highlight w:val="none"/>
              </w:rPr>
              <w:t>、环境风险事故对环境敏感区的影响汇总</w:t>
            </w:r>
          </w:p>
          <w:p w14:paraId="6F7A56B8">
            <w:pPr>
              <w:adjustRightInd w:val="0"/>
              <w:snapToGrid w:val="0"/>
              <w:spacing w:line="480" w:lineRule="exact"/>
              <w:ind w:firstLine="480"/>
              <w:rPr>
                <w:color w:val="auto"/>
                <w:sz w:val="24"/>
                <w:szCs w:val="24"/>
                <w:highlight w:val="none"/>
              </w:rPr>
            </w:pPr>
            <w:r>
              <w:rPr>
                <w:color w:val="auto"/>
                <w:sz w:val="24"/>
                <w:szCs w:val="24"/>
                <w:highlight w:val="none"/>
              </w:rPr>
              <w:t>根据前述预测结果，本次规划实施后的环境风险事故对水环境敏感区的最大影响情况见表</w:t>
            </w:r>
            <w:r>
              <w:rPr>
                <w:rFonts w:hint="eastAsia"/>
                <w:color w:val="auto"/>
                <w:sz w:val="24"/>
                <w:szCs w:val="24"/>
                <w:highlight w:val="none"/>
                <w:lang w:val="en-US" w:eastAsia="zh-CN"/>
              </w:rPr>
              <w:t>4</w:t>
            </w:r>
            <w:r>
              <w:rPr>
                <w:rFonts w:hint="eastAsia"/>
                <w:color w:val="auto"/>
                <w:sz w:val="24"/>
                <w:szCs w:val="24"/>
                <w:highlight w:val="none"/>
              </w:rPr>
              <w:t>.3-</w:t>
            </w:r>
            <w:r>
              <w:rPr>
                <w:rFonts w:hint="eastAsia"/>
                <w:color w:val="auto"/>
                <w:sz w:val="24"/>
                <w:szCs w:val="24"/>
                <w:highlight w:val="none"/>
                <w:lang w:val="en-US" w:eastAsia="zh-CN"/>
              </w:rPr>
              <w:t>6</w:t>
            </w:r>
            <w:r>
              <w:rPr>
                <w:color w:val="auto"/>
                <w:sz w:val="24"/>
                <w:szCs w:val="24"/>
                <w:highlight w:val="none"/>
              </w:rPr>
              <w:t>。</w:t>
            </w:r>
          </w:p>
          <w:p w14:paraId="71CE1C3E">
            <w:pPr>
              <w:spacing w:line="480" w:lineRule="exact"/>
              <w:jc w:val="center"/>
              <w:rPr>
                <w:rFonts w:eastAsia="黑体"/>
                <w:color w:val="auto"/>
                <w:sz w:val="24"/>
                <w:szCs w:val="24"/>
                <w:highlight w:val="none"/>
              </w:rPr>
            </w:pPr>
            <w:r>
              <w:rPr>
                <w:rFonts w:hint="default" w:ascii="Times New Roman" w:hAnsi="Times New Roman" w:eastAsia="宋体" w:cs="Times New Roman"/>
                <w:b/>
                <w:bCs/>
                <w:kern w:val="2"/>
                <w:sz w:val="24"/>
                <w:szCs w:val="24"/>
                <w:lang w:val="en-US" w:eastAsia="zh-CN" w:bidi="ar-SA"/>
              </w:rPr>
              <w:t>表</w:t>
            </w:r>
            <w:r>
              <w:rPr>
                <w:rFonts w:hint="eastAsia" w:ascii="Times New Roman" w:hAnsi="Times New Roman" w:eastAsia="宋体" w:cs="Times New Roman"/>
                <w:b/>
                <w:bCs/>
                <w:kern w:val="2"/>
                <w:sz w:val="24"/>
                <w:szCs w:val="24"/>
                <w:lang w:val="en-US" w:eastAsia="zh-CN" w:bidi="ar-SA"/>
              </w:rPr>
              <w:t>4.3-6</w:t>
            </w:r>
            <w:r>
              <w:rPr>
                <w:rFonts w:hint="default" w:ascii="Times New Roman" w:hAnsi="Times New Roman" w:eastAsia="宋体" w:cs="Times New Roman"/>
                <w:b/>
                <w:bCs/>
                <w:kern w:val="2"/>
                <w:sz w:val="24"/>
                <w:szCs w:val="24"/>
                <w:lang w:val="en-US" w:eastAsia="zh-CN" w:bidi="ar-SA"/>
              </w:rPr>
              <w:t xml:space="preserve">  溢油风险事故水环境敏感区的最大影响情况汇总表</w:t>
            </w:r>
          </w:p>
          <w:tbl>
            <w:tblPr>
              <w:tblStyle w:val="89"/>
              <w:tblW w:w="91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860"/>
              <w:gridCol w:w="2510"/>
              <w:gridCol w:w="1494"/>
              <w:gridCol w:w="894"/>
              <w:gridCol w:w="779"/>
            </w:tblGrid>
            <w:tr w14:paraId="7FAC3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99" w:type="dxa"/>
                  <w:tcBorders>
                    <w:tl2br w:val="nil"/>
                    <w:tr2bl w:val="nil"/>
                  </w:tcBorders>
                  <w:noWrap w:val="0"/>
                  <w:vAlign w:val="center"/>
                </w:tcPr>
                <w:p w14:paraId="54E3C861">
                  <w:pPr>
                    <w:jc w:val="center"/>
                    <w:rPr>
                      <w:b/>
                      <w:bCs/>
                      <w:color w:val="auto"/>
                      <w:sz w:val="21"/>
                      <w:szCs w:val="21"/>
                      <w:highlight w:val="none"/>
                    </w:rPr>
                  </w:pPr>
                  <w:r>
                    <w:rPr>
                      <w:b/>
                      <w:bCs/>
                      <w:color w:val="auto"/>
                      <w:sz w:val="21"/>
                      <w:szCs w:val="21"/>
                      <w:highlight w:val="none"/>
                    </w:rPr>
                    <w:t>序号</w:t>
                  </w:r>
                </w:p>
              </w:tc>
              <w:tc>
                <w:tcPr>
                  <w:tcW w:w="2860" w:type="dxa"/>
                  <w:tcBorders>
                    <w:tl2br w:val="nil"/>
                    <w:tr2bl w:val="nil"/>
                  </w:tcBorders>
                  <w:noWrap w:val="0"/>
                  <w:vAlign w:val="center"/>
                </w:tcPr>
                <w:p w14:paraId="6BCB3091">
                  <w:pPr>
                    <w:jc w:val="center"/>
                    <w:rPr>
                      <w:b/>
                      <w:bCs/>
                      <w:color w:val="auto"/>
                      <w:sz w:val="21"/>
                      <w:szCs w:val="21"/>
                      <w:highlight w:val="none"/>
                    </w:rPr>
                  </w:pPr>
                  <w:r>
                    <w:rPr>
                      <w:b/>
                      <w:bCs/>
                      <w:color w:val="auto"/>
                      <w:sz w:val="21"/>
                      <w:szCs w:val="21"/>
                      <w:highlight w:val="none"/>
                    </w:rPr>
                    <w:t>水环境敏感区名称</w:t>
                  </w:r>
                </w:p>
              </w:tc>
              <w:tc>
                <w:tcPr>
                  <w:tcW w:w="2510" w:type="dxa"/>
                  <w:tcBorders>
                    <w:tl2br w:val="nil"/>
                    <w:tr2bl w:val="nil"/>
                  </w:tcBorders>
                  <w:noWrap w:val="0"/>
                  <w:vAlign w:val="center"/>
                </w:tcPr>
                <w:p w14:paraId="05A04C3E">
                  <w:pPr>
                    <w:jc w:val="center"/>
                    <w:rPr>
                      <w:rFonts w:hint="eastAsia"/>
                      <w:b/>
                      <w:bCs/>
                      <w:color w:val="auto"/>
                      <w:sz w:val="21"/>
                      <w:szCs w:val="21"/>
                      <w:highlight w:val="none"/>
                      <w:lang w:val="en-US" w:eastAsia="zh-CN"/>
                    </w:rPr>
                  </w:pPr>
                  <w:r>
                    <w:rPr>
                      <w:b/>
                      <w:bCs/>
                      <w:color w:val="auto"/>
                      <w:sz w:val="21"/>
                      <w:szCs w:val="21"/>
                      <w:highlight w:val="none"/>
                    </w:rPr>
                    <w:t>最不利事故</w:t>
                  </w:r>
                  <w:r>
                    <w:rPr>
                      <w:rFonts w:hint="eastAsia"/>
                      <w:b/>
                      <w:bCs/>
                      <w:color w:val="auto"/>
                      <w:sz w:val="21"/>
                      <w:szCs w:val="21"/>
                      <w:highlight w:val="none"/>
                      <w:lang w:val="en-US" w:eastAsia="zh-CN"/>
                    </w:rPr>
                    <w:t>情景</w:t>
                  </w:r>
                </w:p>
              </w:tc>
              <w:tc>
                <w:tcPr>
                  <w:tcW w:w="1494" w:type="dxa"/>
                  <w:tcBorders>
                    <w:tl2br w:val="nil"/>
                    <w:tr2bl w:val="nil"/>
                  </w:tcBorders>
                  <w:noWrap w:val="0"/>
                  <w:vAlign w:val="center"/>
                </w:tcPr>
                <w:p w14:paraId="18ABFB5B">
                  <w:pPr>
                    <w:jc w:val="center"/>
                    <w:rPr>
                      <w:b/>
                      <w:bCs/>
                      <w:color w:val="auto"/>
                      <w:sz w:val="21"/>
                      <w:szCs w:val="21"/>
                      <w:highlight w:val="none"/>
                    </w:rPr>
                  </w:pPr>
                  <w:r>
                    <w:rPr>
                      <w:b/>
                      <w:bCs/>
                      <w:color w:val="auto"/>
                      <w:sz w:val="21"/>
                      <w:szCs w:val="21"/>
                      <w:highlight w:val="none"/>
                    </w:rPr>
                    <w:t>最不利水文条件</w:t>
                  </w:r>
                </w:p>
              </w:tc>
              <w:tc>
                <w:tcPr>
                  <w:tcW w:w="894" w:type="dxa"/>
                  <w:tcBorders>
                    <w:tl2br w:val="nil"/>
                    <w:tr2bl w:val="nil"/>
                  </w:tcBorders>
                  <w:noWrap w:val="0"/>
                  <w:vAlign w:val="center"/>
                </w:tcPr>
                <w:p w14:paraId="6BED39C0">
                  <w:pPr>
                    <w:jc w:val="center"/>
                    <w:rPr>
                      <w:rFonts w:hint="eastAsia"/>
                      <w:b/>
                      <w:bCs/>
                      <w:color w:val="auto"/>
                      <w:sz w:val="21"/>
                      <w:szCs w:val="21"/>
                      <w:highlight w:val="none"/>
                      <w:lang w:eastAsia="zh-CN"/>
                    </w:rPr>
                  </w:pPr>
                  <w:r>
                    <w:rPr>
                      <w:b/>
                      <w:bCs/>
                      <w:color w:val="auto"/>
                      <w:sz w:val="21"/>
                      <w:szCs w:val="21"/>
                      <w:highlight w:val="none"/>
                    </w:rPr>
                    <w:t>最早到达时间</w:t>
                  </w:r>
                </w:p>
              </w:tc>
              <w:tc>
                <w:tcPr>
                  <w:tcW w:w="779" w:type="dxa"/>
                  <w:tcBorders>
                    <w:tl2br w:val="nil"/>
                    <w:tr2bl w:val="nil"/>
                  </w:tcBorders>
                  <w:noWrap w:val="0"/>
                  <w:vAlign w:val="top"/>
                </w:tcPr>
                <w:p w14:paraId="5AD8C571">
                  <w:pPr>
                    <w:jc w:val="center"/>
                    <w:rPr>
                      <w:b/>
                      <w:bCs/>
                      <w:color w:val="auto"/>
                      <w:sz w:val="21"/>
                      <w:szCs w:val="21"/>
                      <w:highlight w:val="none"/>
                    </w:rPr>
                  </w:pPr>
                  <w:r>
                    <w:rPr>
                      <w:b/>
                      <w:bCs/>
                      <w:color w:val="auto"/>
                      <w:sz w:val="21"/>
                      <w:szCs w:val="21"/>
                      <w:highlight w:val="none"/>
                    </w:rPr>
                    <w:t>持续</w:t>
                  </w:r>
                </w:p>
                <w:p w14:paraId="7627E262">
                  <w:pPr>
                    <w:jc w:val="center"/>
                    <w:rPr>
                      <w:b/>
                      <w:bCs/>
                      <w:color w:val="auto"/>
                      <w:sz w:val="21"/>
                      <w:szCs w:val="21"/>
                      <w:highlight w:val="none"/>
                    </w:rPr>
                  </w:pPr>
                  <w:r>
                    <w:rPr>
                      <w:b/>
                      <w:bCs/>
                      <w:color w:val="auto"/>
                      <w:sz w:val="21"/>
                      <w:szCs w:val="21"/>
                      <w:highlight w:val="none"/>
                    </w:rPr>
                    <w:t>时间</w:t>
                  </w:r>
                </w:p>
              </w:tc>
            </w:tr>
            <w:tr w14:paraId="1BFCC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99" w:type="dxa"/>
                  <w:tcBorders>
                    <w:tl2br w:val="nil"/>
                    <w:tr2bl w:val="nil"/>
                  </w:tcBorders>
                  <w:noWrap w:val="0"/>
                  <w:vAlign w:val="center"/>
                </w:tcPr>
                <w:p w14:paraId="29FA1896">
                  <w:pPr>
                    <w:jc w:val="center"/>
                    <w:rPr>
                      <w:rFonts w:hint="eastAsia"/>
                      <w:color w:val="auto"/>
                      <w:sz w:val="21"/>
                      <w:szCs w:val="21"/>
                      <w:highlight w:val="none"/>
                    </w:rPr>
                  </w:pPr>
                  <w:r>
                    <w:rPr>
                      <w:rFonts w:hint="eastAsia"/>
                      <w:color w:val="auto"/>
                      <w:sz w:val="21"/>
                      <w:szCs w:val="21"/>
                      <w:highlight w:val="none"/>
                    </w:rPr>
                    <w:t>1</w:t>
                  </w:r>
                </w:p>
              </w:tc>
              <w:tc>
                <w:tcPr>
                  <w:tcW w:w="2860" w:type="dxa"/>
                  <w:tcBorders>
                    <w:tl2br w:val="nil"/>
                    <w:tr2bl w:val="nil"/>
                  </w:tcBorders>
                  <w:noWrap w:val="0"/>
                  <w:vAlign w:val="center"/>
                </w:tcPr>
                <w:p w14:paraId="051233E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京杭大运河（淮安市区）清水通道维护区</w:t>
                  </w:r>
                </w:p>
              </w:tc>
              <w:tc>
                <w:tcPr>
                  <w:tcW w:w="2510" w:type="dxa"/>
                  <w:vMerge w:val="restart"/>
                  <w:tcBorders>
                    <w:tl2br w:val="nil"/>
                    <w:tr2bl w:val="nil"/>
                  </w:tcBorders>
                  <w:noWrap w:val="0"/>
                  <w:vAlign w:val="center"/>
                </w:tcPr>
                <w:p w14:paraId="34FAFC0F">
                  <w:pPr>
                    <w:jc w:val="center"/>
                    <w:rPr>
                      <w:rFonts w:hint="eastAsia"/>
                      <w:color w:val="auto"/>
                      <w:sz w:val="21"/>
                      <w:szCs w:val="21"/>
                      <w:highlight w:val="none"/>
                      <w:lang w:val="en-US" w:eastAsia="zh-CN"/>
                    </w:rPr>
                  </w:pPr>
                  <w:r>
                    <w:rPr>
                      <w:rFonts w:hint="eastAsia"/>
                      <w:color w:val="auto"/>
                      <w:sz w:val="21"/>
                      <w:szCs w:val="21"/>
                      <w:highlight w:val="none"/>
                      <w:lang w:val="en-US" w:eastAsia="zh-CN"/>
                    </w:rPr>
                    <w:t>南港疏浚施工点处</w:t>
                  </w:r>
                  <w:r>
                    <w:rPr>
                      <w:color w:val="auto"/>
                      <w:sz w:val="21"/>
                      <w:szCs w:val="21"/>
                      <w:highlight w:val="none"/>
                    </w:rPr>
                    <w:t>500t级挖泥船发生碰撞导致燃料油泄漏</w:t>
                  </w:r>
                </w:p>
              </w:tc>
              <w:tc>
                <w:tcPr>
                  <w:tcW w:w="1494" w:type="dxa"/>
                  <w:vMerge w:val="restart"/>
                  <w:tcBorders>
                    <w:tl2br w:val="nil"/>
                    <w:tr2bl w:val="nil"/>
                  </w:tcBorders>
                  <w:noWrap w:val="0"/>
                  <w:vAlign w:val="center"/>
                </w:tcPr>
                <w:p w14:paraId="44C4DFB7">
                  <w:pPr>
                    <w:jc w:val="center"/>
                    <w:rPr>
                      <w:rFonts w:hint="eastAsia"/>
                      <w:color w:val="auto"/>
                      <w:sz w:val="21"/>
                      <w:szCs w:val="21"/>
                      <w:highlight w:val="none"/>
                      <w:lang w:val="en-US" w:eastAsia="zh-CN"/>
                    </w:rPr>
                  </w:pPr>
                  <w:r>
                    <w:rPr>
                      <w:rFonts w:hint="eastAsia"/>
                      <w:color w:val="auto"/>
                      <w:sz w:val="21"/>
                      <w:szCs w:val="21"/>
                      <w:highlight w:val="none"/>
                      <w:lang w:val="en-US" w:eastAsia="zh-CN"/>
                    </w:rPr>
                    <w:t>施工期</w:t>
                  </w:r>
                </w:p>
                <w:p w14:paraId="0390775D">
                  <w:pPr>
                    <w:jc w:val="center"/>
                    <w:rPr>
                      <w:rFonts w:hint="eastAsia"/>
                      <w:color w:val="auto"/>
                      <w:sz w:val="21"/>
                      <w:szCs w:val="21"/>
                      <w:highlight w:val="none"/>
                      <w:lang w:val="en-US" w:eastAsia="zh-CN"/>
                    </w:rPr>
                  </w:pPr>
                  <w:r>
                    <w:rPr>
                      <w:rFonts w:hint="eastAsia"/>
                      <w:color w:val="auto"/>
                      <w:sz w:val="21"/>
                      <w:szCs w:val="21"/>
                      <w:highlight w:val="none"/>
                      <w:lang w:val="en-US" w:eastAsia="zh-CN"/>
                    </w:rPr>
                    <w:t>（非调水期）</w:t>
                  </w:r>
                </w:p>
              </w:tc>
              <w:tc>
                <w:tcPr>
                  <w:tcW w:w="894" w:type="dxa"/>
                  <w:tcBorders>
                    <w:tl2br w:val="nil"/>
                    <w:tr2bl w:val="nil"/>
                  </w:tcBorders>
                  <w:noWrap w:val="0"/>
                  <w:vAlign w:val="center"/>
                </w:tcPr>
                <w:p w14:paraId="4F5C8204">
                  <w:pPr>
                    <w:jc w:val="center"/>
                    <w:rPr>
                      <w:rFonts w:hint="eastAsia" w:eastAsia="宋体"/>
                      <w:color w:val="auto"/>
                      <w:sz w:val="21"/>
                      <w:szCs w:val="21"/>
                      <w:highlight w:val="none"/>
                      <w:lang w:eastAsia="zh-CN"/>
                    </w:rPr>
                  </w:pPr>
                  <w:r>
                    <w:rPr>
                      <w:rFonts w:hint="eastAsia"/>
                      <w:color w:val="auto"/>
                      <w:sz w:val="21"/>
                      <w:szCs w:val="21"/>
                      <w:highlight w:val="none"/>
                      <w:lang w:val="en-US" w:eastAsia="zh-CN"/>
                    </w:rPr>
                    <w:t>0</w:t>
                  </w:r>
                </w:p>
              </w:tc>
              <w:tc>
                <w:tcPr>
                  <w:tcW w:w="779" w:type="dxa"/>
                  <w:tcBorders>
                    <w:tl2br w:val="nil"/>
                    <w:tr2bl w:val="nil"/>
                  </w:tcBorders>
                  <w:noWrap w:val="0"/>
                  <w:vAlign w:val="center"/>
                </w:tcPr>
                <w:p w14:paraId="51FC2ED9">
                  <w:pPr>
                    <w:jc w:val="center"/>
                    <w:rPr>
                      <w:rFonts w:hint="eastAsia"/>
                      <w:color w:val="auto"/>
                      <w:sz w:val="21"/>
                      <w:szCs w:val="21"/>
                      <w:highlight w:val="none"/>
                    </w:rPr>
                  </w:pPr>
                  <w:r>
                    <w:rPr>
                      <w:rFonts w:hint="eastAsia"/>
                      <w:color w:val="auto"/>
                      <w:sz w:val="21"/>
                      <w:szCs w:val="21"/>
                      <w:highlight w:val="none"/>
                    </w:rPr>
                    <w:t>-</w:t>
                  </w:r>
                </w:p>
              </w:tc>
            </w:tr>
            <w:tr w14:paraId="12326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599" w:type="dxa"/>
                  <w:tcBorders>
                    <w:tl2br w:val="nil"/>
                    <w:tr2bl w:val="nil"/>
                  </w:tcBorders>
                  <w:noWrap w:val="0"/>
                  <w:vAlign w:val="center"/>
                </w:tcPr>
                <w:p w14:paraId="4555A994">
                  <w:pPr>
                    <w:jc w:val="center"/>
                    <w:rPr>
                      <w:rFonts w:hint="eastAsia"/>
                      <w:color w:val="auto"/>
                      <w:sz w:val="21"/>
                      <w:szCs w:val="21"/>
                      <w:highlight w:val="none"/>
                    </w:rPr>
                  </w:pPr>
                  <w:r>
                    <w:rPr>
                      <w:rFonts w:hint="eastAsia"/>
                      <w:color w:val="auto"/>
                      <w:sz w:val="21"/>
                      <w:szCs w:val="21"/>
                      <w:highlight w:val="none"/>
                    </w:rPr>
                    <w:t>2</w:t>
                  </w:r>
                </w:p>
              </w:tc>
              <w:tc>
                <w:tcPr>
                  <w:tcW w:w="2860" w:type="dxa"/>
                  <w:tcBorders>
                    <w:tl2br w:val="nil"/>
                    <w:tr2bl w:val="nil"/>
                  </w:tcBorders>
                  <w:noWrap w:val="0"/>
                  <w:vAlign w:val="center"/>
                </w:tcPr>
                <w:p w14:paraId="38364000">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大运河桥省考断面</w:t>
                  </w:r>
                </w:p>
              </w:tc>
              <w:tc>
                <w:tcPr>
                  <w:tcW w:w="2510" w:type="dxa"/>
                  <w:vMerge w:val="continue"/>
                  <w:tcBorders>
                    <w:tl2br w:val="nil"/>
                    <w:tr2bl w:val="nil"/>
                  </w:tcBorders>
                  <w:noWrap w:val="0"/>
                  <w:vAlign w:val="center"/>
                </w:tcPr>
                <w:p w14:paraId="4EB2272E">
                  <w:pPr>
                    <w:jc w:val="center"/>
                    <w:rPr>
                      <w:rFonts w:hint="eastAsia"/>
                      <w:color w:val="auto"/>
                      <w:sz w:val="21"/>
                      <w:szCs w:val="21"/>
                      <w:highlight w:val="none"/>
                      <w:lang w:val="en-US" w:eastAsia="zh-CN"/>
                    </w:rPr>
                  </w:pPr>
                </w:p>
              </w:tc>
              <w:tc>
                <w:tcPr>
                  <w:tcW w:w="1494" w:type="dxa"/>
                  <w:vMerge w:val="continue"/>
                  <w:tcBorders>
                    <w:tl2br w:val="nil"/>
                    <w:tr2bl w:val="nil"/>
                  </w:tcBorders>
                  <w:noWrap w:val="0"/>
                  <w:vAlign w:val="center"/>
                </w:tcPr>
                <w:p w14:paraId="1C733C87">
                  <w:pPr>
                    <w:jc w:val="center"/>
                    <w:rPr>
                      <w:color w:val="auto"/>
                      <w:sz w:val="21"/>
                      <w:szCs w:val="21"/>
                      <w:highlight w:val="none"/>
                    </w:rPr>
                  </w:pPr>
                </w:p>
              </w:tc>
              <w:tc>
                <w:tcPr>
                  <w:tcW w:w="894" w:type="dxa"/>
                  <w:tcBorders>
                    <w:tl2br w:val="nil"/>
                    <w:tr2bl w:val="nil"/>
                  </w:tcBorders>
                  <w:noWrap w:val="0"/>
                  <w:vAlign w:val="center"/>
                </w:tcPr>
                <w:p w14:paraId="7B399BA8">
                  <w:pPr>
                    <w:jc w:val="center"/>
                    <w:rPr>
                      <w:rFonts w:hint="default"/>
                      <w:color w:val="auto"/>
                      <w:sz w:val="21"/>
                      <w:szCs w:val="21"/>
                      <w:highlight w:val="none"/>
                      <w:lang w:val="en-US" w:eastAsia="zh-CN"/>
                    </w:rPr>
                  </w:pPr>
                  <w:r>
                    <w:rPr>
                      <w:rFonts w:hint="eastAsia"/>
                      <w:color w:val="auto"/>
                      <w:sz w:val="21"/>
                      <w:szCs w:val="21"/>
                      <w:highlight w:val="none"/>
                      <w:lang w:val="en-US" w:eastAsia="zh-CN"/>
                    </w:rPr>
                    <w:t>0.4</w:t>
                  </w:r>
                </w:p>
              </w:tc>
              <w:tc>
                <w:tcPr>
                  <w:tcW w:w="779" w:type="dxa"/>
                  <w:tcBorders>
                    <w:tl2br w:val="nil"/>
                    <w:tr2bl w:val="nil"/>
                  </w:tcBorders>
                  <w:noWrap w:val="0"/>
                  <w:vAlign w:val="center"/>
                </w:tcPr>
                <w:p w14:paraId="07A021B9">
                  <w:pPr>
                    <w:jc w:val="center"/>
                    <w:rPr>
                      <w:rFonts w:hint="default"/>
                      <w:color w:val="auto"/>
                      <w:sz w:val="21"/>
                      <w:szCs w:val="21"/>
                      <w:highlight w:val="none"/>
                      <w:lang w:val="en-US" w:eastAsia="zh-CN"/>
                    </w:rPr>
                  </w:pPr>
                  <w:r>
                    <w:rPr>
                      <w:rFonts w:hint="eastAsia"/>
                      <w:color w:val="auto"/>
                      <w:sz w:val="21"/>
                      <w:szCs w:val="21"/>
                      <w:highlight w:val="none"/>
                      <w:lang w:val="en-US" w:eastAsia="zh-CN"/>
                    </w:rPr>
                    <w:t>0.83</w:t>
                  </w:r>
                </w:p>
              </w:tc>
            </w:tr>
            <w:tr w14:paraId="23341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tcBorders>
                    <w:tl2br w:val="nil"/>
                    <w:tr2bl w:val="nil"/>
                  </w:tcBorders>
                  <w:noWrap w:val="0"/>
                  <w:vAlign w:val="center"/>
                </w:tcPr>
                <w:p w14:paraId="5EF7D6B0">
                  <w:pPr>
                    <w:jc w:val="center"/>
                    <w:rPr>
                      <w:rFonts w:hint="eastAsia"/>
                      <w:color w:val="auto"/>
                      <w:sz w:val="21"/>
                      <w:szCs w:val="21"/>
                      <w:highlight w:val="none"/>
                    </w:rPr>
                  </w:pPr>
                  <w:r>
                    <w:rPr>
                      <w:rFonts w:hint="eastAsia"/>
                      <w:color w:val="auto"/>
                      <w:sz w:val="21"/>
                      <w:szCs w:val="21"/>
                      <w:highlight w:val="none"/>
                    </w:rPr>
                    <w:t>3</w:t>
                  </w:r>
                </w:p>
              </w:tc>
              <w:tc>
                <w:tcPr>
                  <w:tcW w:w="2860" w:type="dxa"/>
                  <w:tcBorders>
                    <w:tl2br w:val="nil"/>
                    <w:tr2bl w:val="nil"/>
                  </w:tcBorders>
                  <w:noWrap w:val="0"/>
                  <w:vAlign w:val="center"/>
                </w:tcPr>
                <w:p w14:paraId="079E7931">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京杭大运河（淮安区）清水通道维护区</w:t>
                  </w:r>
                </w:p>
              </w:tc>
              <w:tc>
                <w:tcPr>
                  <w:tcW w:w="2510" w:type="dxa"/>
                  <w:vMerge w:val="restart"/>
                  <w:tcBorders>
                    <w:tl2br w:val="nil"/>
                    <w:tr2bl w:val="nil"/>
                  </w:tcBorders>
                  <w:noWrap w:val="0"/>
                  <w:vAlign w:val="center"/>
                </w:tcPr>
                <w:p w14:paraId="7A117ED3">
                  <w:pPr>
                    <w:jc w:val="center"/>
                    <w:rPr>
                      <w:rFonts w:hint="eastAsia"/>
                      <w:color w:val="auto"/>
                      <w:sz w:val="21"/>
                      <w:szCs w:val="21"/>
                      <w:highlight w:val="none"/>
                      <w:lang w:val="en-US" w:eastAsia="zh-CN"/>
                    </w:rPr>
                  </w:pPr>
                  <w:r>
                    <w:rPr>
                      <w:rFonts w:hint="eastAsia"/>
                      <w:color w:val="auto"/>
                      <w:sz w:val="21"/>
                      <w:szCs w:val="21"/>
                      <w:highlight w:val="none"/>
                      <w:lang w:val="en-US" w:eastAsia="zh-CN"/>
                    </w:rPr>
                    <w:t>新建锚地处1</w:t>
                  </w:r>
                  <w:r>
                    <w:rPr>
                      <w:color w:val="auto"/>
                      <w:sz w:val="21"/>
                      <w:szCs w:val="21"/>
                      <w:highlight w:val="none"/>
                    </w:rPr>
                    <w:t>000t级散货船发生碰撞导致燃料油泄漏</w:t>
                  </w:r>
                </w:p>
              </w:tc>
              <w:tc>
                <w:tcPr>
                  <w:tcW w:w="1494" w:type="dxa"/>
                  <w:vMerge w:val="restart"/>
                  <w:tcBorders>
                    <w:tl2br w:val="nil"/>
                    <w:tr2bl w:val="nil"/>
                  </w:tcBorders>
                  <w:noWrap w:val="0"/>
                  <w:vAlign w:val="center"/>
                </w:tcPr>
                <w:p w14:paraId="7388ACBB">
                  <w:pPr>
                    <w:jc w:val="center"/>
                    <w:rPr>
                      <w:rFonts w:hint="eastAsia"/>
                      <w:color w:val="auto"/>
                      <w:sz w:val="21"/>
                      <w:szCs w:val="21"/>
                      <w:highlight w:val="none"/>
                      <w:lang w:val="en-US" w:eastAsia="zh-CN"/>
                    </w:rPr>
                  </w:pPr>
                  <w:r>
                    <w:rPr>
                      <w:rFonts w:hint="eastAsia"/>
                      <w:color w:val="auto"/>
                      <w:sz w:val="21"/>
                      <w:szCs w:val="21"/>
                      <w:highlight w:val="none"/>
                      <w:lang w:val="en-US" w:eastAsia="zh-CN"/>
                    </w:rPr>
                    <w:t>运营期</w:t>
                  </w:r>
                </w:p>
                <w:p w14:paraId="370D09C2">
                  <w:pPr>
                    <w:jc w:val="center"/>
                    <w:rPr>
                      <w:color w:val="auto"/>
                      <w:sz w:val="21"/>
                      <w:szCs w:val="21"/>
                      <w:highlight w:val="none"/>
                    </w:rPr>
                  </w:pPr>
                  <w:r>
                    <w:rPr>
                      <w:rFonts w:hint="eastAsia"/>
                      <w:color w:val="auto"/>
                      <w:sz w:val="21"/>
                      <w:szCs w:val="21"/>
                      <w:highlight w:val="none"/>
                      <w:lang w:val="en-US" w:eastAsia="zh-CN"/>
                    </w:rPr>
                    <w:t>（调水期）</w:t>
                  </w:r>
                </w:p>
              </w:tc>
              <w:tc>
                <w:tcPr>
                  <w:tcW w:w="894" w:type="dxa"/>
                  <w:tcBorders>
                    <w:tl2br w:val="nil"/>
                    <w:tr2bl w:val="nil"/>
                  </w:tcBorders>
                  <w:noWrap w:val="0"/>
                  <w:vAlign w:val="center"/>
                </w:tcPr>
                <w:p w14:paraId="46396A2D">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779" w:type="dxa"/>
                  <w:tcBorders>
                    <w:tl2br w:val="nil"/>
                    <w:tr2bl w:val="nil"/>
                  </w:tcBorders>
                  <w:noWrap w:val="0"/>
                  <w:vAlign w:val="center"/>
                </w:tcPr>
                <w:p w14:paraId="5A2FE737">
                  <w:pPr>
                    <w:jc w:val="center"/>
                    <w:rPr>
                      <w:color w:val="auto"/>
                      <w:sz w:val="21"/>
                      <w:szCs w:val="21"/>
                      <w:highlight w:val="none"/>
                    </w:rPr>
                  </w:pPr>
                  <w:r>
                    <w:rPr>
                      <w:rFonts w:hint="eastAsia"/>
                      <w:color w:val="auto"/>
                      <w:sz w:val="21"/>
                      <w:szCs w:val="21"/>
                      <w:highlight w:val="none"/>
                    </w:rPr>
                    <w:t>-</w:t>
                  </w:r>
                </w:p>
              </w:tc>
            </w:tr>
            <w:tr w14:paraId="040F1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tcBorders>
                    <w:tl2br w:val="nil"/>
                    <w:tr2bl w:val="nil"/>
                  </w:tcBorders>
                  <w:noWrap w:val="0"/>
                  <w:vAlign w:val="center"/>
                </w:tcPr>
                <w:p w14:paraId="2BE929C0">
                  <w:pPr>
                    <w:jc w:val="center"/>
                    <w:rPr>
                      <w:rFonts w:hint="eastAsia"/>
                      <w:color w:val="auto"/>
                      <w:sz w:val="21"/>
                      <w:szCs w:val="21"/>
                      <w:highlight w:val="none"/>
                    </w:rPr>
                  </w:pPr>
                  <w:r>
                    <w:rPr>
                      <w:rFonts w:hint="eastAsia"/>
                      <w:color w:val="auto"/>
                      <w:sz w:val="21"/>
                      <w:szCs w:val="21"/>
                      <w:highlight w:val="none"/>
                    </w:rPr>
                    <w:t>4</w:t>
                  </w:r>
                </w:p>
              </w:tc>
              <w:tc>
                <w:tcPr>
                  <w:tcW w:w="2860" w:type="dxa"/>
                  <w:tcBorders>
                    <w:tl2br w:val="nil"/>
                    <w:tr2bl w:val="nil"/>
                  </w:tcBorders>
                  <w:noWrap w:val="0"/>
                  <w:vAlign w:val="center"/>
                </w:tcPr>
                <w:p w14:paraId="37DB281A">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黄码大桥省考断面</w:t>
                  </w:r>
                </w:p>
              </w:tc>
              <w:tc>
                <w:tcPr>
                  <w:tcW w:w="2510" w:type="dxa"/>
                  <w:vMerge w:val="continue"/>
                  <w:tcBorders>
                    <w:tl2br w:val="nil"/>
                    <w:tr2bl w:val="nil"/>
                  </w:tcBorders>
                  <w:noWrap w:val="0"/>
                  <w:vAlign w:val="center"/>
                </w:tcPr>
                <w:p w14:paraId="188C8FDE">
                  <w:pPr>
                    <w:jc w:val="center"/>
                    <w:rPr>
                      <w:color w:val="auto"/>
                      <w:sz w:val="21"/>
                      <w:szCs w:val="21"/>
                      <w:highlight w:val="none"/>
                    </w:rPr>
                  </w:pPr>
                </w:p>
              </w:tc>
              <w:tc>
                <w:tcPr>
                  <w:tcW w:w="1494" w:type="dxa"/>
                  <w:vMerge w:val="continue"/>
                  <w:tcBorders>
                    <w:tl2br w:val="nil"/>
                    <w:tr2bl w:val="nil"/>
                  </w:tcBorders>
                  <w:noWrap w:val="0"/>
                  <w:vAlign w:val="center"/>
                </w:tcPr>
                <w:p w14:paraId="0EE82756">
                  <w:pPr>
                    <w:jc w:val="center"/>
                    <w:rPr>
                      <w:color w:val="auto"/>
                      <w:sz w:val="21"/>
                      <w:szCs w:val="21"/>
                      <w:highlight w:val="none"/>
                    </w:rPr>
                  </w:pPr>
                </w:p>
              </w:tc>
              <w:tc>
                <w:tcPr>
                  <w:tcW w:w="894" w:type="dxa"/>
                  <w:tcBorders>
                    <w:tl2br w:val="nil"/>
                    <w:tr2bl w:val="nil"/>
                  </w:tcBorders>
                  <w:noWrap w:val="0"/>
                  <w:vAlign w:val="center"/>
                </w:tcPr>
                <w:p w14:paraId="7652284A">
                  <w:pPr>
                    <w:jc w:val="center"/>
                    <w:rPr>
                      <w:rFonts w:hint="default"/>
                      <w:color w:val="auto"/>
                      <w:sz w:val="21"/>
                      <w:szCs w:val="21"/>
                      <w:highlight w:val="none"/>
                      <w:lang w:val="en-US" w:eastAsia="zh-CN"/>
                    </w:rPr>
                  </w:pPr>
                  <w:r>
                    <w:rPr>
                      <w:rFonts w:hint="eastAsia"/>
                      <w:color w:val="auto"/>
                      <w:sz w:val="21"/>
                      <w:szCs w:val="21"/>
                      <w:highlight w:val="none"/>
                      <w:lang w:val="en-US" w:eastAsia="zh-CN"/>
                    </w:rPr>
                    <w:t>0.73</w:t>
                  </w:r>
                </w:p>
              </w:tc>
              <w:tc>
                <w:tcPr>
                  <w:tcW w:w="779" w:type="dxa"/>
                  <w:tcBorders>
                    <w:tl2br w:val="nil"/>
                    <w:tr2bl w:val="nil"/>
                  </w:tcBorders>
                  <w:noWrap w:val="0"/>
                  <w:vAlign w:val="center"/>
                </w:tcPr>
                <w:p w14:paraId="07262904">
                  <w:pPr>
                    <w:jc w:val="center"/>
                    <w:rPr>
                      <w:rFonts w:hint="default"/>
                      <w:color w:val="auto"/>
                      <w:sz w:val="21"/>
                      <w:szCs w:val="21"/>
                      <w:highlight w:val="none"/>
                      <w:lang w:val="en-US" w:eastAsia="zh-CN"/>
                    </w:rPr>
                  </w:pPr>
                  <w:r>
                    <w:rPr>
                      <w:rFonts w:hint="eastAsia"/>
                      <w:color w:val="auto"/>
                      <w:sz w:val="21"/>
                      <w:szCs w:val="21"/>
                      <w:highlight w:val="none"/>
                      <w:lang w:val="en-US" w:eastAsia="zh-CN"/>
                    </w:rPr>
                    <w:t>1.05</w:t>
                  </w:r>
                </w:p>
              </w:tc>
            </w:tr>
          </w:tbl>
          <w:p w14:paraId="4B1B90E2">
            <w:pPr>
              <w:adjustRightInd w:val="0"/>
              <w:snapToGrid w:val="0"/>
              <w:spacing w:line="480" w:lineRule="exact"/>
              <w:ind w:left="420" w:leftChars="200"/>
              <w:rPr>
                <w:rFonts w:hint="eastAsia"/>
                <w:sz w:val="24"/>
                <w:szCs w:val="24"/>
                <w:highlight w:val="none"/>
              </w:rPr>
            </w:pPr>
            <w:r>
              <w:rPr>
                <w:sz w:val="24"/>
                <w:szCs w:val="24"/>
                <w:highlight w:val="none"/>
              </w:rPr>
              <w:t>4.3.</w:t>
            </w:r>
            <w:r>
              <w:rPr>
                <w:rFonts w:hint="eastAsia"/>
                <w:sz w:val="24"/>
                <w:szCs w:val="24"/>
                <w:highlight w:val="none"/>
              </w:rPr>
              <w:t>5溢油事故对水生生物的影响分析</w:t>
            </w:r>
          </w:p>
          <w:p w14:paraId="44FD445B">
            <w:pPr>
              <w:adjustRightInd w:val="0"/>
              <w:snapToGrid w:val="0"/>
              <w:spacing w:line="480" w:lineRule="exact"/>
              <w:ind w:firstLine="480"/>
              <w:rPr>
                <w:color w:val="auto"/>
                <w:sz w:val="24"/>
                <w:szCs w:val="24"/>
                <w:highlight w:val="none"/>
              </w:rPr>
            </w:pPr>
            <w:r>
              <w:rPr>
                <w:color w:val="auto"/>
                <w:sz w:val="24"/>
                <w:szCs w:val="24"/>
                <w:highlight w:val="none"/>
              </w:rPr>
              <w:t>油品本身具有一定毒性，进入水体后对水环境的危害也是多方面的。从自然环境到野生动物，从自然资源到养殖资源等都会受到不同程度的危害。由于油在水体中的污染程度不同，对水生生物既可以产生急性毒性，又可以产生慢性毒性。水生生物对油类非常敏感，有的甚至在0.001mg/L时就有影响。但是目前各种油类对水生生物的毒性基准，在国内外还没有得到可靠的资料，为了保护水生生物的良好生存条件，应尽最大可能地对油类进行严格控制。</w:t>
            </w:r>
          </w:p>
          <w:p w14:paraId="308C81C5">
            <w:pPr>
              <w:tabs>
                <w:tab w:val="left" w:pos="8287"/>
                <w:tab w:val="right" w:pos="8640"/>
                <w:tab w:val="left" w:pos="8957"/>
              </w:tabs>
              <w:adjustRightInd w:val="0"/>
              <w:snapToGrid w:val="0"/>
              <w:spacing w:line="480" w:lineRule="exact"/>
              <w:ind w:firstLine="480" w:firstLineChars="200"/>
              <w:rPr>
                <w:sz w:val="24"/>
                <w:szCs w:val="24"/>
                <w:highlight w:val="none"/>
              </w:rPr>
            </w:pPr>
            <w:r>
              <w:rPr>
                <w:sz w:val="24"/>
                <w:szCs w:val="24"/>
                <w:highlight w:val="none"/>
              </w:rPr>
              <w:t>（一）水生生物急性中毒效应</w:t>
            </w:r>
          </w:p>
          <w:p w14:paraId="2ED092C3">
            <w:pPr>
              <w:tabs>
                <w:tab w:val="left" w:pos="8287"/>
                <w:tab w:val="right" w:pos="8640"/>
                <w:tab w:val="left" w:pos="8957"/>
              </w:tabs>
              <w:adjustRightInd w:val="0"/>
              <w:snapToGrid w:val="0"/>
              <w:spacing w:line="480" w:lineRule="exact"/>
              <w:ind w:firstLine="480" w:firstLineChars="200"/>
              <w:rPr>
                <w:sz w:val="24"/>
                <w:szCs w:val="24"/>
                <w:highlight w:val="none"/>
              </w:rPr>
            </w:pPr>
            <w:r>
              <w:rPr>
                <w:sz w:val="24"/>
                <w:szCs w:val="24"/>
                <w:highlight w:val="none"/>
              </w:rPr>
              <w:t>一旦发生溢油污染事故，将对一定范围内水域形成污染，还可能污染沿线生活用水取水口，对航道内的生物、鱼类较大。以石油污染为例，其危害是由石油的化学组成、特性及其在航道内的存在形式决定。在石油不同组分中，低沸点的芳香烃对一切生物均有毒性，而高沸点的芳香烃则是长效毒性，会对水生生物生命构成威胁和危害直至死亡。</w:t>
            </w:r>
          </w:p>
          <w:p w14:paraId="224ECBBC">
            <w:pPr>
              <w:tabs>
                <w:tab w:val="left" w:pos="8287"/>
                <w:tab w:val="right" w:pos="8640"/>
                <w:tab w:val="left" w:pos="8957"/>
              </w:tabs>
              <w:adjustRightInd w:val="0"/>
              <w:snapToGrid w:val="0"/>
              <w:spacing w:line="480" w:lineRule="exact"/>
              <w:ind w:firstLine="480" w:firstLineChars="200"/>
              <w:rPr>
                <w:sz w:val="24"/>
                <w:szCs w:val="24"/>
                <w:highlight w:val="none"/>
              </w:rPr>
            </w:pPr>
            <w:r>
              <w:rPr>
                <w:sz w:val="24"/>
                <w:szCs w:val="24"/>
                <w:highlight w:val="none"/>
              </w:rPr>
              <w:t>（二）对鱼类的影响</w:t>
            </w:r>
          </w:p>
          <w:p w14:paraId="0AE67C4D">
            <w:pPr>
              <w:tabs>
                <w:tab w:val="left" w:pos="8287"/>
                <w:tab w:val="right" w:pos="8640"/>
                <w:tab w:val="left" w:pos="8957"/>
              </w:tabs>
              <w:adjustRightInd w:val="0"/>
              <w:snapToGrid w:val="0"/>
              <w:spacing w:line="480" w:lineRule="exact"/>
              <w:ind w:firstLine="480" w:firstLineChars="200"/>
              <w:rPr>
                <w:sz w:val="24"/>
                <w:szCs w:val="24"/>
                <w:highlight w:val="none"/>
              </w:rPr>
            </w:pPr>
            <w:r>
              <w:rPr>
                <w:sz w:val="24"/>
                <w:szCs w:val="24"/>
                <w:highlight w:val="none"/>
              </w:rPr>
              <w:t>（1）对鱼类的急性毒性测试</w:t>
            </w:r>
          </w:p>
          <w:p w14:paraId="165B30AC">
            <w:pPr>
              <w:tabs>
                <w:tab w:val="left" w:pos="8287"/>
                <w:tab w:val="right" w:pos="8640"/>
                <w:tab w:val="left" w:pos="8957"/>
              </w:tabs>
              <w:adjustRightInd w:val="0"/>
              <w:snapToGrid w:val="0"/>
              <w:spacing w:line="480" w:lineRule="exact"/>
              <w:ind w:firstLine="480" w:firstLineChars="200"/>
              <w:rPr>
                <w:sz w:val="24"/>
                <w:szCs w:val="24"/>
                <w:highlight w:val="none"/>
              </w:rPr>
            </w:pPr>
            <w:r>
              <w:rPr>
                <w:sz w:val="24"/>
                <w:szCs w:val="24"/>
                <w:highlight w:val="none"/>
              </w:rPr>
              <w:t>根据近年来对几种不同的鱼类仔鱼的毒性试验结果表明，石油类对鲤鱼仔鱼96hLC50值为0.5～3.0mg/L，因此污染带瞬时高浓度排放（即事故性排放）可导致急性中毒死鱼事故，故必须对航道内石油运输船舶进行严格管控。</w:t>
            </w:r>
          </w:p>
          <w:p w14:paraId="4BBC3630">
            <w:pPr>
              <w:tabs>
                <w:tab w:val="left" w:pos="8287"/>
                <w:tab w:val="right" w:pos="8640"/>
                <w:tab w:val="left" w:pos="8957"/>
              </w:tabs>
              <w:adjustRightInd w:val="0"/>
              <w:snapToGrid w:val="0"/>
              <w:spacing w:line="480" w:lineRule="exact"/>
              <w:ind w:firstLine="480" w:firstLineChars="200"/>
              <w:rPr>
                <w:sz w:val="24"/>
                <w:szCs w:val="24"/>
                <w:highlight w:val="none"/>
              </w:rPr>
            </w:pPr>
            <w:r>
              <w:rPr>
                <w:sz w:val="24"/>
                <w:szCs w:val="24"/>
                <w:highlight w:val="none"/>
              </w:rPr>
              <w:t>（2）石油类在鱼体内的蓄积残留分析</w:t>
            </w:r>
          </w:p>
          <w:p w14:paraId="73986D06">
            <w:pPr>
              <w:tabs>
                <w:tab w:val="left" w:pos="8287"/>
                <w:tab w:val="right" w:pos="8640"/>
                <w:tab w:val="left" w:pos="8957"/>
              </w:tabs>
              <w:adjustRightInd w:val="0"/>
              <w:snapToGrid w:val="0"/>
              <w:spacing w:line="480" w:lineRule="exact"/>
              <w:ind w:firstLine="480" w:firstLineChars="200"/>
              <w:rPr>
                <w:sz w:val="24"/>
                <w:szCs w:val="24"/>
                <w:highlight w:val="none"/>
              </w:rPr>
            </w:pPr>
            <w:r>
              <w:rPr>
                <w:sz w:val="24"/>
                <w:szCs w:val="24"/>
                <w:highlight w:val="none"/>
              </w:rPr>
              <w:t>石油类在鱼体中积累和残留可引起鱼类慢性中毒而带来长效应的污染影响，这种影响不仅可引起鱼类资源的变动，甚至会引起鱼类种质变异。鱼类一旦与油分子接触就会在短时间内发生油臭，从而影响其食用价值。以20号燃料油为例，石油类浓度0.01mg/L时，7天之内就能对大部分的鱼、虾产生油味，30天内会使绝大多数鱼类产生异味。</w:t>
            </w:r>
          </w:p>
          <w:p w14:paraId="0670A733">
            <w:pPr>
              <w:tabs>
                <w:tab w:val="left" w:pos="8287"/>
                <w:tab w:val="right" w:pos="8640"/>
                <w:tab w:val="left" w:pos="8957"/>
              </w:tabs>
              <w:adjustRightInd w:val="0"/>
              <w:snapToGrid w:val="0"/>
              <w:spacing w:line="480" w:lineRule="exact"/>
              <w:ind w:firstLine="480" w:firstLineChars="200"/>
              <w:rPr>
                <w:sz w:val="24"/>
                <w:szCs w:val="24"/>
                <w:highlight w:val="none"/>
              </w:rPr>
            </w:pPr>
            <w:r>
              <w:rPr>
                <w:sz w:val="24"/>
                <w:szCs w:val="24"/>
                <w:highlight w:val="none"/>
              </w:rPr>
              <w:t>（3）对浮游植物的影响</w:t>
            </w:r>
          </w:p>
          <w:p w14:paraId="1CC49377">
            <w:pPr>
              <w:tabs>
                <w:tab w:val="left" w:pos="8287"/>
                <w:tab w:val="right" w:pos="8640"/>
                <w:tab w:val="left" w:pos="8957"/>
              </w:tabs>
              <w:adjustRightInd w:val="0"/>
              <w:snapToGrid w:val="0"/>
              <w:spacing w:line="480" w:lineRule="exact"/>
              <w:ind w:firstLine="480" w:firstLineChars="200"/>
              <w:rPr>
                <w:sz w:val="24"/>
                <w:szCs w:val="24"/>
                <w:highlight w:val="none"/>
              </w:rPr>
            </w:pPr>
            <w:r>
              <w:rPr>
                <w:sz w:val="24"/>
                <w:szCs w:val="24"/>
                <w:highlight w:val="none"/>
              </w:rPr>
              <w:t>石油会破坏浮游植物细胞，损坏叶绿素及干扰气体交换，从而妨碍它们的光合作用。这种破坏作用程度取决于石油的类型、浓度及浮游植物的种类。根据国内外许多毒性实验结果表明，作为鱼、虾类饵料基础的浮游植物，对各类油类的耐受能力都很低。一般浮游植物石油急性中毒致死浓度为0.1～10.0mg/L，一般为1.0～3.6mg/L，对于更敏感的种类，油浓度低于0.1mg/L时，也会妨碍细胞的分裂和生长的速率。</w:t>
            </w:r>
          </w:p>
          <w:p w14:paraId="0D1A5CE9">
            <w:pPr>
              <w:tabs>
                <w:tab w:val="left" w:pos="8287"/>
                <w:tab w:val="right" w:pos="8640"/>
                <w:tab w:val="left" w:pos="8957"/>
              </w:tabs>
              <w:adjustRightInd w:val="0"/>
              <w:snapToGrid w:val="0"/>
              <w:spacing w:line="480" w:lineRule="exact"/>
              <w:ind w:firstLine="480" w:firstLineChars="200"/>
              <w:rPr>
                <w:sz w:val="24"/>
                <w:szCs w:val="24"/>
                <w:highlight w:val="none"/>
              </w:rPr>
            </w:pPr>
            <w:r>
              <w:rPr>
                <w:sz w:val="24"/>
                <w:szCs w:val="24"/>
                <w:highlight w:val="none"/>
              </w:rPr>
              <w:t>（4）对浮游动物的影响</w:t>
            </w:r>
          </w:p>
          <w:p w14:paraId="2ACFCF74">
            <w:pPr>
              <w:widowControl/>
              <w:spacing w:line="460" w:lineRule="exact"/>
              <w:ind w:firstLine="480" w:firstLineChars="200"/>
              <w:rPr>
                <w:rFonts w:hint="default" w:ascii="Times New Roman" w:hAnsi="Times New Roman" w:eastAsia="宋体" w:cs="Times New Roman"/>
                <w:sz w:val="24"/>
                <w:szCs w:val="24"/>
                <w:highlight w:val="none"/>
                <w:lang w:val="en-US" w:eastAsia="zh-CN"/>
              </w:rPr>
            </w:pPr>
            <w:r>
              <w:rPr>
                <w:sz w:val="24"/>
                <w:szCs w:val="24"/>
                <w:highlight w:val="none"/>
              </w:rPr>
              <w:t>浮游动物石油急性中毒致死浓度范围一般为0.1～15mg/L，而且通过不同浓度的石油类环境对桡足类幼体的影响实验表明，永久性</w:t>
            </w:r>
            <w:r>
              <w:rPr>
                <w:rFonts w:hint="eastAsia"/>
                <w:sz w:val="24"/>
                <w:szCs w:val="24"/>
                <w:highlight w:val="none"/>
                <w:lang w:eastAsia="zh-CN"/>
              </w:rPr>
              <w:t>（</w:t>
            </w:r>
            <w:r>
              <w:rPr>
                <w:sz w:val="24"/>
                <w:szCs w:val="24"/>
                <w:highlight w:val="none"/>
              </w:rPr>
              <w:t>终生性</w:t>
            </w:r>
            <w:r>
              <w:rPr>
                <w:rFonts w:hint="eastAsia"/>
                <w:sz w:val="24"/>
                <w:szCs w:val="24"/>
                <w:highlight w:val="none"/>
                <w:lang w:eastAsia="zh-CN"/>
              </w:rPr>
              <w:t>）</w:t>
            </w:r>
            <w:r>
              <w:rPr>
                <w:sz w:val="24"/>
                <w:szCs w:val="24"/>
                <w:highlight w:val="none"/>
              </w:rPr>
              <w:t>浮游动物幼体的敏感性大于阶段性</w:t>
            </w:r>
            <w:r>
              <w:rPr>
                <w:rFonts w:hint="eastAsia"/>
                <w:sz w:val="24"/>
                <w:szCs w:val="24"/>
                <w:highlight w:val="none"/>
                <w:lang w:eastAsia="zh-CN"/>
              </w:rPr>
              <w:t>（</w:t>
            </w:r>
            <w:r>
              <w:rPr>
                <w:sz w:val="24"/>
                <w:szCs w:val="24"/>
                <w:highlight w:val="none"/>
              </w:rPr>
              <w:t>临时性</w:t>
            </w:r>
            <w:r>
              <w:rPr>
                <w:rFonts w:hint="eastAsia"/>
                <w:sz w:val="24"/>
                <w:szCs w:val="24"/>
                <w:highlight w:val="none"/>
                <w:lang w:eastAsia="zh-CN"/>
              </w:rPr>
              <w:t>）</w:t>
            </w:r>
            <w:r>
              <w:rPr>
                <w:sz w:val="24"/>
                <w:szCs w:val="24"/>
                <w:highlight w:val="none"/>
              </w:rPr>
              <w:t>的底栖生物幼体，而它们各自的幼体的敏感性又大于成体。</w:t>
            </w:r>
          </w:p>
          <w:p w14:paraId="470807AD">
            <w:pPr>
              <w:adjustRightInd w:val="0"/>
              <w:snapToGrid w:val="0"/>
              <w:spacing w:line="480" w:lineRule="exact"/>
              <w:ind w:firstLine="482" w:firstLineChars="200"/>
              <w:rPr>
                <w:rFonts w:hint="default" w:ascii="Times New Roman" w:hAnsi="Times New Roman" w:eastAsia="宋体" w:cs="Times New Roman"/>
                <w:kern w:val="0"/>
                <w:sz w:val="24"/>
                <w:szCs w:val="24"/>
                <w:lang w:val="en-US" w:eastAsia="zh-CN"/>
              </w:rPr>
            </w:pPr>
            <w:r>
              <w:rPr>
                <w:b/>
                <w:bCs/>
                <w:sz w:val="24"/>
                <w:szCs w:val="24"/>
                <w:highlight w:val="none"/>
              </w:rPr>
              <w:t>综上所述，本工程范围内一旦发生溢油事故，污染因子石油类会对</w:t>
            </w:r>
            <w:r>
              <w:rPr>
                <w:rFonts w:hint="eastAsia"/>
                <w:b/>
                <w:bCs/>
                <w:sz w:val="24"/>
                <w:szCs w:val="24"/>
                <w:highlight w:val="none"/>
                <w:lang w:val="en-US" w:eastAsia="zh-CN"/>
              </w:rPr>
              <w:t>京杭运河</w:t>
            </w:r>
            <w:r>
              <w:rPr>
                <w:b/>
                <w:bCs/>
                <w:sz w:val="24"/>
                <w:szCs w:val="24"/>
                <w:highlight w:val="none"/>
              </w:rPr>
              <w:t>、泄漏点所在的</w:t>
            </w:r>
            <w:r>
              <w:rPr>
                <w:rFonts w:hint="eastAsia"/>
                <w:b/>
                <w:bCs/>
                <w:sz w:val="24"/>
                <w:szCs w:val="24"/>
                <w:highlight w:val="none"/>
              </w:rPr>
              <w:t>清水通道维护区</w:t>
            </w:r>
            <w:r>
              <w:rPr>
                <w:b/>
                <w:bCs/>
                <w:sz w:val="24"/>
                <w:szCs w:val="24"/>
                <w:highlight w:val="none"/>
              </w:rPr>
              <w:t>和省考断面的水质构成危险，也将会对航道区域内鱼类的急性中毒、在鱼体内的蓄积残留和对鱼的致突变性产生较大的负面影响，而且对浮游植物和动物也会产生一定的影响，故</w:t>
            </w:r>
            <w:r>
              <w:rPr>
                <w:rFonts w:hint="eastAsia"/>
                <w:b/>
                <w:bCs/>
                <w:sz w:val="24"/>
                <w:szCs w:val="24"/>
                <w:highlight w:val="none"/>
                <w:lang w:eastAsia="zh-CN"/>
              </w:rPr>
              <w:t>，</w:t>
            </w:r>
            <w:r>
              <w:rPr>
                <w:b/>
                <w:bCs/>
                <w:sz w:val="24"/>
                <w:szCs w:val="24"/>
                <w:highlight w:val="none"/>
              </w:rPr>
              <w:t>须严格落实各项风险防范措施和事故应急预案。</w:t>
            </w:r>
            <w:r>
              <w:rPr>
                <w:rFonts w:hint="eastAsia"/>
                <w:b/>
                <w:bCs/>
                <w:sz w:val="24"/>
                <w:szCs w:val="24"/>
                <w:highlight w:val="none"/>
                <w:lang w:val="en-US" w:eastAsia="zh-CN"/>
              </w:rPr>
              <w:t>在采取</w:t>
            </w:r>
            <w:r>
              <w:rPr>
                <w:b/>
                <w:bCs/>
                <w:sz w:val="24"/>
                <w:szCs w:val="24"/>
                <w:highlight w:val="none"/>
              </w:rPr>
              <w:t>各项风险防范措施和事故应急预案</w:t>
            </w:r>
            <w:r>
              <w:rPr>
                <w:rFonts w:hint="eastAsia"/>
                <w:b/>
                <w:bCs/>
                <w:sz w:val="24"/>
                <w:szCs w:val="24"/>
                <w:highlight w:val="none"/>
                <w:lang w:val="en-US" w:eastAsia="zh-CN"/>
              </w:rPr>
              <w:t>后，本项目环境风险可控。</w:t>
            </w:r>
          </w:p>
        </w:tc>
      </w:tr>
      <w:tr w14:paraId="72BBF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449" w:type="dxa"/>
            <w:tcMar>
              <w:left w:w="28" w:type="dxa"/>
              <w:right w:w="28" w:type="dxa"/>
            </w:tcMar>
            <w:vAlign w:val="center"/>
          </w:tcPr>
          <w:p w14:paraId="31A0A136">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选址选线环境合理性分析</w:t>
            </w:r>
          </w:p>
        </w:tc>
        <w:tc>
          <w:tcPr>
            <w:tcW w:w="7993" w:type="dxa"/>
            <w:vAlign w:val="center"/>
          </w:tcPr>
          <w:p w14:paraId="13DED1D8">
            <w:pPr>
              <w:autoSpaceDE w:val="0"/>
              <w:autoSpaceDN w:val="0"/>
              <w:adjustRightInd w:val="0"/>
              <w:snapToGrid w:val="0"/>
              <w:spacing w:line="460" w:lineRule="exact"/>
              <w:ind w:firstLine="480" w:firstLineChars="200"/>
              <w:rPr>
                <w:rFonts w:hint="eastAsia"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本项目为新建项目，</w:t>
            </w:r>
            <w:r>
              <w:rPr>
                <w:rFonts w:hint="eastAsia" w:ascii="Times New Roman" w:hAnsi="Times New Roman" w:eastAsia="宋体" w:cs="Times New Roman"/>
                <w:color w:val="auto"/>
                <w:kern w:val="0"/>
                <w:sz w:val="24"/>
                <w:szCs w:val="24"/>
                <w:lang w:val="en-US" w:eastAsia="zh-CN"/>
              </w:rPr>
              <w:t>位于京杭运河主航道左侧，主要建设内容包含京杭运河淮安锚地扩建及南港岸线疏浚。其中淮安锚地扩建位于苏北运河145至149段，南港岸线疏浚位于苏北运河161至163段。</w:t>
            </w:r>
          </w:p>
          <w:p w14:paraId="520FB252">
            <w:pPr>
              <w:autoSpaceDE w:val="0"/>
              <w:autoSpaceDN w:val="0"/>
              <w:adjustRightInd w:val="0"/>
              <w:snapToGrid w:val="0"/>
              <w:spacing w:line="460" w:lineRule="exact"/>
              <w:ind w:firstLine="480" w:firstLineChars="200"/>
              <w:rPr>
                <w:rFonts w:hint="eastAsia" w:cs="Times New Roman"/>
                <w:color w:val="auto"/>
                <w:kern w:val="0"/>
                <w:sz w:val="24"/>
                <w:szCs w:val="24"/>
                <w:highlight w:val="none"/>
                <w:lang w:val="en-US" w:eastAsia="zh-CN"/>
              </w:rPr>
            </w:pPr>
            <w:r>
              <w:rPr>
                <w:rFonts w:hint="default" w:ascii="Times New Roman" w:hAnsi="Times New Roman" w:eastAsia="宋体" w:cs="Times New Roman"/>
                <w:sz w:val="24"/>
                <w:szCs w:val="24"/>
                <w:highlight w:val="none"/>
                <w:lang w:val="en-US" w:eastAsia="zh-CN"/>
              </w:rPr>
              <w:t>因淮安市区港区黄码作业区工程完全占用淮安船闸上游船队待泊区，根据2018年4月2日苏北航务管理处《关于</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淮安市区港区黄码作业区工程通航影响评价报告&gt;的审核意见》</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京运苏北航【2018】39号</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sz w:val="24"/>
                <w:szCs w:val="24"/>
                <w:highlight w:val="none"/>
                <w:lang w:val="en-US" w:eastAsia="zh-CN"/>
              </w:rPr>
              <w:t>需在码头对岸淮安船闸锚地进行补偿建设，以满足淮安船闸下行待闸船队停泊需求</w:t>
            </w:r>
            <w:r>
              <w:rPr>
                <w:rFonts w:hint="eastAsia" w:cs="Times New Roman"/>
                <w:sz w:val="24"/>
                <w:szCs w:val="24"/>
                <w:highlight w:val="none"/>
                <w:lang w:val="en-US" w:eastAsia="zh-CN"/>
              </w:rPr>
              <w:t>。</w:t>
            </w:r>
          </w:p>
          <w:p w14:paraId="76DD5D2B">
            <w:pPr>
              <w:keepNext w:val="0"/>
              <w:keepLines w:val="0"/>
              <w:pageBreakBefore w:val="0"/>
              <w:kinsoku/>
              <w:wordWrap/>
              <w:overflowPunct/>
              <w:topLinePunct w:val="0"/>
              <w:bidi w:val="0"/>
              <w:spacing w:line="460" w:lineRule="exact"/>
              <w:ind w:firstLine="480"/>
              <w:textAlignment w:val="auto"/>
              <w:rPr>
                <w:rFonts w:hint="eastAsia" w:cs="Times New Roman"/>
                <w:b w:val="0"/>
                <w:bCs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rPr>
              <w:t>项目的建设符合《</w:t>
            </w:r>
            <w:r>
              <w:rPr>
                <w:rFonts w:hint="eastAsia" w:cs="Times New Roman"/>
                <w:color w:val="auto"/>
                <w:kern w:val="0"/>
                <w:sz w:val="24"/>
                <w:szCs w:val="24"/>
                <w:highlight w:val="none"/>
                <w:lang w:val="en-US" w:eastAsia="zh-CN"/>
              </w:rPr>
              <w:t>淮安</w:t>
            </w:r>
            <w:r>
              <w:rPr>
                <w:rFonts w:hint="eastAsia" w:ascii="Times New Roman" w:hAnsi="Times New Roman" w:eastAsia="宋体" w:cs="Times New Roman"/>
                <w:color w:val="auto"/>
                <w:kern w:val="0"/>
                <w:sz w:val="24"/>
                <w:szCs w:val="24"/>
                <w:highlight w:val="none"/>
                <w:lang w:val="en-US" w:eastAsia="zh-CN"/>
              </w:rPr>
              <w:t>港总体规划</w:t>
            </w:r>
            <w:r>
              <w:rPr>
                <w:rFonts w:hint="default" w:ascii="Times New Roman" w:hAnsi="Times New Roman" w:eastAsia="宋体" w:cs="Times New Roman"/>
                <w:color w:val="auto"/>
                <w:kern w:val="0"/>
                <w:sz w:val="24"/>
                <w:szCs w:val="24"/>
                <w:highlight w:val="none"/>
                <w:lang w:val="en-US" w:eastAsia="zh-CN"/>
              </w:rPr>
              <w:t>（2020~2035）</w:t>
            </w:r>
            <w:r>
              <w:rPr>
                <w:rFonts w:hint="eastAsia" w:ascii="Times New Roman" w:hAnsi="Times New Roman" w:eastAsia="宋体" w:cs="Times New Roman"/>
                <w:color w:val="auto"/>
                <w:kern w:val="0"/>
                <w:sz w:val="24"/>
                <w:szCs w:val="24"/>
                <w:highlight w:val="none"/>
                <w:lang w:val="en-US" w:eastAsia="zh-CN"/>
              </w:rPr>
              <w:t>》、项目不占用江苏省国家级生态保护红线，项目符合“三线一单”的要求；</w:t>
            </w:r>
            <w:r>
              <w:rPr>
                <w:rFonts w:hint="eastAsia" w:cs="Times New Roman"/>
                <w:b w:val="0"/>
                <w:bCs w:val="0"/>
                <w:color w:val="auto"/>
                <w:kern w:val="0"/>
                <w:sz w:val="24"/>
                <w:szCs w:val="24"/>
                <w:highlight w:val="none"/>
                <w:lang w:val="en-US" w:eastAsia="zh-CN"/>
              </w:rPr>
              <w:t>项目涉及</w:t>
            </w:r>
            <w:r>
              <w:rPr>
                <w:rFonts w:hint="default" w:ascii="Times New Roman" w:hAnsi="Times New Roman" w:eastAsia="宋体" w:cs="Times New Roman"/>
                <w:b w:val="0"/>
                <w:bCs w:val="0"/>
                <w:color w:val="000000"/>
                <w:sz w:val="24"/>
                <w:szCs w:val="24"/>
                <w:highlight w:val="none"/>
                <w:lang w:bidi="ar"/>
              </w:rPr>
              <w:t>京杭大运河（淮安区）清水通道维护区</w:t>
            </w:r>
            <w:r>
              <w:rPr>
                <w:rFonts w:hint="default" w:ascii="Times New Roman" w:hAnsi="Times New Roman" w:eastAsia="宋体" w:cs="Times New Roman"/>
                <w:b w:val="0"/>
                <w:bCs w:val="0"/>
                <w:color w:val="000000"/>
                <w:sz w:val="24"/>
                <w:szCs w:val="24"/>
                <w:highlight w:val="none"/>
                <w:lang w:val="en-US" w:eastAsia="zh-CN" w:bidi="ar"/>
              </w:rPr>
              <w:t>和</w:t>
            </w:r>
            <w:r>
              <w:rPr>
                <w:rFonts w:hint="default" w:ascii="Times New Roman" w:hAnsi="Times New Roman" w:eastAsia="宋体" w:cs="Times New Roman"/>
                <w:b w:val="0"/>
                <w:bCs w:val="0"/>
                <w:color w:val="000000"/>
                <w:sz w:val="24"/>
                <w:szCs w:val="24"/>
                <w:highlight w:val="none"/>
                <w:lang w:bidi="ar"/>
              </w:rPr>
              <w:t>京杭大运河（淮安</w:t>
            </w:r>
            <w:r>
              <w:rPr>
                <w:rFonts w:hint="default" w:ascii="Times New Roman" w:hAnsi="Times New Roman" w:eastAsia="宋体" w:cs="Times New Roman"/>
                <w:b w:val="0"/>
                <w:bCs w:val="0"/>
                <w:color w:val="000000"/>
                <w:sz w:val="24"/>
                <w:szCs w:val="24"/>
                <w:highlight w:val="none"/>
                <w:lang w:val="en-US" w:eastAsia="zh-CN" w:bidi="ar"/>
              </w:rPr>
              <w:t>市</w:t>
            </w:r>
            <w:r>
              <w:rPr>
                <w:rFonts w:hint="default" w:ascii="Times New Roman" w:hAnsi="Times New Roman" w:eastAsia="宋体" w:cs="Times New Roman"/>
                <w:b w:val="0"/>
                <w:bCs w:val="0"/>
                <w:color w:val="000000"/>
                <w:sz w:val="24"/>
                <w:szCs w:val="24"/>
                <w:highlight w:val="none"/>
                <w:lang w:bidi="ar"/>
              </w:rPr>
              <w:t>区）清水通道维护区</w:t>
            </w:r>
            <w:r>
              <w:rPr>
                <w:rFonts w:hint="default" w:ascii="Times New Roman" w:hAnsi="Times New Roman" w:eastAsia="宋体" w:cs="Times New Roman"/>
                <w:b w:val="0"/>
                <w:bCs w:val="0"/>
                <w:color w:val="000000"/>
                <w:sz w:val="24"/>
                <w:szCs w:val="24"/>
                <w:highlight w:val="none"/>
                <w:lang w:val="en-US" w:eastAsia="zh-CN" w:bidi="ar"/>
              </w:rPr>
              <w:t>2处生态空间管控区，</w:t>
            </w:r>
            <w:r>
              <w:rPr>
                <w:rFonts w:hint="eastAsia" w:cs="Times New Roman"/>
                <w:b w:val="0"/>
                <w:bCs w:val="0"/>
                <w:color w:val="000000"/>
                <w:sz w:val="24"/>
                <w:szCs w:val="24"/>
                <w:highlight w:val="none"/>
                <w:lang w:val="en-US" w:eastAsia="zh-CN" w:bidi="ar"/>
              </w:rPr>
              <w:t>经分析，项目建设符合生态空间管控要求</w:t>
            </w:r>
            <w:r>
              <w:rPr>
                <w:rFonts w:hint="default" w:ascii="Times New Roman" w:hAnsi="Times New Roman" w:eastAsia="宋体" w:cs="Times New Roman"/>
                <w:b w:val="0"/>
                <w:bCs w:val="0"/>
                <w:color w:val="000000"/>
                <w:sz w:val="24"/>
                <w:szCs w:val="24"/>
                <w:highlight w:val="none"/>
                <w:lang w:val="en-US" w:eastAsia="zh-CN" w:bidi="ar"/>
              </w:rPr>
              <w:t>。</w:t>
            </w:r>
            <w:r>
              <w:rPr>
                <w:rFonts w:hint="eastAsia" w:cs="Times New Roman"/>
                <w:color w:val="auto"/>
                <w:sz w:val="24"/>
                <w:szCs w:val="24"/>
                <w:highlight w:val="none"/>
                <w:lang w:val="en-US" w:eastAsia="zh-CN"/>
              </w:rPr>
              <w:t>本项目新建锚地部分位于核心监控区内的建成区内，经对照</w:t>
            </w:r>
            <w:r>
              <w:rPr>
                <w:rFonts w:hint="eastAsia" w:cs="Times New Roman"/>
                <w:b w:val="0"/>
                <w:bCs w:val="0"/>
                <w:sz w:val="24"/>
                <w:szCs w:val="24"/>
                <w:highlight w:val="none"/>
                <w:lang w:val="en-US" w:eastAsia="zh-CN" w:bidi="ar"/>
              </w:rPr>
              <w:t>项目</w:t>
            </w:r>
            <w:r>
              <w:rPr>
                <w:rFonts w:hint="eastAsia" w:cs="Times New Roman"/>
                <w:color w:val="auto"/>
                <w:sz w:val="24"/>
                <w:szCs w:val="24"/>
                <w:highlight w:val="none"/>
                <w:lang w:val="en-US" w:eastAsia="zh-CN"/>
              </w:rPr>
              <w:t>符合</w:t>
            </w:r>
            <w:r>
              <w:rPr>
                <w:rFonts w:hint="default" w:ascii="Times New Roman" w:hAnsi="Times New Roman" w:cs="Times New Roman"/>
                <w:color w:val="auto"/>
                <w:sz w:val="24"/>
                <w:szCs w:val="24"/>
                <w:highlight w:val="none"/>
                <w:lang w:val="en-US" w:eastAsia="zh-CN"/>
              </w:rPr>
              <w:t>《省政府关于印发大运河江苏段核心监控区国土空间管控暂行办法的通知》</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苏</w:t>
            </w:r>
            <w:r>
              <w:rPr>
                <w:rFonts w:hint="eastAsia" w:ascii="Times New Roman" w:hAnsi="Times New Roman" w:cs="Times New Roman"/>
                <w:color w:val="auto"/>
                <w:sz w:val="24"/>
                <w:szCs w:val="24"/>
                <w:highlight w:val="none"/>
                <w:lang w:val="en-US" w:eastAsia="zh-CN"/>
              </w:rPr>
              <w:t>政发（</w:t>
            </w:r>
            <w:r>
              <w:rPr>
                <w:rFonts w:hint="default" w:ascii="Times New Roman" w:hAnsi="Times New Roman" w:cs="Times New Roman"/>
                <w:color w:val="auto"/>
                <w:sz w:val="24"/>
                <w:szCs w:val="24"/>
                <w:highlight w:val="none"/>
                <w:lang w:val="en-US" w:eastAsia="zh-CN"/>
              </w:rPr>
              <w:t>2021</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号</w:t>
            </w:r>
            <w:r>
              <w:rPr>
                <w:rFonts w:hint="eastAsia"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市政府关于印发大运河淮安段核心监控区国土空间管控细则的通知</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（淮政规（</w:t>
            </w:r>
            <w:r>
              <w:rPr>
                <w:rFonts w:hint="default" w:ascii="Times New Roman" w:hAnsi="Times New Roman"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号</w:t>
            </w:r>
            <w:r>
              <w:rPr>
                <w:rFonts w:hint="eastAsia" w:ascii="Times New Roman" w:hAnsi="Times New Roman" w:cs="Times New Roman"/>
                <w:color w:val="auto"/>
                <w:sz w:val="24"/>
                <w:szCs w:val="24"/>
                <w:highlight w:val="none"/>
                <w:lang w:val="en-US" w:eastAsia="zh-CN"/>
              </w:rPr>
              <w:t>）</w:t>
            </w:r>
            <w:r>
              <w:rPr>
                <w:rFonts w:hint="eastAsia" w:cs="Times New Roman"/>
                <w:b w:val="0"/>
                <w:bCs w:val="0"/>
                <w:sz w:val="24"/>
                <w:szCs w:val="24"/>
                <w:highlight w:val="none"/>
                <w:lang w:val="en-US" w:eastAsia="zh-CN" w:bidi="ar"/>
              </w:rPr>
              <w:t>的相关要求。</w:t>
            </w:r>
          </w:p>
          <w:p w14:paraId="748EA9C9">
            <w:pPr>
              <w:keepNext w:val="0"/>
              <w:keepLines w:val="0"/>
              <w:pageBreakBefore w:val="0"/>
              <w:kinsoku/>
              <w:wordWrap/>
              <w:overflowPunct/>
              <w:topLinePunct w:val="0"/>
              <w:bidi w:val="0"/>
              <w:spacing w:line="460" w:lineRule="exact"/>
              <w:ind w:firstLine="480"/>
              <w:textAlignment w:val="auto"/>
              <w:rPr>
                <w:rFonts w:hint="eastAsia" w:cs="Times New Roman"/>
                <w:b w:val="0"/>
                <w:bCs w:val="0"/>
                <w:color w:val="000000"/>
                <w:sz w:val="24"/>
                <w:szCs w:val="24"/>
                <w:highlight w:val="none"/>
                <w:lang w:val="en-US" w:eastAsia="zh-CN" w:bidi="ar"/>
              </w:rPr>
            </w:pPr>
            <w:r>
              <w:rPr>
                <w:rFonts w:hint="eastAsia" w:cs="Times New Roman"/>
                <w:b w:val="0"/>
                <w:bCs w:val="0"/>
                <w:color w:val="000000"/>
                <w:sz w:val="24"/>
                <w:szCs w:val="24"/>
                <w:highlight w:val="none"/>
                <w:lang w:val="en-US" w:eastAsia="zh-CN" w:bidi="ar"/>
              </w:rPr>
              <w:t>本项目施工方案严格按照《防范清淤疏浚工程对水质影响工作方案》（苏环办〔2021〕185号）执行，涉及省考断面</w:t>
            </w:r>
            <w:r>
              <w:rPr>
                <w:rFonts w:hint="eastAsia" w:ascii="Times New Roman" w:hAnsi="Times New Roman" w:eastAsia="宋体" w:cs="Times New Roman"/>
                <w:sz w:val="24"/>
                <w:szCs w:val="24"/>
                <w:highlight w:val="none"/>
                <w:lang w:val="en-US" w:eastAsia="zh-CN"/>
              </w:rPr>
              <w:t>大运河桥、板闸、黄码大桥</w:t>
            </w:r>
            <w:r>
              <w:rPr>
                <w:rFonts w:hint="eastAsia" w:cs="Times New Roman"/>
                <w:sz w:val="24"/>
                <w:szCs w:val="24"/>
                <w:highlight w:val="none"/>
                <w:lang w:val="en-US" w:eastAsia="zh-CN"/>
              </w:rPr>
              <w:t>省考断面</w:t>
            </w:r>
            <w:r>
              <w:rPr>
                <w:rFonts w:hint="eastAsia" w:cs="Times New Roman"/>
                <w:b w:val="0"/>
                <w:bCs w:val="0"/>
                <w:color w:val="000000"/>
                <w:sz w:val="24"/>
                <w:szCs w:val="24"/>
                <w:highlight w:val="none"/>
                <w:lang w:val="en-US" w:eastAsia="zh-CN" w:bidi="ar"/>
              </w:rPr>
              <w:t>附近施工将提前两个月向省厅报备，并提供工程实施计划、图片资料等，并编制断面水质保障应对方案，确保工程施工期间水质保持稳定。施工过程中将设置防污帘等措施，以降低疏浚工程对省考核断面的水质的影响。</w:t>
            </w:r>
          </w:p>
          <w:p w14:paraId="08BEBFE2">
            <w:pPr>
              <w:keepNext w:val="0"/>
              <w:keepLines w:val="0"/>
              <w:pageBreakBefore w:val="0"/>
              <w:kinsoku/>
              <w:wordWrap/>
              <w:overflowPunct/>
              <w:topLinePunct w:val="0"/>
              <w:bidi w:val="0"/>
              <w:spacing w:line="460" w:lineRule="exact"/>
              <w:ind w:firstLine="480"/>
              <w:textAlignment w:val="auto"/>
              <w:rPr>
                <w:rFonts w:hint="default" w:eastAsia="宋体" w:cs="Times New Roman"/>
                <w:b w:val="0"/>
                <w:bCs w:val="0"/>
                <w:color w:val="000000"/>
                <w:sz w:val="24"/>
                <w:szCs w:val="24"/>
                <w:highlight w:val="none"/>
                <w:lang w:val="en-US" w:eastAsia="zh-CN" w:bidi="ar"/>
              </w:rPr>
            </w:pPr>
            <w:r>
              <w:rPr>
                <w:rFonts w:hint="eastAsia" w:cs="Times New Roman"/>
                <w:b w:val="0"/>
                <w:bCs w:val="0"/>
                <w:color w:val="000000"/>
                <w:sz w:val="24"/>
                <w:szCs w:val="24"/>
                <w:highlight w:val="none"/>
                <w:lang w:val="en-US" w:eastAsia="zh-CN" w:bidi="ar"/>
              </w:rPr>
              <w:t>根据预测，溢油事故一旦发生将对京杭运河淮安段水质产生不利影响，也会对大运河桥省考断面和黄码大桥省考断面的水质产生影响。本项目采取加强施工船舶管理、场地配备应急物资、设置警示牌、施工船舶围油栏、吸油材料和设备应急物资和设备</w:t>
            </w:r>
            <w:r>
              <w:rPr>
                <w:sz w:val="24"/>
                <w:highlight w:val="none"/>
              </w:rPr>
              <w:t>等措施防范施工期、运营期油品泄漏事故。</w:t>
            </w:r>
            <w:r>
              <w:rPr>
                <w:rFonts w:hint="eastAsia"/>
                <w:sz w:val="24"/>
                <w:highlight w:val="none"/>
                <w:lang w:val="en-US" w:eastAsia="zh-CN"/>
              </w:rPr>
              <w:t>在采取以上环境风险防范措施后，环境风险可控。</w:t>
            </w:r>
          </w:p>
          <w:p w14:paraId="18098DE7">
            <w:pPr>
              <w:autoSpaceDE w:val="0"/>
              <w:autoSpaceDN w:val="0"/>
              <w:adjustRightInd w:val="0"/>
              <w:snapToGrid w:val="0"/>
              <w:spacing w:line="460" w:lineRule="exact"/>
              <w:ind w:firstLine="480" w:firstLineChars="200"/>
              <w:rPr>
                <w:rFonts w:hint="default" w:ascii="Times New Roman" w:hAnsi="Times New Roman" w:eastAsia="宋体" w:cs="Times New Roman"/>
                <w:b/>
                <w:spacing w:val="-10"/>
                <w:sz w:val="24"/>
                <w:szCs w:val="24"/>
                <w:lang w:val="en-US"/>
              </w:rPr>
            </w:pPr>
            <w:r>
              <w:rPr>
                <w:rFonts w:hint="eastAsia" w:cs="Times New Roman"/>
                <w:color w:val="auto"/>
                <w:kern w:val="0"/>
                <w:sz w:val="24"/>
                <w:szCs w:val="24"/>
                <w:lang w:val="en-US" w:eastAsia="zh-CN"/>
              </w:rPr>
              <w:t>综上，</w:t>
            </w:r>
            <w:r>
              <w:rPr>
                <w:rFonts w:hint="default" w:ascii="Times New Roman" w:hAnsi="Times New Roman" w:eastAsia="宋体" w:cs="Times New Roman"/>
                <w:sz w:val="24"/>
                <w:szCs w:val="24"/>
                <w:lang w:bidi="ar"/>
              </w:rPr>
              <w:t>项目在严格落实本报告提出的各项污染防治措施和生态影响减缓措施</w:t>
            </w:r>
            <w:r>
              <w:rPr>
                <w:rFonts w:hint="eastAsia" w:cs="Times New Roman"/>
                <w:sz w:val="24"/>
                <w:szCs w:val="24"/>
                <w:lang w:val="en-US" w:eastAsia="zh-CN" w:bidi="ar"/>
              </w:rPr>
              <w:t>以</w:t>
            </w:r>
            <w:r>
              <w:rPr>
                <w:rFonts w:hint="default" w:ascii="Times New Roman" w:hAnsi="Times New Roman" w:eastAsia="宋体" w:cs="Times New Roman"/>
                <w:sz w:val="24"/>
                <w:szCs w:val="24"/>
                <w:lang w:bidi="ar"/>
              </w:rPr>
              <w:t>及环境风险防范措施后，</w:t>
            </w:r>
            <w:r>
              <w:rPr>
                <w:rFonts w:hint="eastAsia" w:cs="Times New Roman"/>
                <w:color w:val="auto"/>
                <w:kern w:val="0"/>
                <w:sz w:val="24"/>
                <w:szCs w:val="24"/>
                <w:lang w:val="en-US" w:eastAsia="zh-CN"/>
              </w:rPr>
              <w:t>本工程选址方案具有环境合理性。</w:t>
            </w:r>
          </w:p>
        </w:tc>
      </w:tr>
    </w:tbl>
    <w:p w14:paraId="2AB772EB">
      <w:pPr>
        <w:pStyle w:val="82"/>
        <w:jc w:val="center"/>
        <w:rPr>
          <w:rFonts w:hint="default" w:ascii="Times New Roman" w:hAnsi="Times New Roman" w:eastAsia="宋体" w:cs="Times New Roman"/>
          <w:b/>
          <w:snapToGrid w:val="0"/>
          <w:sz w:val="30"/>
          <w:szCs w:val="30"/>
        </w:rPr>
        <w:sectPr>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pPr>
    </w:p>
    <w:p w14:paraId="76210911">
      <w:pPr>
        <w:pStyle w:val="82"/>
        <w:jc w:val="center"/>
        <w:outlineLvl w:val="0"/>
        <w:rPr>
          <w:rFonts w:hint="default" w:ascii="Times New Roman" w:hAnsi="Times New Roman" w:eastAsia="宋体" w:cs="Times New Roman"/>
          <w:b/>
          <w:snapToGrid w:val="0"/>
          <w:sz w:val="30"/>
          <w:szCs w:val="30"/>
        </w:rPr>
      </w:pPr>
      <w:bookmarkStart w:id="11" w:name="_Toc9493"/>
      <w:r>
        <w:rPr>
          <w:rFonts w:hint="default" w:ascii="Times New Roman" w:hAnsi="Times New Roman" w:eastAsia="宋体" w:cs="Times New Roman"/>
          <w:b/>
          <w:snapToGrid w:val="0"/>
          <w:sz w:val="30"/>
          <w:szCs w:val="30"/>
        </w:rPr>
        <w:t>五、主要生态环境保护措施</w:t>
      </w:r>
      <w:bookmarkEnd w:id="11"/>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039"/>
      </w:tblGrid>
      <w:tr w14:paraId="23E2F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701" w:type="dxa"/>
            <w:tcMar>
              <w:left w:w="28" w:type="dxa"/>
              <w:right w:w="28" w:type="dxa"/>
            </w:tcMar>
            <w:vAlign w:val="center"/>
          </w:tcPr>
          <w:p w14:paraId="1A334A7E">
            <w:pPr>
              <w:pStyle w:val="82"/>
              <w:adjustRightInd w:val="0"/>
              <w:snapToGrid w:val="0"/>
              <w:spacing w:before="0" w:beforeAutospacing="0" w:after="0" w:afterAutospacing="0"/>
              <w:jc w:val="center"/>
              <w:rPr>
                <w:rFonts w:hint="default" w:ascii="Times New Roman" w:hAnsi="Times New Roman" w:eastAsia="宋体" w:cs="Times New Roman"/>
                <w:bCs/>
                <w:sz w:val="24"/>
                <w:szCs w:val="24"/>
              </w:rPr>
            </w:pPr>
            <w:r>
              <w:rPr>
                <w:rFonts w:hint="eastAsia" w:ascii="宋体" w:hAnsi="宋体" w:cs="宋体"/>
                <w:bCs/>
                <w:spacing w:val="10"/>
                <w:szCs w:val="21"/>
              </w:rPr>
              <w:t>施工期生态环境保护措施</w:t>
            </w:r>
          </w:p>
        </w:tc>
        <w:tc>
          <w:tcPr>
            <w:tcW w:w="7570" w:type="dxa"/>
            <w:vAlign w:val="center"/>
          </w:tcPr>
          <w:p w14:paraId="31043599">
            <w:pPr>
              <w:adjustRightInd w:val="0"/>
              <w:snapToGrid w:val="0"/>
              <w:spacing w:line="500" w:lineRule="exact"/>
              <w:ind w:firstLine="482"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rPr>
              <w:t>1、施工期水环境保护措施</w:t>
            </w:r>
          </w:p>
          <w:p w14:paraId="1F3704D8">
            <w:pPr>
              <w:adjustRightInd w:val="0"/>
              <w:snapToGrid w:val="0"/>
              <w:spacing w:line="500" w:lineRule="exact"/>
              <w:ind w:firstLine="482" w:firstLineChars="200"/>
              <w:rPr>
                <w:rFonts w:hint="default" w:ascii="Times New Roman" w:hAnsi="Times New Roman" w:eastAsia="宋体" w:cs="Times New Roman"/>
                <w:kern w:val="0"/>
                <w:sz w:val="24"/>
                <w:szCs w:val="24"/>
              </w:rPr>
            </w:pPr>
            <w:r>
              <w:rPr>
                <w:rFonts w:hint="eastAsia" w:ascii="Times New Roman" w:hAnsi="Times New Roman" w:cs="Times New Roman"/>
                <w:b/>
                <w:bCs/>
                <w:kern w:val="0"/>
                <w:sz w:val="24"/>
                <w:szCs w:val="24"/>
                <w:lang w:val="en-US" w:eastAsia="zh-CN"/>
              </w:rPr>
              <w:t>（1）</w:t>
            </w:r>
            <w:r>
              <w:rPr>
                <w:rFonts w:hint="default" w:ascii="Times New Roman" w:hAnsi="Times New Roman" w:eastAsia="宋体" w:cs="Times New Roman"/>
                <w:b/>
                <w:bCs/>
                <w:kern w:val="0"/>
                <w:sz w:val="24"/>
                <w:szCs w:val="24"/>
                <w:lang w:val="en-US" w:eastAsia="zh-CN"/>
              </w:rPr>
              <w:t>疏浚过程中省考断面保护措施</w:t>
            </w:r>
          </w:p>
          <w:p w14:paraId="186DF7CE">
            <w:pPr>
              <w:adjustRightInd w:val="0"/>
              <w:snapToGrid w:val="0"/>
              <w:spacing w:line="500" w:lineRule="exact"/>
              <w:ind w:firstLine="480" w:firstLineChars="200"/>
              <w:rPr>
                <w:rFonts w:hint="default"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涉及大运河桥、黄码大桥、板闸</w:t>
            </w:r>
            <w:r>
              <w:rPr>
                <w:rFonts w:hint="eastAsia" w:ascii="Times New Roman" w:hAnsi="Times New Roman" w:cs="Times New Roman"/>
                <w:kern w:val="0"/>
                <w:sz w:val="24"/>
                <w:szCs w:val="24"/>
                <w:lang w:val="en-US" w:eastAsia="zh-CN"/>
              </w:rPr>
              <w:t>3处</w:t>
            </w:r>
            <w:r>
              <w:rPr>
                <w:rFonts w:hint="eastAsia" w:ascii="Times New Roman" w:hAnsi="Times New Roman" w:eastAsia="宋体" w:cs="Times New Roman"/>
                <w:kern w:val="0"/>
                <w:sz w:val="24"/>
                <w:szCs w:val="24"/>
                <w:lang w:val="en-US" w:eastAsia="zh-CN"/>
              </w:rPr>
              <w:t>省考断面施工前按照《防范清淤疏浚工程对水质影响工作方案》（苏环办〔</w:t>
            </w:r>
            <w:r>
              <w:rPr>
                <w:rFonts w:hint="default" w:ascii="Times New Roman" w:hAnsi="Times New Roman" w:eastAsia="宋体" w:cs="Times New Roman"/>
                <w:kern w:val="0"/>
                <w:sz w:val="24"/>
                <w:szCs w:val="24"/>
                <w:lang w:val="en-US" w:eastAsia="zh-CN"/>
              </w:rPr>
              <w:t>2021</w:t>
            </w:r>
            <w:r>
              <w:rPr>
                <w:rFonts w:hint="eastAsia"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lang w:val="en-US" w:eastAsia="zh-CN"/>
              </w:rPr>
              <w:t xml:space="preserve">185 </w:t>
            </w:r>
            <w:r>
              <w:rPr>
                <w:rFonts w:hint="eastAsia" w:ascii="Times New Roman" w:hAnsi="Times New Roman" w:eastAsia="宋体" w:cs="Times New Roman"/>
                <w:kern w:val="0"/>
                <w:sz w:val="24"/>
                <w:szCs w:val="24"/>
                <w:lang w:val="en-US" w:eastAsia="zh-CN"/>
              </w:rPr>
              <w:t xml:space="preserve">号）要求，提前向省厅报备，并提供工程实施计划、图片资料等，编制断面水质保障应对方案。 </w:t>
            </w:r>
          </w:p>
          <w:p w14:paraId="45E49C82">
            <w:pPr>
              <w:adjustRightInd w:val="0"/>
              <w:snapToGrid w:val="0"/>
              <w:spacing w:line="500" w:lineRule="exact"/>
              <w:ind w:firstLine="480" w:firstLineChars="200"/>
              <w:rPr>
                <w:rFonts w:hint="default"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优化施工组织，结合</w:t>
            </w:r>
            <w:r>
              <w:rPr>
                <w:rFonts w:hint="eastAsia" w:ascii="Times New Roman" w:hAnsi="Times New Roman" w:cs="Times New Roman"/>
                <w:kern w:val="0"/>
                <w:sz w:val="24"/>
                <w:szCs w:val="24"/>
                <w:lang w:val="en-US" w:eastAsia="zh-CN"/>
              </w:rPr>
              <w:t>京杭</w:t>
            </w:r>
            <w:r>
              <w:rPr>
                <w:rFonts w:hint="eastAsia" w:ascii="Times New Roman" w:hAnsi="Times New Roman" w:eastAsia="宋体" w:cs="Times New Roman"/>
                <w:kern w:val="0"/>
                <w:sz w:val="24"/>
                <w:szCs w:val="24"/>
                <w:lang w:val="en-US" w:eastAsia="zh-CN"/>
              </w:rPr>
              <w:t>运河</w:t>
            </w:r>
            <w:r>
              <w:rPr>
                <w:rFonts w:hint="eastAsia" w:ascii="Times New Roman" w:hAnsi="Times New Roman" w:cs="Times New Roman"/>
                <w:kern w:val="0"/>
                <w:sz w:val="24"/>
                <w:szCs w:val="24"/>
                <w:lang w:val="en-US" w:eastAsia="zh-CN"/>
              </w:rPr>
              <w:t>淮安</w:t>
            </w:r>
            <w:r>
              <w:rPr>
                <w:rFonts w:hint="eastAsia" w:ascii="Times New Roman" w:hAnsi="Times New Roman" w:eastAsia="宋体" w:cs="Times New Roman"/>
                <w:kern w:val="0"/>
                <w:sz w:val="24"/>
                <w:szCs w:val="24"/>
                <w:lang w:val="en-US" w:eastAsia="zh-CN"/>
              </w:rPr>
              <w:t>段常年监测数据，选择对省考断面监测数据影响较小的时段进行施工，避开水质采样时段。大运河桥、板闸</w:t>
            </w:r>
            <w:r>
              <w:rPr>
                <w:rFonts w:hint="eastAsia" w:ascii="Times New Roman" w:hAnsi="Times New Roman" w:cs="Times New Roman"/>
                <w:color w:val="000000"/>
                <w:kern w:val="0"/>
                <w:sz w:val="21"/>
                <w:szCs w:val="21"/>
                <w:lang w:val="en-US" w:eastAsia="zh-CN" w:bidi="ar"/>
              </w:rPr>
              <w:t>、</w:t>
            </w:r>
            <w:r>
              <w:rPr>
                <w:rFonts w:hint="eastAsia" w:ascii="Times New Roman" w:hAnsi="Times New Roman" w:eastAsia="宋体" w:cs="Times New Roman"/>
                <w:kern w:val="0"/>
                <w:sz w:val="24"/>
                <w:szCs w:val="24"/>
                <w:lang w:val="en-US" w:eastAsia="zh-CN"/>
              </w:rPr>
              <w:t>黄码大桥断面</w:t>
            </w:r>
            <w:r>
              <w:rPr>
                <w:rFonts w:hint="eastAsia" w:ascii="Times New Roman" w:hAnsi="Times New Roman" w:cs="Times New Roman"/>
                <w:kern w:val="0"/>
                <w:sz w:val="24"/>
                <w:szCs w:val="24"/>
                <w:lang w:val="en-US" w:eastAsia="zh-CN"/>
              </w:rPr>
              <w:t>3</w:t>
            </w:r>
            <w:r>
              <w:rPr>
                <w:rFonts w:hint="eastAsia" w:ascii="Times New Roman" w:hAnsi="Times New Roman" w:eastAsia="宋体" w:cs="Times New Roman"/>
                <w:kern w:val="0"/>
                <w:sz w:val="24"/>
                <w:szCs w:val="24"/>
                <w:lang w:val="en-US" w:eastAsia="zh-CN"/>
              </w:rPr>
              <w:t xml:space="preserve">个省考断面上下游一公里范围内施工时，将施工时间控制在最小范围。同时，优化施工方案，选择扰动最小的施工方式，如抓斗的开度、抓泥频率等相关参数，施工过程中设置防污帘，尽量减小局部增加的污染物对省考断面的影响。 </w:t>
            </w:r>
          </w:p>
          <w:p w14:paraId="6FA6A5C5">
            <w:pPr>
              <w:adjustRightInd w:val="0"/>
              <w:snapToGrid w:val="0"/>
              <w:spacing w:line="500" w:lineRule="exact"/>
              <w:ind w:firstLine="482" w:firstLineChars="200"/>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（2）淤泥干化场排水处理措施</w:t>
            </w:r>
          </w:p>
          <w:p w14:paraId="6971534B">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本项目共设置1块淤泥干化场，采用三级沉淀进行设置，即每个干化场纵向设置两道格梗，平面上交错布置，形成廊道以增加水力停留时间，提高出水净化效果。淤泥干化场内部设置调流板，调节水流流场，降低水体动能和紊动强度，使排水在沉淀池内的水力停留时间达到</w:t>
            </w:r>
            <w:r>
              <w:rPr>
                <w:rFonts w:hint="default" w:ascii="Times New Roman" w:hAnsi="Times New Roman" w:eastAsia="宋体" w:cs="Times New Roman"/>
                <w:kern w:val="0"/>
                <w:sz w:val="24"/>
                <w:szCs w:val="24"/>
                <w:lang w:val="en-US" w:eastAsia="zh-CN"/>
              </w:rPr>
              <w:t>12</w:t>
            </w:r>
            <w:r>
              <w:rPr>
                <w:rFonts w:hint="eastAsia" w:ascii="Times New Roman" w:hAnsi="Times New Roman" w:eastAsia="宋体" w:cs="Times New Roman"/>
                <w:kern w:val="0"/>
                <w:sz w:val="24"/>
                <w:szCs w:val="24"/>
                <w:lang w:val="en-US" w:eastAsia="zh-CN"/>
              </w:rPr>
              <w:t>小时以上。同时在淤泥干化场围堰四周</w:t>
            </w:r>
            <w:r>
              <w:rPr>
                <w:rFonts w:hint="eastAsia" w:cs="Times New Roman"/>
                <w:kern w:val="0"/>
                <w:sz w:val="24"/>
                <w:szCs w:val="24"/>
                <w:lang w:val="en-US" w:eastAsia="zh-CN"/>
              </w:rPr>
              <w:t>设置</w:t>
            </w:r>
            <w:r>
              <w:rPr>
                <w:rFonts w:hint="eastAsia" w:ascii="Times New Roman" w:hAnsi="Times New Roman" w:eastAsia="宋体" w:cs="Times New Roman"/>
                <w:kern w:val="0"/>
                <w:sz w:val="24"/>
                <w:szCs w:val="24"/>
                <w:lang w:val="en-US" w:eastAsia="zh-CN"/>
              </w:rPr>
              <w:t>一圈溢流槽，处理后余水通过溢流槽进一步沉淀后排向附近水体，进一步降低余水中污染物浓度。本次沉淀采取自然沉淀方式、不投入药剂。</w:t>
            </w:r>
          </w:p>
          <w:p w14:paraId="0C03CB86">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具体余水处理工艺流程见图</w:t>
            </w:r>
            <w:r>
              <w:rPr>
                <w:rFonts w:hint="eastAsia" w:ascii="Times New Roman" w:hAnsi="Times New Roman" w:cs="Times New Roman"/>
                <w:kern w:val="0"/>
                <w:sz w:val="24"/>
                <w:szCs w:val="24"/>
                <w:lang w:val="en-US" w:eastAsia="zh-CN"/>
              </w:rPr>
              <w:t>5</w:t>
            </w:r>
            <w:r>
              <w:rPr>
                <w:rFonts w:hint="default" w:ascii="Times New Roman" w:hAnsi="Times New Roman" w:eastAsia="宋体" w:cs="Times New Roman"/>
                <w:kern w:val="0"/>
                <w:sz w:val="24"/>
                <w:szCs w:val="24"/>
                <w:lang w:val="en-US" w:eastAsia="zh-CN"/>
              </w:rPr>
              <w:t>-1</w:t>
            </w:r>
            <w:r>
              <w:rPr>
                <w:rFonts w:hint="eastAsia" w:ascii="Times New Roman" w:hAnsi="Times New Roman" w:eastAsia="宋体" w:cs="Times New Roman"/>
                <w:kern w:val="0"/>
                <w:sz w:val="24"/>
                <w:szCs w:val="24"/>
                <w:lang w:val="en-US" w:eastAsia="zh-CN"/>
              </w:rPr>
              <w:t>。</w:t>
            </w:r>
          </w:p>
          <w:p w14:paraId="77BB338C">
            <w:pPr>
              <w:pStyle w:val="88"/>
              <w:ind w:left="0" w:leftChars="0" w:firstLine="0" w:firstLineChars="0"/>
              <w:jc w:val="center"/>
              <w:rPr>
                <w:rFonts w:hint="eastAsia" w:ascii="宋体" w:hAnsi="宋体" w:eastAsia="宋体" w:cs="宋体"/>
                <w:color w:val="000000"/>
                <w:kern w:val="0"/>
                <w:sz w:val="24"/>
                <w:szCs w:val="24"/>
                <w:lang w:val="en-US" w:eastAsia="zh-CN" w:bidi="ar"/>
              </w:rPr>
            </w:pPr>
            <w:r>
              <w:drawing>
                <wp:inline distT="0" distB="0" distL="114300" distR="114300">
                  <wp:extent cx="4608195" cy="1578610"/>
                  <wp:effectExtent l="0" t="0" r="1905" b="254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00"/>
                          <a:stretch>
                            <a:fillRect/>
                          </a:stretch>
                        </pic:blipFill>
                        <pic:spPr>
                          <a:xfrm>
                            <a:off x="0" y="0"/>
                            <a:ext cx="4608195" cy="1578610"/>
                          </a:xfrm>
                          <a:prstGeom prst="rect">
                            <a:avLst/>
                          </a:prstGeom>
                          <a:noFill/>
                          <a:ln>
                            <a:noFill/>
                          </a:ln>
                        </pic:spPr>
                      </pic:pic>
                    </a:graphicData>
                  </a:graphic>
                </wp:inline>
              </w:drawing>
            </w:r>
          </w:p>
          <w:p w14:paraId="61BE130E">
            <w:pPr>
              <w:adjustRightInd w:val="0"/>
              <w:snapToGrid w:val="0"/>
              <w:spacing w:line="500" w:lineRule="exact"/>
              <w:ind w:firstLine="482" w:firstLineChars="200"/>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b/>
                <w:bCs/>
                <w:kern w:val="0"/>
                <w:sz w:val="24"/>
                <w:szCs w:val="24"/>
                <w:lang w:val="en-US" w:eastAsia="zh-CN"/>
              </w:rPr>
              <w:t>图</w:t>
            </w:r>
            <w:r>
              <w:rPr>
                <w:rFonts w:hint="eastAsia" w:ascii="Times New Roman" w:hAnsi="Times New Roman" w:cs="Times New Roman"/>
                <w:b/>
                <w:bCs/>
                <w:kern w:val="0"/>
                <w:sz w:val="24"/>
                <w:szCs w:val="24"/>
                <w:lang w:val="en-US" w:eastAsia="zh-CN"/>
              </w:rPr>
              <w:t>5</w:t>
            </w:r>
            <w:r>
              <w:rPr>
                <w:rFonts w:hint="default" w:ascii="Times New Roman" w:hAnsi="Times New Roman" w:eastAsia="宋体" w:cs="Times New Roman"/>
                <w:b/>
                <w:bCs/>
                <w:kern w:val="0"/>
                <w:sz w:val="24"/>
                <w:szCs w:val="24"/>
                <w:lang w:val="en-US" w:eastAsia="zh-CN"/>
              </w:rPr>
              <w:t xml:space="preserve">-1 </w:t>
            </w:r>
            <w:r>
              <w:rPr>
                <w:rFonts w:hint="eastAsia" w:ascii="Times New Roman" w:hAnsi="Times New Roman" w:eastAsia="宋体" w:cs="Times New Roman"/>
                <w:b/>
                <w:bCs/>
                <w:kern w:val="0"/>
                <w:sz w:val="24"/>
                <w:szCs w:val="24"/>
                <w:lang w:val="en-US" w:eastAsia="zh-CN"/>
              </w:rPr>
              <w:t>疏浚区处理工艺流程示意图</w:t>
            </w:r>
          </w:p>
          <w:p w14:paraId="36374FDE">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干化场使用过程中应注意的方面主要包括： </w:t>
            </w:r>
          </w:p>
          <w:p w14:paraId="5CFB7CE0">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a.</w:t>
            </w:r>
            <w:r>
              <w:rPr>
                <w:rFonts w:hint="eastAsia" w:ascii="Times New Roman" w:hAnsi="Times New Roman" w:eastAsia="宋体" w:cs="Times New Roman"/>
                <w:kern w:val="0"/>
                <w:sz w:val="24"/>
                <w:szCs w:val="24"/>
                <w:lang w:val="en-US" w:eastAsia="zh-CN"/>
              </w:rPr>
              <w:t xml:space="preserve">在使用初期，场内有较深的富余水深，可起到滞留作用，达到促进沉降的目的。 使用后期，出水口应尽量远离退水口，尽量延长尾水流程，增加尾水沉淀时间，降低尾水中的泥沙含量。 </w:t>
            </w:r>
          </w:p>
          <w:p w14:paraId="6F2625EB">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b.</w:t>
            </w:r>
            <w:r>
              <w:rPr>
                <w:rFonts w:hint="eastAsia" w:ascii="Times New Roman" w:hAnsi="Times New Roman" w:eastAsia="宋体" w:cs="Times New Roman"/>
                <w:kern w:val="0"/>
                <w:sz w:val="24"/>
                <w:szCs w:val="24"/>
                <w:lang w:val="en-US" w:eastAsia="zh-CN"/>
              </w:rPr>
              <w:t>在干化场中增加横向隔埂以保证水体中泥沙的沉淀时间在</w:t>
            </w:r>
            <w:r>
              <w:rPr>
                <w:rFonts w:hint="default" w:ascii="Times New Roman" w:hAnsi="Times New Roman" w:eastAsia="宋体" w:cs="Times New Roman"/>
                <w:kern w:val="0"/>
                <w:sz w:val="24"/>
                <w:szCs w:val="24"/>
                <w:lang w:val="en-US" w:eastAsia="zh-CN"/>
              </w:rPr>
              <w:t>12</w:t>
            </w:r>
            <w:r>
              <w:rPr>
                <w:rFonts w:hint="eastAsia" w:ascii="Times New Roman" w:hAnsi="Times New Roman" w:eastAsia="宋体" w:cs="Times New Roman"/>
                <w:kern w:val="0"/>
                <w:sz w:val="24"/>
                <w:szCs w:val="24"/>
                <w:lang w:val="en-US" w:eastAsia="zh-CN"/>
              </w:rPr>
              <w:t xml:space="preserve">小时以上。 </w:t>
            </w:r>
          </w:p>
          <w:p w14:paraId="1FDC9386">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c.</w:t>
            </w:r>
            <w:r>
              <w:rPr>
                <w:rFonts w:hint="eastAsia" w:ascii="Times New Roman" w:hAnsi="Times New Roman" w:eastAsia="宋体" w:cs="Times New Roman"/>
                <w:kern w:val="0"/>
                <w:sz w:val="24"/>
                <w:szCs w:val="24"/>
                <w:lang w:val="en-US" w:eastAsia="zh-CN"/>
              </w:rPr>
              <w:t xml:space="preserve">为尽量延长含泥水在排泥场中的停留时间，在满足排泥场设计要求的前提下，必要时加高退水口溢流高度。 </w:t>
            </w:r>
          </w:p>
          <w:p w14:paraId="20699BC1">
            <w:pPr>
              <w:adjustRightInd w:val="0"/>
              <w:snapToGrid w:val="0"/>
              <w:spacing w:line="500" w:lineRule="exact"/>
              <w:ind w:firstLine="480" w:firstLineChars="200"/>
            </w:pPr>
            <w:r>
              <w:rPr>
                <w:rFonts w:hint="default" w:ascii="Times New Roman" w:hAnsi="Times New Roman" w:eastAsia="宋体" w:cs="Times New Roman"/>
                <w:kern w:val="0"/>
                <w:sz w:val="24"/>
                <w:szCs w:val="24"/>
                <w:lang w:val="en-US" w:eastAsia="zh-CN"/>
              </w:rPr>
              <w:t>d.</w:t>
            </w:r>
            <w:r>
              <w:rPr>
                <w:rFonts w:hint="eastAsia" w:ascii="Times New Roman" w:hAnsi="Times New Roman" w:eastAsia="宋体" w:cs="Times New Roman"/>
                <w:kern w:val="0"/>
                <w:sz w:val="24"/>
                <w:szCs w:val="24"/>
                <w:lang w:val="en-US" w:eastAsia="zh-CN"/>
              </w:rPr>
              <w:t xml:space="preserve">根据类比同类项目，可采取在排放口设置两层土工布进行拦截过滤。 </w:t>
            </w:r>
          </w:p>
          <w:p w14:paraId="1B344791">
            <w:pPr>
              <w:spacing w:line="480" w:lineRule="exact"/>
              <w:ind w:firstLine="480" w:firstLineChars="200"/>
              <w:jc w:val="both"/>
              <w:rPr>
                <w:color w:val="auto"/>
                <w:sz w:val="24"/>
                <w:highlight w:val="none"/>
              </w:rPr>
            </w:pPr>
            <w:r>
              <w:rPr>
                <w:rFonts w:hint="eastAsia"/>
                <w:color w:val="auto"/>
                <w:sz w:val="24"/>
                <w:highlight w:val="none"/>
              </w:rPr>
              <w:t>采用三级沉淀方式处理清淤污泥余水，余水排入周边水体</w:t>
            </w:r>
            <w:r>
              <w:rPr>
                <w:color w:val="auto"/>
                <w:sz w:val="24"/>
                <w:highlight w:val="none"/>
              </w:rPr>
              <w:t>。</w:t>
            </w:r>
            <w:r>
              <w:rPr>
                <w:rFonts w:hint="eastAsia"/>
                <w:color w:val="auto"/>
                <w:sz w:val="24"/>
                <w:highlight w:val="none"/>
                <w:lang w:val="en-US" w:eastAsia="zh-CN"/>
              </w:rPr>
              <w:t>类比</w:t>
            </w:r>
            <w:r>
              <w:rPr>
                <w:color w:val="auto"/>
                <w:sz w:val="24"/>
                <w:highlight w:val="none"/>
              </w:rPr>
              <w:t>《通扬线通吕运河航道整治工程》</w:t>
            </w:r>
            <w:r>
              <w:rPr>
                <w:rFonts w:hint="eastAsia"/>
                <w:color w:val="auto"/>
                <w:sz w:val="24"/>
                <w:highlight w:val="none"/>
                <w:lang w:eastAsia="zh-CN"/>
              </w:rPr>
              <w:t>、</w:t>
            </w:r>
            <w:r>
              <w:rPr>
                <w:color w:val="auto"/>
                <w:sz w:val="24"/>
                <w:highlight w:val="none"/>
              </w:rPr>
              <w:t>《锡澄运河（黄昌河</w:t>
            </w:r>
            <w:r>
              <w:rPr>
                <w:rFonts w:hint="eastAsia"/>
                <w:color w:val="auto"/>
                <w:sz w:val="24"/>
                <w:highlight w:val="none"/>
                <w:lang w:eastAsia="zh-CN"/>
              </w:rPr>
              <w:t>～</w:t>
            </w:r>
            <w:r>
              <w:rPr>
                <w:color w:val="auto"/>
                <w:sz w:val="24"/>
                <w:highlight w:val="none"/>
              </w:rPr>
              <w:t>长江段）整治工程》施工期监测数据可知，</w:t>
            </w:r>
            <w:r>
              <w:rPr>
                <w:rFonts w:hint="eastAsia"/>
                <w:color w:val="auto"/>
                <w:sz w:val="24"/>
                <w:highlight w:val="none"/>
              </w:rPr>
              <w:t>经三级沉淀处理后</w:t>
            </w:r>
            <w:r>
              <w:rPr>
                <w:color w:val="auto"/>
                <w:sz w:val="24"/>
                <w:highlight w:val="none"/>
              </w:rPr>
              <w:t>淤泥干化场尾水中SS浓度值为23</w:t>
            </w:r>
            <w:r>
              <w:rPr>
                <w:rFonts w:hint="eastAsia"/>
                <w:color w:val="auto"/>
                <w:sz w:val="24"/>
                <w:highlight w:val="none"/>
                <w:lang w:eastAsia="zh-CN"/>
              </w:rPr>
              <w:t>～</w:t>
            </w:r>
            <w:r>
              <w:rPr>
                <w:color w:val="auto"/>
                <w:sz w:val="24"/>
                <w:highlight w:val="none"/>
              </w:rPr>
              <w:t>27mg/L，余水中各污染物浓度能够满足《地表水环境质量标准》（GB3838-2002）中的Ⅲ类水体标准。因此，本次干化场余水中各污染物浓度预计能满足《地表水环境质量标准》（GB3838-2002）中的Ⅲ类水体标准要求，施工过程中需加强监测，确保余水稳定达标排放。</w:t>
            </w:r>
          </w:p>
          <w:p w14:paraId="187A274B">
            <w:pPr>
              <w:spacing w:line="480" w:lineRule="exact"/>
              <w:ind w:firstLine="482" w:firstLineChars="200"/>
              <w:jc w:val="center"/>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表</w:t>
            </w:r>
            <w:r>
              <w:rPr>
                <w:rFonts w:hint="eastAsia" w:ascii="Times New Roman" w:hAnsi="Times New Roman" w:eastAsia="宋体" w:cs="Times New Roman"/>
                <w:b/>
                <w:bCs/>
                <w:color w:val="auto"/>
                <w:spacing w:val="0"/>
                <w:kern w:val="2"/>
                <w:sz w:val="24"/>
                <w:szCs w:val="24"/>
                <w:highlight w:val="none"/>
                <w:lang w:val="en-US" w:eastAsia="zh-CN" w:bidi="ar-SA"/>
              </w:rPr>
              <w:t>4.1-4</w:t>
            </w:r>
            <w:r>
              <w:rPr>
                <w:rFonts w:hint="default" w:ascii="Times New Roman" w:hAnsi="Times New Roman" w:eastAsia="宋体" w:cs="Times New Roman"/>
                <w:b/>
                <w:bCs/>
                <w:color w:val="auto"/>
                <w:spacing w:val="0"/>
                <w:kern w:val="2"/>
                <w:sz w:val="24"/>
                <w:szCs w:val="24"/>
                <w:highlight w:val="none"/>
                <w:lang w:val="en-US" w:eastAsia="zh-CN" w:bidi="ar-SA"/>
              </w:rPr>
              <w:t xml:space="preserve">   类比项目淤泥干化场余水中各污染物浓度</w:t>
            </w:r>
          </w:p>
          <w:tbl>
            <w:tblPr>
              <w:tblStyle w:val="89"/>
              <w:tblW w:w="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760"/>
              <w:gridCol w:w="2100"/>
              <w:gridCol w:w="4144"/>
            </w:tblGrid>
            <w:tr w14:paraId="5D57C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tcBorders>
                    <w:tl2br w:val="nil"/>
                    <w:tr2bl w:val="nil"/>
                  </w:tcBorders>
                  <w:noWrap w:val="0"/>
                  <w:vAlign w:val="center"/>
                </w:tcPr>
                <w:p w14:paraId="2BF20891">
                  <w:pPr>
                    <w:widowControl w:val="0"/>
                    <w:spacing w:line="480" w:lineRule="exact"/>
                    <w:jc w:val="center"/>
                    <w:rPr>
                      <w:b/>
                      <w:color w:val="auto"/>
                      <w:highlight w:val="none"/>
                    </w:rPr>
                  </w:pPr>
                  <w:r>
                    <w:rPr>
                      <w:b/>
                      <w:color w:val="auto"/>
                      <w:highlight w:val="none"/>
                    </w:rPr>
                    <w:t>序号</w:t>
                  </w:r>
                </w:p>
              </w:tc>
              <w:tc>
                <w:tcPr>
                  <w:tcW w:w="1787" w:type="dxa"/>
                  <w:tcBorders>
                    <w:tl2br w:val="nil"/>
                    <w:tr2bl w:val="nil"/>
                  </w:tcBorders>
                  <w:noWrap w:val="0"/>
                  <w:vAlign w:val="center"/>
                </w:tcPr>
                <w:p w14:paraId="457A69AB">
                  <w:pPr>
                    <w:widowControl w:val="0"/>
                    <w:spacing w:line="480" w:lineRule="exact"/>
                    <w:jc w:val="center"/>
                    <w:rPr>
                      <w:b/>
                      <w:color w:val="auto"/>
                      <w:highlight w:val="none"/>
                    </w:rPr>
                  </w:pPr>
                  <w:r>
                    <w:rPr>
                      <w:b/>
                      <w:color w:val="auto"/>
                      <w:highlight w:val="none"/>
                    </w:rPr>
                    <w:t>污染物种类</w:t>
                  </w:r>
                </w:p>
              </w:tc>
              <w:tc>
                <w:tcPr>
                  <w:tcW w:w="2124" w:type="dxa"/>
                  <w:tcBorders>
                    <w:tl2br w:val="nil"/>
                    <w:tr2bl w:val="nil"/>
                  </w:tcBorders>
                  <w:noWrap w:val="0"/>
                  <w:vAlign w:val="center"/>
                </w:tcPr>
                <w:p w14:paraId="070E2498">
                  <w:pPr>
                    <w:widowControl w:val="0"/>
                    <w:spacing w:line="480" w:lineRule="exact"/>
                    <w:jc w:val="center"/>
                    <w:rPr>
                      <w:b/>
                      <w:color w:val="auto"/>
                      <w:highlight w:val="none"/>
                    </w:rPr>
                  </w:pPr>
                  <w:r>
                    <w:rPr>
                      <w:b/>
                      <w:color w:val="auto"/>
                      <w:highlight w:val="none"/>
                    </w:rPr>
                    <w:t>浓度（mg/L）</w:t>
                  </w:r>
                </w:p>
              </w:tc>
              <w:tc>
                <w:tcPr>
                  <w:tcW w:w="4231" w:type="dxa"/>
                  <w:tcBorders>
                    <w:tl2br w:val="nil"/>
                    <w:tr2bl w:val="nil"/>
                  </w:tcBorders>
                  <w:noWrap w:val="0"/>
                  <w:vAlign w:val="center"/>
                </w:tcPr>
                <w:p w14:paraId="50A222CD">
                  <w:pPr>
                    <w:widowControl w:val="0"/>
                    <w:spacing w:line="480" w:lineRule="exact"/>
                    <w:jc w:val="center"/>
                    <w:rPr>
                      <w:b/>
                      <w:color w:val="auto"/>
                      <w:highlight w:val="none"/>
                    </w:rPr>
                  </w:pPr>
                  <w:r>
                    <w:rPr>
                      <w:b/>
                      <w:color w:val="auto"/>
                      <w:highlight w:val="none"/>
                    </w:rPr>
                    <w:t>来源</w:t>
                  </w:r>
                </w:p>
              </w:tc>
            </w:tr>
            <w:tr w14:paraId="2A4B9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tcBorders>
                    <w:tl2br w:val="nil"/>
                    <w:tr2bl w:val="nil"/>
                  </w:tcBorders>
                  <w:noWrap w:val="0"/>
                  <w:vAlign w:val="center"/>
                </w:tcPr>
                <w:p w14:paraId="7ED7B575">
                  <w:pPr>
                    <w:widowControl w:val="0"/>
                    <w:spacing w:line="480" w:lineRule="exact"/>
                    <w:jc w:val="center"/>
                    <w:rPr>
                      <w:color w:val="auto"/>
                      <w:highlight w:val="none"/>
                    </w:rPr>
                  </w:pPr>
                  <w:r>
                    <w:rPr>
                      <w:color w:val="auto"/>
                      <w:highlight w:val="none"/>
                    </w:rPr>
                    <w:t>1</w:t>
                  </w:r>
                </w:p>
              </w:tc>
              <w:tc>
                <w:tcPr>
                  <w:tcW w:w="1787" w:type="dxa"/>
                  <w:tcBorders>
                    <w:tl2br w:val="nil"/>
                    <w:tr2bl w:val="nil"/>
                  </w:tcBorders>
                  <w:noWrap w:val="0"/>
                  <w:vAlign w:val="center"/>
                </w:tcPr>
                <w:p w14:paraId="6651E059">
                  <w:pPr>
                    <w:widowControl w:val="0"/>
                    <w:spacing w:line="480" w:lineRule="exact"/>
                    <w:jc w:val="center"/>
                    <w:rPr>
                      <w:color w:val="auto"/>
                      <w:highlight w:val="none"/>
                    </w:rPr>
                  </w:pPr>
                  <w:r>
                    <w:rPr>
                      <w:color w:val="auto"/>
                      <w:highlight w:val="none"/>
                    </w:rPr>
                    <w:t>COD</w:t>
                  </w:r>
                </w:p>
              </w:tc>
              <w:tc>
                <w:tcPr>
                  <w:tcW w:w="2124" w:type="dxa"/>
                  <w:tcBorders>
                    <w:tl2br w:val="nil"/>
                    <w:tr2bl w:val="nil"/>
                  </w:tcBorders>
                  <w:noWrap w:val="0"/>
                  <w:vAlign w:val="center"/>
                </w:tcPr>
                <w:p w14:paraId="4F489A78">
                  <w:pPr>
                    <w:widowControl w:val="0"/>
                    <w:spacing w:line="480" w:lineRule="exact"/>
                    <w:jc w:val="center"/>
                    <w:rPr>
                      <w:color w:val="auto"/>
                      <w:highlight w:val="none"/>
                    </w:rPr>
                  </w:pPr>
                  <w:r>
                    <w:rPr>
                      <w:color w:val="auto"/>
                      <w:highlight w:val="none"/>
                    </w:rPr>
                    <w:t>4.1</w:t>
                  </w:r>
                </w:p>
              </w:tc>
              <w:tc>
                <w:tcPr>
                  <w:tcW w:w="4231" w:type="dxa"/>
                  <w:vMerge w:val="restart"/>
                  <w:tcBorders>
                    <w:tl2br w:val="nil"/>
                    <w:tr2bl w:val="nil"/>
                  </w:tcBorders>
                  <w:noWrap w:val="0"/>
                  <w:vAlign w:val="center"/>
                </w:tcPr>
                <w:p w14:paraId="161F0F2E">
                  <w:pPr>
                    <w:widowControl w:val="0"/>
                    <w:spacing w:line="480" w:lineRule="exact"/>
                    <w:jc w:val="center"/>
                    <w:rPr>
                      <w:color w:val="auto"/>
                      <w:highlight w:val="none"/>
                    </w:rPr>
                  </w:pPr>
                  <w:r>
                    <w:rPr>
                      <w:color w:val="auto"/>
                      <w:highlight w:val="none"/>
                    </w:rPr>
                    <w:t>《通扬线通吕运河航道整治工程》</w:t>
                  </w:r>
                </w:p>
              </w:tc>
            </w:tr>
            <w:tr w14:paraId="472C9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tcBorders>
                    <w:tl2br w:val="nil"/>
                    <w:tr2bl w:val="nil"/>
                  </w:tcBorders>
                  <w:noWrap w:val="0"/>
                  <w:vAlign w:val="center"/>
                </w:tcPr>
                <w:p w14:paraId="02B2BB97">
                  <w:pPr>
                    <w:widowControl w:val="0"/>
                    <w:spacing w:line="480" w:lineRule="exact"/>
                    <w:jc w:val="center"/>
                    <w:rPr>
                      <w:color w:val="auto"/>
                      <w:highlight w:val="none"/>
                    </w:rPr>
                  </w:pPr>
                  <w:r>
                    <w:rPr>
                      <w:color w:val="auto"/>
                      <w:highlight w:val="none"/>
                    </w:rPr>
                    <w:t>2</w:t>
                  </w:r>
                </w:p>
              </w:tc>
              <w:tc>
                <w:tcPr>
                  <w:tcW w:w="1787" w:type="dxa"/>
                  <w:tcBorders>
                    <w:tl2br w:val="nil"/>
                    <w:tr2bl w:val="nil"/>
                  </w:tcBorders>
                  <w:noWrap w:val="0"/>
                  <w:vAlign w:val="center"/>
                </w:tcPr>
                <w:p w14:paraId="4DAC7A6E">
                  <w:pPr>
                    <w:widowControl w:val="0"/>
                    <w:spacing w:line="480" w:lineRule="exact"/>
                    <w:jc w:val="center"/>
                    <w:rPr>
                      <w:color w:val="auto"/>
                      <w:highlight w:val="none"/>
                    </w:rPr>
                  </w:pPr>
                  <w:r>
                    <w:rPr>
                      <w:color w:val="auto"/>
                      <w:highlight w:val="none"/>
                    </w:rPr>
                    <w:t>氨氮</w:t>
                  </w:r>
                </w:p>
              </w:tc>
              <w:tc>
                <w:tcPr>
                  <w:tcW w:w="2124" w:type="dxa"/>
                  <w:tcBorders>
                    <w:tl2br w:val="nil"/>
                    <w:tr2bl w:val="nil"/>
                  </w:tcBorders>
                  <w:noWrap w:val="0"/>
                  <w:vAlign w:val="center"/>
                </w:tcPr>
                <w:p w14:paraId="15B3EB29">
                  <w:pPr>
                    <w:widowControl w:val="0"/>
                    <w:spacing w:line="480" w:lineRule="exact"/>
                    <w:jc w:val="center"/>
                    <w:rPr>
                      <w:color w:val="auto"/>
                      <w:highlight w:val="none"/>
                    </w:rPr>
                  </w:pPr>
                  <w:r>
                    <w:rPr>
                      <w:color w:val="auto"/>
                      <w:highlight w:val="none"/>
                    </w:rPr>
                    <w:t>0.42</w:t>
                  </w:r>
                </w:p>
              </w:tc>
              <w:tc>
                <w:tcPr>
                  <w:tcW w:w="4231" w:type="dxa"/>
                  <w:vMerge w:val="continue"/>
                  <w:tcBorders>
                    <w:tl2br w:val="nil"/>
                    <w:tr2bl w:val="nil"/>
                  </w:tcBorders>
                  <w:noWrap w:val="0"/>
                  <w:vAlign w:val="center"/>
                </w:tcPr>
                <w:p w14:paraId="643F7E9E">
                  <w:pPr>
                    <w:widowControl w:val="0"/>
                    <w:spacing w:line="480" w:lineRule="exact"/>
                    <w:jc w:val="center"/>
                    <w:rPr>
                      <w:color w:val="auto"/>
                      <w:highlight w:val="none"/>
                    </w:rPr>
                  </w:pPr>
                </w:p>
              </w:tc>
            </w:tr>
            <w:tr w14:paraId="4C628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tcBorders>
                    <w:tl2br w:val="nil"/>
                    <w:tr2bl w:val="nil"/>
                  </w:tcBorders>
                  <w:noWrap w:val="0"/>
                  <w:vAlign w:val="center"/>
                </w:tcPr>
                <w:p w14:paraId="48DC5217">
                  <w:pPr>
                    <w:widowControl w:val="0"/>
                    <w:spacing w:line="480" w:lineRule="exact"/>
                    <w:jc w:val="center"/>
                    <w:rPr>
                      <w:color w:val="auto"/>
                      <w:highlight w:val="none"/>
                    </w:rPr>
                  </w:pPr>
                  <w:r>
                    <w:rPr>
                      <w:color w:val="auto"/>
                      <w:highlight w:val="none"/>
                    </w:rPr>
                    <w:t>3</w:t>
                  </w:r>
                </w:p>
              </w:tc>
              <w:tc>
                <w:tcPr>
                  <w:tcW w:w="1787" w:type="dxa"/>
                  <w:tcBorders>
                    <w:tl2br w:val="nil"/>
                    <w:tr2bl w:val="nil"/>
                  </w:tcBorders>
                  <w:noWrap w:val="0"/>
                  <w:vAlign w:val="center"/>
                </w:tcPr>
                <w:p w14:paraId="65CA15FA">
                  <w:pPr>
                    <w:widowControl w:val="0"/>
                    <w:spacing w:line="480" w:lineRule="exact"/>
                    <w:jc w:val="center"/>
                    <w:rPr>
                      <w:color w:val="auto"/>
                      <w:highlight w:val="none"/>
                    </w:rPr>
                  </w:pPr>
                  <w:r>
                    <w:rPr>
                      <w:color w:val="auto"/>
                      <w:highlight w:val="none"/>
                    </w:rPr>
                    <w:t>TP</w:t>
                  </w:r>
                </w:p>
              </w:tc>
              <w:tc>
                <w:tcPr>
                  <w:tcW w:w="2124" w:type="dxa"/>
                  <w:tcBorders>
                    <w:tl2br w:val="nil"/>
                    <w:tr2bl w:val="nil"/>
                  </w:tcBorders>
                  <w:noWrap w:val="0"/>
                  <w:vAlign w:val="center"/>
                </w:tcPr>
                <w:p w14:paraId="14B38E6A">
                  <w:pPr>
                    <w:widowControl w:val="0"/>
                    <w:spacing w:line="480" w:lineRule="exact"/>
                    <w:jc w:val="center"/>
                    <w:rPr>
                      <w:color w:val="auto"/>
                      <w:highlight w:val="none"/>
                    </w:rPr>
                  </w:pPr>
                  <w:r>
                    <w:rPr>
                      <w:color w:val="auto"/>
                      <w:highlight w:val="none"/>
                    </w:rPr>
                    <w:t>0.12</w:t>
                  </w:r>
                </w:p>
              </w:tc>
              <w:tc>
                <w:tcPr>
                  <w:tcW w:w="4231" w:type="dxa"/>
                  <w:vMerge w:val="continue"/>
                  <w:tcBorders>
                    <w:tl2br w:val="nil"/>
                    <w:tr2bl w:val="nil"/>
                  </w:tcBorders>
                  <w:noWrap w:val="0"/>
                  <w:vAlign w:val="center"/>
                </w:tcPr>
                <w:p w14:paraId="4602D3F7">
                  <w:pPr>
                    <w:widowControl w:val="0"/>
                    <w:spacing w:line="480" w:lineRule="exact"/>
                    <w:jc w:val="center"/>
                    <w:rPr>
                      <w:color w:val="auto"/>
                      <w:highlight w:val="none"/>
                    </w:rPr>
                  </w:pPr>
                </w:p>
              </w:tc>
            </w:tr>
            <w:tr w14:paraId="2DA4C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 w:type="dxa"/>
                  <w:tcBorders>
                    <w:tl2br w:val="nil"/>
                    <w:tr2bl w:val="nil"/>
                  </w:tcBorders>
                  <w:noWrap w:val="0"/>
                  <w:vAlign w:val="center"/>
                </w:tcPr>
                <w:p w14:paraId="582D61CD">
                  <w:pPr>
                    <w:widowControl w:val="0"/>
                    <w:spacing w:line="480" w:lineRule="exact"/>
                    <w:jc w:val="center"/>
                    <w:rPr>
                      <w:color w:val="auto"/>
                      <w:highlight w:val="none"/>
                    </w:rPr>
                  </w:pPr>
                  <w:r>
                    <w:rPr>
                      <w:color w:val="auto"/>
                      <w:highlight w:val="none"/>
                    </w:rPr>
                    <w:t>4</w:t>
                  </w:r>
                </w:p>
              </w:tc>
              <w:tc>
                <w:tcPr>
                  <w:tcW w:w="1787" w:type="dxa"/>
                  <w:tcBorders>
                    <w:tl2br w:val="nil"/>
                    <w:tr2bl w:val="nil"/>
                  </w:tcBorders>
                  <w:noWrap w:val="0"/>
                  <w:vAlign w:val="center"/>
                </w:tcPr>
                <w:p w14:paraId="5EBFB733">
                  <w:pPr>
                    <w:widowControl w:val="0"/>
                    <w:spacing w:line="480" w:lineRule="exact"/>
                    <w:jc w:val="center"/>
                    <w:rPr>
                      <w:color w:val="auto"/>
                      <w:highlight w:val="none"/>
                    </w:rPr>
                  </w:pPr>
                  <w:r>
                    <w:rPr>
                      <w:color w:val="auto"/>
                      <w:highlight w:val="none"/>
                    </w:rPr>
                    <w:t>SS</w:t>
                  </w:r>
                </w:p>
              </w:tc>
              <w:tc>
                <w:tcPr>
                  <w:tcW w:w="2124" w:type="dxa"/>
                  <w:tcBorders>
                    <w:tl2br w:val="nil"/>
                    <w:tr2bl w:val="nil"/>
                  </w:tcBorders>
                  <w:noWrap w:val="0"/>
                  <w:vAlign w:val="center"/>
                </w:tcPr>
                <w:p w14:paraId="72B492A5">
                  <w:pPr>
                    <w:widowControl w:val="0"/>
                    <w:spacing w:line="480" w:lineRule="exact"/>
                    <w:jc w:val="center"/>
                    <w:rPr>
                      <w:color w:val="auto"/>
                      <w:highlight w:val="none"/>
                    </w:rPr>
                  </w:pPr>
                  <w:r>
                    <w:rPr>
                      <w:color w:val="auto"/>
                      <w:highlight w:val="none"/>
                    </w:rPr>
                    <w:t>23~27</w:t>
                  </w:r>
                </w:p>
              </w:tc>
              <w:tc>
                <w:tcPr>
                  <w:tcW w:w="4231" w:type="dxa"/>
                  <w:tcBorders>
                    <w:tl2br w:val="nil"/>
                    <w:tr2bl w:val="nil"/>
                  </w:tcBorders>
                  <w:noWrap w:val="0"/>
                  <w:vAlign w:val="center"/>
                </w:tcPr>
                <w:p w14:paraId="79D42101">
                  <w:pPr>
                    <w:widowControl w:val="0"/>
                    <w:spacing w:line="480" w:lineRule="exact"/>
                    <w:jc w:val="center"/>
                    <w:rPr>
                      <w:color w:val="auto"/>
                      <w:highlight w:val="none"/>
                    </w:rPr>
                  </w:pPr>
                  <w:r>
                    <w:rPr>
                      <w:color w:val="auto"/>
                      <w:highlight w:val="none"/>
                    </w:rPr>
                    <w:t>《锡澄运河（黄昌河</w:t>
                  </w:r>
                  <w:r>
                    <w:rPr>
                      <w:rFonts w:hint="eastAsia"/>
                      <w:color w:val="auto"/>
                      <w:highlight w:val="none"/>
                      <w:lang w:eastAsia="zh-CN"/>
                    </w:rPr>
                    <w:t>～</w:t>
                  </w:r>
                  <w:r>
                    <w:rPr>
                      <w:color w:val="auto"/>
                      <w:highlight w:val="none"/>
                    </w:rPr>
                    <w:t>长江段）整治工程》</w:t>
                  </w:r>
                </w:p>
              </w:tc>
            </w:tr>
          </w:tbl>
          <w:p w14:paraId="6F668ECB">
            <w:pPr>
              <w:adjustRightInd w:val="0"/>
              <w:snapToGrid w:val="0"/>
              <w:spacing w:line="500" w:lineRule="exact"/>
              <w:ind w:firstLine="482"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b/>
                <w:bCs/>
                <w:kern w:val="0"/>
                <w:sz w:val="24"/>
                <w:szCs w:val="24"/>
                <w:lang w:val="en-US" w:eastAsia="zh-CN"/>
              </w:rPr>
              <w:t>（3）淤泥产生、运输、处置过程中环境保护措施</w:t>
            </w:r>
            <w:r>
              <w:rPr>
                <w:rFonts w:hint="eastAsia" w:ascii="Times New Roman" w:hAnsi="Times New Roman" w:eastAsia="宋体" w:cs="Times New Roman"/>
                <w:kern w:val="0"/>
                <w:sz w:val="24"/>
                <w:szCs w:val="24"/>
                <w:lang w:val="en-US" w:eastAsia="zh-CN"/>
              </w:rPr>
              <w:t xml:space="preserve"> </w:t>
            </w:r>
          </w:p>
          <w:p w14:paraId="0FC4F1A0">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在淤泥产生、运输、处置等过程中，本项目</w:t>
            </w:r>
            <w:r>
              <w:rPr>
                <w:rFonts w:hint="eastAsia" w:ascii="Times New Roman" w:hAnsi="Times New Roman" w:cs="Times New Roman"/>
                <w:kern w:val="0"/>
                <w:sz w:val="24"/>
                <w:szCs w:val="24"/>
                <w:lang w:val="en-US" w:eastAsia="zh-CN"/>
              </w:rPr>
              <w:t>拟</w:t>
            </w:r>
            <w:r>
              <w:rPr>
                <w:rFonts w:hint="eastAsia" w:ascii="Times New Roman" w:hAnsi="Times New Roman" w:eastAsia="宋体" w:cs="Times New Roman"/>
                <w:kern w:val="0"/>
                <w:sz w:val="24"/>
                <w:szCs w:val="24"/>
                <w:lang w:val="en-US" w:eastAsia="zh-CN"/>
              </w:rPr>
              <w:t xml:space="preserve">采取如下措施： </w:t>
            </w:r>
          </w:p>
          <w:p w14:paraId="68F2CD15">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fldChar w:fldCharType="begin"/>
            </w:r>
            <w:r>
              <w:rPr>
                <w:rFonts w:hint="eastAsia" w:ascii="Times New Roman" w:hAnsi="Times New Roman" w:eastAsia="宋体" w:cs="Times New Roman"/>
                <w:kern w:val="0"/>
                <w:sz w:val="24"/>
                <w:szCs w:val="24"/>
                <w:lang w:val="en-US" w:eastAsia="zh-CN"/>
              </w:rPr>
              <w:instrText xml:space="preserve"> = 1 \* GB3 \* MERGEFORMAT </w:instrText>
            </w:r>
            <w:r>
              <w:rPr>
                <w:rFonts w:hint="eastAsia" w:ascii="Times New Roman" w:hAnsi="Times New Roman" w:eastAsia="宋体" w:cs="Times New Roman"/>
                <w:kern w:val="0"/>
                <w:sz w:val="24"/>
                <w:szCs w:val="24"/>
                <w:lang w:val="en-US" w:eastAsia="zh-CN"/>
              </w:rPr>
              <w:fldChar w:fldCharType="separate"/>
            </w:r>
            <w:r>
              <w:rPr>
                <w:sz w:val="24"/>
                <w:szCs w:val="24"/>
              </w:rPr>
              <w:t>①</w:t>
            </w:r>
            <w:r>
              <w:rPr>
                <w:rFonts w:hint="eastAsia" w:ascii="Times New Roman" w:hAnsi="Times New Roman" w:eastAsia="宋体" w:cs="Times New Roman"/>
                <w:kern w:val="0"/>
                <w:sz w:val="24"/>
                <w:szCs w:val="24"/>
                <w:lang w:val="en-US" w:eastAsia="zh-CN"/>
              </w:rPr>
              <w:fldChar w:fldCharType="end"/>
            </w:r>
            <w:r>
              <w:rPr>
                <w:rFonts w:hint="eastAsia" w:ascii="Times New Roman" w:hAnsi="Times New Roman" w:eastAsia="宋体" w:cs="Times New Roman"/>
                <w:kern w:val="0"/>
                <w:sz w:val="24"/>
                <w:szCs w:val="24"/>
                <w:lang w:val="en-US" w:eastAsia="zh-CN"/>
              </w:rPr>
              <w:t xml:space="preserve">涉及泥驳运输时，必须在疏浚施工水域溢流完成后才能启航运输，防止运输环节发生溢流污染。 </w:t>
            </w:r>
          </w:p>
          <w:p w14:paraId="5A317C72">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fldChar w:fldCharType="begin"/>
            </w:r>
            <w:r>
              <w:rPr>
                <w:rFonts w:hint="eastAsia" w:ascii="Times New Roman" w:hAnsi="Times New Roman" w:eastAsia="宋体" w:cs="Times New Roman"/>
                <w:kern w:val="0"/>
                <w:sz w:val="24"/>
                <w:szCs w:val="24"/>
                <w:lang w:val="en-US" w:eastAsia="zh-CN"/>
              </w:rPr>
              <w:instrText xml:space="preserve"> = 2 \* GB3 \* MERGEFORMAT </w:instrText>
            </w:r>
            <w:r>
              <w:rPr>
                <w:rFonts w:hint="eastAsia" w:ascii="Times New Roman" w:hAnsi="Times New Roman" w:eastAsia="宋体" w:cs="Times New Roman"/>
                <w:kern w:val="0"/>
                <w:sz w:val="24"/>
                <w:szCs w:val="24"/>
                <w:lang w:val="en-US" w:eastAsia="zh-CN"/>
              </w:rPr>
              <w:fldChar w:fldCharType="separate"/>
            </w:r>
            <w:r>
              <w:rPr>
                <w:sz w:val="24"/>
                <w:szCs w:val="24"/>
              </w:rPr>
              <w:t>②</w:t>
            </w:r>
            <w:r>
              <w:rPr>
                <w:rFonts w:hint="eastAsia" w:ascii="Times New Roman" w:hAnsi="Times New Roman" w:eastAsia="宋体" w:cs="Times New Roman"/>
                <w:kern w:val="0"/>
                <w:sz w:val="24"/>
                <w:szCs w:val="24"/>
                <w:lang w:val="en-US" w:eastAsia="zh-CN"/>
              </w:rPr>
              <w:fldChar w:fldCharType="end"/>
            </w:r>
            <w:r>
              <w:rPr>
                <w:rFonts w:hint="eastAsia" w:ascii="Times New Roman" w:hAnsi="Times New Roman" w:eastAsia="宋体" w:cs="Times New Roman"/>
                <w:kern w:val="0"/>
                <w:sz w:val="24"/>
                <w:szCs w:val="24"/>
                <w:lang w:val="en-US" w:eastAsia="zh-CN"/>
              </w:rPr>
              <w:t xml:space="preserve">在泥驳从挖泥点到指定淤泥干化场运输过程中，应保证泥舱处于密封状态， 泥舱不能过于装满，避免溢舱泥浆形成水污染；避免大风时作业，保障船只安全和减少泥浆溢流对水环境的影响。 </w:t>
            </w:r>
          </w:p>
          <w:p w14:paraId="247B5DAD">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fldChar w:fldCharType="begin"/>
            </w:r>
            <w:r>
              <w:rPr>
                <w:rFonts w:hint="eastAsia" w:ascii="Times New Roman" w:hAnsi="Times New Roman" w:eastAsia="宋体" w:cs="Times New Roman"/>
                <w:kern w:val="0"/>
                <w:sz w:val="24"/>
                <w:szCs w:val="24"/>
                <w:lang w:val="en-US" w:eastAsia="zh-CN"/>
              </w:rPr>
              <w:instrText xml:space="preserve"> = 3 \* GB3 \* MERGEFORMAT </w:instrText>
            </w:r>
            <w:r>
              <w:rPr>
                <w:rFonts w:hint="eastAsia" w:ascii="Times New Roman" w:hAnsi="Times New Roman" w:eastAsia="宋体" w:cs="Times New Roman"/>
                <w:kern w:val="0"/>
                <w:sz w:val="24"/>
                <w:szCs w:val="24"/>
                <w:lang w:val="en-US" w:eastAsia="zh-CN"/>
              </w:rPr>
              <w:fldChar w:fldCharType="separate"/>
            </w:r>
            <w:r>
              <w:rPr>
                <w:sz w:val="24"/>
                <w:szCs w:val="24"/>
              </w:rPr>
              <w:t>③</w:t>
            </w:r>
            <w:r>
              <w:rPr>
                <w:rFonts w:hint="eastAsia" w:ascii="Times New Roman" w:hAnsi="Times New Roman" w:eastAsia="宋体" w:cs="Times New Roman"/>
                <w:kern w:val="0"/>
                <w:sz w:val="24"/>
                <w:szCs w:val="24"/>
                <w:lang w:val="en-US" w:eastAsia="zh-CN"/>
              </w:rPr>
              <w:fldChar w:fldCharType="end"/>
            </w:r>
            <w:r>
              <w:rPr>
                <w:rFonts w:hint="eastAsia" w:ascii="Times New Roman" w:hAnsi="Times New Roman" w:eastAsia="宋体" w:cs="Times New Roman"/>
                <w:kern w:val="0"/>
                <w:sz w:val="24"/>
                <w:szCs w:val="24"/>
                <w:lang w:val="en-US" w:eastAsia="zh-CN"/>
              </w:rPr>
              <w:t xml:space="preserve">施工单位加强泥驳日常维护与保养，确保其良好性能，尤其是泥舱密封条的严密性能和控制泥门开启与关闭的传动部分，及时更换泥门封条和液压杆上的密封圈，以免液压系统失控或密封条失灵而导致泥门关闭不严的现象发生。 </w:t>
            </w:r>
          </w:p>
          <w:p w14:paraId="39078FF8">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fldChar w:fldCharType="begin"/>
            </w:r>
            <w:r>
              <w:rPr>
                <w:rFonts w:hint="eastAsia" w:ascii="Times New Roman" w:hAnsi="Times New Roman" w:eastAsia="宋体" w:cs="Times New Roman"/>
                <w:kern w:val="0"/>
                <w:sz w:val="24"/>
                <w:szCs w:val="24"/>
                <w:lang w:val="en-US" w:eastAsia="zh-CN"/>
              </w:rPr>
              <w:instrText xml:space="preserve"> = 4 \* GB3 \* MERGEFORMAT </w:instrText>
            </w:r>
            <w:r>
              <w:rPr>
                <w:rFonts w:hint="eastAsia" w:ascii="Times New Roman" w:hAnsi="Times New Roman" w:eastAsia="宋体" w:cs="Times New Roman"/>
                <w:kern w:val="0"/>
                <w:sz w:val="24"/>
                <w:szCs w:val="24"/>
                <w:lang w:val="en-US" w:eastAsia="zh-CN"/>
              </w:rPr>
              <w:fldChar w:fldCharType="separate"/>
            </w:r>
            <w:r>
              <w:rPr>
                <w:sz w:val="24"/>
                <w:szCs w:val="24"/>
              </w:rPr>
              <w:t>④</w:t>
            </w:r>
            <w:r>
              <w:rPr>
                <w:rFonts w:hint="eastAsia" w:ascii="Times New Roman" w:hAnsi="Times New Roman" w:eastAsia="宋体" w:cs="Times New Roman"/>
                <w:kern w:val="0"/>
                <w:sz w:val="24"/>
                <w:szCs w:val="24"/>
                <w:lang w:val="en-US" w:eastAsia="zh-CN"/>
              </w:rPr>
              <w:fldChar w:fldCharType="end"/>
            </w:r>
            <w:r>
              <w:rPr>
                <w:rFonts w:hint="eastAsia" w:ascii="Times New Roman" w:hAnsi="Times New Roman" w:eastAsia="宋体" w:cs="Times New Roman"/>
                <w:kern w:val="0"/>
                <w:sz w:val="24"/>
                <w:szCs w:val="24"/>
                <w:lang w:val="en-US" w:eastAsia="zh-CN"/>
              </w:rPr>
              <w:t xml:space="preserve">同时，及时对沉淀池内沉积的淤泥进行清理保证足够容积。 </w:t>
            </w:r>
          </w:p>
          <w:p w14:paraId="00535057">
            <w:pPr>
              <w:adjustRightInd w:val="0"/>
              <w:snapToGrid w:val="0"/>
              <w:spacing w:line="500" w:lineRule="exact"/>
              <w:ind w:firstLine="480" w:firstLineChars="200"/>
              <w:rPr>
                <w:rFonts w:hint="eastAsia" w:cs="Times New Roman"/>
                <w:b/>
                <w:bCs/>
                <w:kern w:val="0"/>
                <w:sz w:val="24"/>
                <w:szCs w:val="24"/>
                <w:lang w:val="en-US" w:eastAsia="zh-CN"/>
              </w:rPr>
            </w:pPr>
            <w:r>
              <w:rPr>
                <w:rFonts w:hint="eastAsia" w:ascii="Times New Roman" w:hAnsi="Times New Roman" w:eastAsia="宋体" w:cs="Times New Roman"/>
                <w:kern w:val="0"/>
                <w:sz w:val="24"/>
                <w:szCs w:val="24"/>
                <w:lang w:val="en-US" w:eastAsia="zh-CN"/>
              </w:rPr>
              <w:fldChar w:fldCharType="begin"/>
            </w:r>
            <w:r>
              <w:rPr>
                <w:rFonts w:hint="eastAsia" w:ascii="Times New Roman" w:hAnsi="Times New Roman" w:eastAsia="宋体" w:cs="Times New Roman"/>
                <w:kern w:val="0"/>
                <w:sz w:val="24"/>
                <w:szCs w:val="24"/>
                <w:lang w:val="en-US" w:eastAsia="zh-CN"/>
              </w:rPr>
              <w:instrText xml:space="preserve"> = 5 \* GB3 \* MERGEFORMAT </w:instrText>
            </w:r>
            <w:r>
              <w:rPr>
                <w:rFonts w:hint="eastAsia" w:ascii="Times New Roman" w:hAnsi="Times New Roman" w:eastAsia="宋体" w:cs="Times New Roman"/>
                <w:kern w:val="0"/>
                <w:sz w:val="24"/>
                <w:szCs w:val="24"/>
                <w:lang w:val="en-US" w:eastAsia="zh-CN"/>
              </w:rPr>
              <w:fldChar w:fldCharType="separate"/>
            </w:r>
            <w:r>
              <w:rPr>
                <w:sz w:val="24"/>
                <w:szCs w:val="24"/>
              </w:rPr>
              <w:t>⑤</w:t>
            </w:r>
            <w:r>
              <w:rPr>
                <w:rFonts w:hint="eastAsia" w:ascii="Times New Roman" w:hAnsi="Times New Roman" w:eastAsia="宋体" w:cs="Times New Roman"/>
                <w:kern w:val="0"/>
                <w:sz w:val="24"/>
                <w:szCs w:val="24"/>
                <w:lang w:val="en-US" w:eastAsia="zh-CN"/>
              </w:rPr>
              <w:fldChar w:fldCharType="end"/>
            </w:r>
            <w:r>
              <w:rPr>
                <w:rFonts w:hint="eastAsia" w:ascii="Times New Roman" w:hAnsi="Times New Roman" w:eastAsia="宋体" w:cs="Times New Roman"/>
                <w:kern w:val="0"/>
                <w:sz w:val="24"/>
                <w:szCs w:val="24"/>
                <w:lang w:val="en-US" w:eastAsia="zh-CN"/>
              </w:rPr>
              <w:t>为保证淤泥干化场余水水质满足相应标准要求，本次设计在干化场尾水排放点设置监控断面或尾水自动监测，并委托第三方有资质检测单位定期对水质进行监测，及时研判施工过程对水体影响。如尾水出现不达标的情况，立即停工，优化措施，确保减少对断面水质的影响。</w:t>
            </w:r>
          </w:p>
          <w:p w14:paraId="4E00E473">
            <w:pPr>
              <w:adjustRightInd w:val="0"/>
              <w:snapToGrid w:val="0"/>
              <w:spacing w:line="500" w:lineRule="exact"/>
              <w:ind w:firstLine="482" w:firstLineChars="200"/>
              <w:rPr>
                <w:rFonts w:hint="default" w:ascii="Times New Roman" w:hAnsi="Times New Roman" w:eastAsia="宋体" w:cs="Times New Roman"/>
                <w:kern w:val="0"/>
                <w:sz w:val="24"/>
                <w:szCs w:val="24"/>
                <w:lang w:val="en-US" w:eastAsia="zh-CN"/>
              </w:rPr>
            </w:pPr>
            <w:r>
              <w:rPr>
                <w:rFonts w:hint="eastAsia" w:cs="Times New Roman"/>
                <w:b/>
                <w:bCs/>
                <w:kern w:val="0"/>
                <w:sz w:val="24"/>
                <w:szCs w:val="24"/>
                <w:lang w:val="en-US" w:eastAsia="zh-CN"/>
              </w:rPr>
              <w:t>（4）施工船舶和陆域施工防治措施</w:t>
            </w:r>
          </w:p>
          <w:p w14:paraId="71C543C4">
            <w:pPr>
              <w:adjustRightInd w:val="0"/>
              <w:snapToGrid w:val="0"/>
              <w:spacing w:line="50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施工船舶应安装油水分离器、生活污水和垃圾贮存容器。船舶生活污水、油污水污染物交由水上服务区、沿线码头岸上接收，不得在施工水域排放。其中生活污水上岸接收后接入市政污水管网，纳入区域污水处理厂处理；油污水委托有资质单位收集处理。</w:t>
            </w:r>
          </w:p>
          <w:p w14:paraId="4631B3F9">
            <w:pPr>
              <w:adjustRightInd w:val="0"/>
              <w:snapToGrid w:val="0"/>
              <w:spacing w:line="500" w:lineRule="exact"/>
              <w:ind w:firstLine="480" w:firstLineChars="200"/>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陆域施工人员生活依托当地居民设施，陆域生活污水接管市政污水管网</w:t>
            </w:r>
            <w:r>
              <w:rPr>
                <w:rFonts w:hint="default" w:ascii="Times New Roman" w:hAnsi="Times New Roman" w:eastAsia="宋体" w:cs="Times New Roman"/>
                <w:kern w:val="0"/>
                <w:sz w:val="24"/>
                <w:szCs w:val="24"/>
                <w:lang w:val="en-US" w:eastAsia="zh-CN"/>
              </w:rPr>
              <w:t>。不得在项目水域直接排放。</w:t>
            </w:r>
          </w:p>
          <w:p w14:paraId="5CDADEFF">
            <w:pPr>
              <w:adjustRightInd w:val="0"/>
              <w:snapToGrid w:val="0"/>
              <w:spacing w:line="500" w:lineRule="exact"/>
              <w:ind w:firstLine="482"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rPr>
              <w:t>2、施工期大气环境保护措施</w:t>
            </w:r>
          </w:p>
          <w:p w14:paraId="3318194A">
            <w:pPr>
              <w:adjustRightInd w:val="0"/>
              <w:snapToGrid w:val="0"/>
              <w:spacing w:line="500" w:lineRule="exact"/>
              <w:ind w:firstLine="480" w:firstLineChars="200"/>
              <w:rPr>
                <w:rFonts w:hint="default"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施工扬尘进行湿式作业，必要时洒水降尘；</w:t>
            </w:r>
            <w:r>
              <w:rPr>
                <w:rFonts w:hint="eastAsia" w:ascii="Times New Roman" w:hAnsi="Times New Roman" w:eastAsia="宋体" w:cs="Times New Roman"/>
                <w:kern w:val="0"/>
                <w:sz w:val="24"/>
                <w:szCs w:val="24"/>
              </w:rPr>
              <w:t>施工机械设备废气、运输车辆尾气和施工船舶废气</w:t>
            </w:r>
            <w:r>
              <w:rPr>
                <w:rFonts w:hint="default" w:ascii="Times New Roman" w:hAnsi="Times New Roman" w:eastAsia="宋体" w:cs="Times New Roman"/>
                <w:kern w:val="0"/>
                <w:sz w:val="24"/>
                <w:szCs w:val="24"/>
              </w:rPr>
              <w:t>选用符合环保要求的施工船舶</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机械设备、运输车辆</w:t>
            </w:r>
            <w:r>
              <w:rPr>
                <w:rFonts w:hint="default" w:ascii="Times New Roman" w:hAnsi="Times New Roman" w:eastAsia="宋体" w:cs="Times New Roman"/>
                <w:kern w:val="0"/>
                <w:sz w:val="24"/>
                <w:szCs w:val="24"/>
              </w:rPr>
              <w:t>和燃料，</w:t>
            </w:r>
            <w:r>
              <w:rPr>
                <w:rFonts w:hint="eastAsia" w:cs="Times New Roman"/>
                <w:kern w:val="0"/>
                <w:sz w:val="24"/>
                <w:szCs w:val="24"/>
                <w:lang w:eastAsia="zh-CN"/>
              </w:rPr>
              <w:t>减少</w:t>
            </w:r>
            <w:r>
              <w:rPr>
                <w:rFonts w:hint="eastAsia" w:ascii="Times New Roman" w:hAnsi="Times New Roman" w:eastAsia="宋体" w:cs="Times New Roman"/>
                <w:kern w:val="0"/>
                <w:sz w:val="24"/>
                <w:szCs w:val="24"/>
                <w:lang w:val="en-US" w:eastAsia="zh-CN"/>
              </w:rPr>
              <w:t>废气</w:t>
            </w:r>
            <w:r>
              <w:rPr>
                <w:rFonts w:hint="default" w:ascii="Times New Roman" w:hAnsi="Times New Roman" w:eastAsia="宋体" w:cs="Times New Roman"/>
                <w:kern w:val="0"/>
                <w:sz w:val="24"/>
                <w:szCs w:val="24"/>
              </w:rPr>
              <w:t>影响</w:t>
            </w:r>
            <w:r>
              <w:rPr>
                <w:rFonts w:hint="eastAsia" w:ascii="Times New Roman" w:hAnsi="Times New Roman" w:eastAsia="宋体" w:cs="Times New Roman"/>
                <w:kern w:val="0"/>
                <w:sz w:val="24"/>
                <w:szCs w:val="24"/>
                <w:lang w:eastAsia="zh-CN"/>
              </w:rPr>
              <w:t>。</w:t>
            </w:r>
          </w:p>
          <w:p w14:paraId="4B1FB529">
            <w:pPr>
              <w:adjustRightInd w:val="0"/>
              <w:snapToGrid w:val="0"/>
              <w:spacing w:line="500" w:lineRule="exact"/>
              <w:ind w:firstLine="482"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rPr>
              <w:t>3、施工期声环境保护措施</w:t>
            </w:r>
          </w:p>
          <w:p w14:paraId="69E2D49C">
            <w:pPr>
              <w:adjustRightInd w:val="0"/>
              <w:snapToGrid w:val="0"/>
              <w:spacing w:line="500" w:lineRule="exact"/>
              <w:ind w:firstLine="480" w:firstLineChars="200"/>
              <w:rPr>
                <w:rFonts w:hint="default" w:ascii="Times New Roman" w:hAnsi="Times New Roman" w:eastAsia="宋体" w:cs="Times New Roman"/>
                <w:kern w:val="0"/>
                <w:sz w:val="24"/>
                <w:szCs w:val="24"/>
              </w:rPr>
            </w:pPr>
            <w:r>
              <w:rPr>
                <w:rFonts w:hint="eastAsia" w:cs="Times New Roman"/>
                <w:kern w:val="0"/>
                <w:sz w:val="24"/>
                <w:szCs w:val="24"/>
                <w:lang w:val="en-US" w:eastAsia="zh-CN"/>
              </w:rPr>
              <w:t>（1）</w:t>
            </w:r>
            <w:r>
              <w:rPr>
                <w:rFonts w:hint="default" w:ascii="Times New Roman" w:hAnsi="Times New Roman" w:eastAsia="宋体" w:cs="Times New Roman"/>
                <w:kern w:val="0"/>
                <w:sz w:val="24"/>
                <w:szCs w:val="24"/>
                <w:lang w:val="en-US" w:eastAsia="zh-CN"/>
              </w:rPr>
              <w:t xml:space="preserve">合理安排施工作业的时间，每天22点至次日晨6点禁止施工（因工艺需要须连续施工的除外），另外减少同时作业的高噪声施工机械数量，最大限度地减少声源叠加的影响，尽可能减少对周围环境的影响。 </w:t>
            </w:r>
          </w:p>
          <w:p w14:paraId="5456AA05">
            <w:pPr>
              <w:adjustRightInd w:val="0"/>
              <w:snapToGrid w:val="0"/>
              <w:spacing w:line="500" w:lineRule="exact"/>
              <w:ind w:firstLine="480" w:firstLineChars="200"/>
              <w:rPr>
                <w:rFonts w:hint="default" w:ascii="Times New Roman" w:hAnsi="Times New Roman" w:eastAsia="宋体" w:cs="Times New Roman"/>
                <w:kern w:val="0"/>
                <w:sz w:val="24"/>
                <w:szCs w:val="24"/>
              </w:rPr>
            </w:pPr>
            <w:r>
              <w:rPr>
                <w:rFonts w:hint="eastAsia" w:cs="Times New Roman"/>
                <w:kern w:val="0"/>
                <w:sz w:val="24"/>
                <w:szCs w:val="24"/>
                <w:lang w:val="en-US" w:eastAsia="zh-CN"/>
              </w:rPr>
              <w:t>（2）</w:t>
            </w:r>
            <w:r>
              <w:rPr>
                <w:rFonts w:hint="default" w:ascii="Times New Roman" w:hAnsi="Times New Roman" w:eastAsia="宋体" w:cs="Times New Roman"/>
                <w:kern w:val="0"/>
                <w:sz w:val="24"/>
                <w:szCs w:val="24"/>
                <w:lang w:val="en-US" w:eastAsia="zh-CN"/>
              </w:rPr>
              <w:t xml:space="preserve">选用低噪声、低振动的施工机械和运输车辆，加强机械、车辆的日常维修、 保养工作，使其始终保持良好的正常运行状态。对高噪声设备采取相应的限时作业并 在其周围设置遮挡，避免或减轻施工噪声对周围环境的影响。 </w:t>
            </w:r>
          </w:p>
          <w:p w14:paraId="2F8DBFBE">
            <w:pPr>
              <w:adjustRightInd w:val="0"/>
              <w:snapToGrid w:val="0"/>
              <w:spacing w:line="500" w:lineRule="exact"/>
              <w:ind w:firstLine="480" w:firstLineChars="200"/>
              <w:rPr>
                <w:rFonts w:hint="default" w:ascii="Times New Roman" w:hAnsi="Times New Roman" w:eastAsia="宋体" w:cs="Times New Roman"/>
                <w:kern w:val="0"/>
                <w:sz w:val="24"/>
                <w:szCs w:val="24"/>
              </w:rPr>
            </w:pPr>
            <w:r>
              <w:rPr>
                <w:rFonts w:hint="eastAsia" w:cs="Times New Roman"/>
                <w:kern w:val="0"/>
                <w:sz w:val="24"/>
                <w:szCs w:val="24"/>
                <w:lang w:val="en-US" w:eastAsia="zh-CN"/>
              </w:rPr>
              <w:t>（3）</w:t>
            </w:r>
            <w:r>
              <w:rPr>
                <w:rFonts w:hint="default" w:ascii="Times New Roman" w:hAnsi="Times New Roman" w:eastAsia="宋体" w:cs="Times New Roman"/>
                <w:kern w:val="0"/>
                <w:sz w:val="24"/>
                <w:szCs w:val="24"/>
                <w:lang w:val="en-US" w:eastAsia="zh-CN"/>
              </w:rPr>
              <w:t>做好施工机械和运输车辆的调度和交通疏导工作，合理疏导进入施工区的车辆，减少汽车会车时以及施工船舶的鸣笛噪声。</w:t>
            </w:r>
          </w:p>
          <w:p w14:paraId="6352E6D8">
            <w:pPr>
              <w:adjustRightInd w:val="0"/>
              <w:snapToGrid w:val="0"/>
              <w:spacing w:line="500" w:lineRule="exact"/>
              <w:ind w:firstLine="482"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rPr>
              <w:t>4、施工期固废措施</w:t>
            </w:r>
          </w:p>
          <w:p w14:paraId="72E37ECA">
            <w:pPr>
              <w:adjustRightInd w:val="0"/>
              <w:snapToGrid w:val="0"/>
              <w:spacing w:line="500" w:lineRule="exact"/>
              <w:ind w:firstLine="480" w:firstLineChars="200"/>
              <w:rPr>
                <w:rFonts w:hint="default"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船舶</w:t>
            </w:r>
            <w:r>
              <w:rPr>
                <w:rFonts w:hint="default" w:ascii="Times New Roman" w:hAnsi="Times New Roman" w:eastAsia="宋体" w:cs="Times New Roman"/>
                <w:kern w:val="0"/>
                <w:sz w:val="24"/>
                <w:szCs w:val="24"/>
                <w:lang w:val="en-US" w:eastAsia="zh-CN"/>
              </w:rPr>
              <w:t>生活垃圾</w:t>
            </w:r>
            <w:r>
              <w:rPr>
                <w:rFonts w:hint="eastAsia" w:ascii="Times New Roman" w:hAnsi="Times New Roman" w:eastAsia="宋体" w:cs="Times New Roman"/>
                <w:kern w:val="0"/>
                <w:sz w:val="24"/>
                <w:szCs w:val="24"/>
                <w:lang w:val="en-US" w:eastAsia="zh-CN"/>
              </w:rPr>
              <w:t>和陆域生活垃圾</w:t>
            </w:r>
            <w:r>
              <w:rPr>
                <w:rFonts w:hint="default" w:ascii="Times New Roman" w:hAnsi="Times New Roman" w:eastAsia="宋体" w:cs="Times New Roman"/>
                <w:kern w:val="0"/>
                <w:sz w:val="24"/>
                <w:szCs w:val="24"/>
                <w:lang w:val="en-US" w:eastAsia="zh-CN"/>
              </w:rPr>
              <w:t>收集后</w:t>
            </w:r>
            <w:r>
              <w:rPr>
                <w:rFonts w:hint="eastAsia" w:ascii="Times New Roman" w:hAnsi="Times New Roman" w:eastAsia="宋体" w:cs="Times New Roman"/>
                <w:kern w:val="0"/>
                <w:sz w:val="24"/>
                <w:szCs w:val="24"/>
              </w:rPr>
              <w:t>交由当地环卫部</w:t>
            </w:r>
            <w:r>
              <w:rPr>
                <w:rFonts w:hint="eastAsia" w:ascii="Times New Roman" w:hAnsi="Times New Roman" w:eastAsia="宋体" w:cs="Times New Roman"/>
                <w:kern w:val="0"/>
                <w:sz w:val="24"/>
                <w:szCs w:val="24"/>
                <w:lang w:val="en-US" w:eastAsia="zh-CN"/>
              </w:rPr>
              <w:t>门接收处理；</w:t>
            </w:r>
            <w:r>
              <w:rPr>
                <w:rFonts w:hint="eastAsia" w:cs="Times New Roman"/>
                <w:kern w:val="0"/>
                <w:sz w:val="24"/>
                <w:szCs w:val="24"/>
                <w:lang w:val="en-US" w:eastAsia="zh-CN"/>
              </w:rPr>
              <w:t>疏浚产生的淤泥配泥驳转运至拟定污泥干化场</w:t>
            </w:r>
            <w:r>
              <w:rPr>
                <w:rFonts w:hint="default" w:ascii="Times New Roman" w:hAnsi="Times New Roman" w:eastAsia="宋体" w:cs="Times New Roman"/>
                <w:kern w:val="0"/>
                <w:sz w:val="24"/>
                <w:szCs w:val="24"/>
              </w:rPr>
              <w:t>，不得堆放在河道内</w:t>
            </w:r>
            <w:r>
              <w:rPr>
                <w:rFonts w:hint="default" w:ascii="Times New Roman" w:hAnsi="Times New Roman" w:eastAsia="宋体" w:cs="Times New Roman"/>
                <w:kern w:val="0"/>
                <w:sz w:val="24"/>
                <w:szCs w:val="24"/>
                <w:lang w:val="en-US" w:eastAsia="zh-CN"/>
              </w:rPr>
              <w:t>。</w:t>
            </w:r>
          </w:p>
          <w:p w14:paraId="696D914A">
            <w:pPr>
              <w:numPr>
                <w:ilvl w:val="0"/>
                <w:numId w:val="4"/>
              </w:numPr>
              <w:adjustRightInd w:val="0"/>
              <w:snapToGrid w:val="0"/>
              <w:spacing w:line="500" w:lineRule="exact"/>
              <w:ind w:firstLine="482" w:firstLineChars="200"/>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施工期生态影响减缓措施</w:t>
            </w:r>
          </w:p>
          <w:p w14:paraId="25010041">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 xml:space="preserve">尽可能避免施工期基桩施打等环节对京杭运河水生态造成破坏，可以采取如下措 </w:t>
            </w:r>
            <w:r>
              <w:rPr>
                <w:rFonts w:hint="default" w:cs="Times New Roman"/>
                <w:kern w:val="0"/>
                <w:sz w:val="24"/>
                <w:szCs w:val="24"/>
                <w:lang w:val="en-US" w:eastAsia="zh-CN"/>
              </w:rPr>
              <w:t xml:space="preserve">施： </w:t>
            </w:r>
          </w:p>
          <w:p w14:paraId="4B08558F">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（1）</w:t>
            </w:r>
            <w:r>
              <w:rPr>
                <w:rFonts w:hint="default" w:cs="Times New Roman"/>
                <w:kern w:val="0"/>
                <w:sz w:val="24"/>
                <w:szCs w:val="24"/>
                <w:lang w:val="en-US" w:eastAsia="zh-CN"/>
              </w:rPr>
              <w:t xml:space="preserve">施工前编制对水生生物影响较小的施工方案，加强施工管理，控制水域施工作业范围。选择适合于水生生物附着生长的水工设施材料和结构设计方案，以利于水生生物附着。 </w:t>
            </w:r>
          </w:p>
          <w:p w14:paraId="55316EFE">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（2）</w:t>
            </w:r>
            <w:r>
              <w:rPr>
                <w:rFonts w:hint="default" w:cs="Times New Roman"/>
                <w:kern w:val="0"/>
                <w:sz w:val="24"/>
                <w:szCs w:val="24"/>
                <w:lang w:val="en-US" w:eastAsia="zh-CN"/>
              </w:rPr>
              <w:t xml:space="preserve">施工期，工程施工满足内河管理条例要求。施工废渣集中收集堆放，禁止随意丢弃。 </w:t>
            </w:r>
          </w:p>
          <w:p w14:paraId="64D9242F">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（3）</w:t>
            </w:r>
            <w:r>
              <w:rPr>
                <w:rFonts w:hint="default" w:cs="Times New Roman"/>
                <w:kern w:val="0"/>
                <w:sz w:val="24"/>
                <w:szCs w:val="24"/>
                <w:lang w:val="en-US" w:eastAsia="zh-CN"/>
              </w:rPr>
              <w:t xml:space="preserve">避开风浪情况作业，尽量避免在雨季进行大量动土和开挖工程。当需要在雨季施工时，采取防护措施，减少雨水直接冲刷裸露地表，减少施工过程中开挖面的水土流失，开挖过程中做到随挖、随运、随填和随夯。恶劣天气停止作业。 </w:t>
            </w:r>
          </w:p>
          <w:p w14:paraId="1DB5FF1F">
            <w:pPr>
              <w:adjustRightInd w:val="0"/>
              <w:snapToGrid w:val="0"/>
              <w:spacing w:line="500" w:lineRule="exact"/>
              <w:ind w:firstLine="480" w:firstLineChars="200"/>
              <w:rPr>
                <w:rFonts w:hint="default" w:cs="Times New Roman"/>
                <w:kern w:val="0"/>
                <w:sz w:val="24"/>
                <w:szCs w:val="24"/>
                <w:lang w:val="en-US" w:eastAsia="zh-CN"/>
              </w:rPr>
            </w:pPr>
            <w:r>
              <w:rPr>
                <w:rFonts w:hint="eastAsia" w:cs="Times New Roman"/>
                <w:kern w:val="0"/>
                <w:sz w:val="24"/>
                <w:szCs w:val="24"/>
                <w:lang w:val="en-US" w:eastAsia="zh-CN"/>
              </w:rPr>
              <w:t>（4）</w:t>
            </w:r>
            <w:r>
              <w:rPr>
                <w:rFonts w:hint="default" w:cs="Times New Roman"/>
                <w:kern w:val="0"/>
                <w:sz w:val="24"/>
                <w:szCs w:val="24"/>
                <w:lang w:val="en-US" w:eastAsia="zh-CN"/>
              </w:rPr>
              <w:t>对施工造成的影响尽可能</w:t>
            </w:r>
            <w:r>
              <w:rPr>
                <w:rFonts w:hint="eastAsia" w:cs="Times New Roman"/>
                <w:kern w:val="0"/>
                <w:sz w:val="24"/>
                <w:szCs w:val="24"/>
                <w:lang w:val="en-US" w:eastAsia="zh-CN"/>
              </w:rPr>
              <w:t>的</w:t>
            </w:r>
            <w:r>
              <w:rPr>
                <w:rFonts w:hint="default" w:cs="Times New Roman"/>
                <w:kern w:val="0"/>
                <w:sz w:val="24"/>
                <w:szCs w:val="24"/>
                <w:lang w:val="en-US" w:eastAsia="zh-CN"/>
              </w:rPr>
              <w:t>恢复或采取生态补偿，比如水域范围内清理施工 期悬浮物造成的淤积。施工时尽量减少破坏植被，工程竣工后，开挖面和废弃的砂、 石、土存放地的裸露土地，必须植树种草，防止水土流失。</w:t>
            </w:r>
          </w:p>
          <w:p w14:paraId="280B7244">
            <w:pPr>
              <w:numPr>
                <w:ilvl w:val="0"/>
                <w:numId w:val="0"/>
              </w:numPr>
              <w:adjustRightInd w:val="0"/>
              <w:snapToGrid w:val="0"/>
              <w:spacing w:line="500" w:lineRule="exact"/>
              <w:ind w:firstLine="482" w:firstLineChars="200"/>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6、施工期风险防范措施</w:t>
            </w:r>
          </w:p>
          <w:p w14:paraId="45DD11CE">
            <w:pPr>
              <w:adjustRightInd w:val="0"/>
              <w:snapToGrid w:val="0"/>
              <w:spacing w:line="500" w:lineRule="exact"/>
              <w:ind w:firstLine="482" w:firstLineChars="200"/>
              <w:rPr>
                <w:rFonts w:hint="eastAsia" w:ascii="Times New Roman" w:hAnsi="Times New Roman" w:cs="Times New Roman"/>
                <w:kern w:val="0"/>
                <w:sz w:val="24"/>
                <w:szCs w:val="24"/>
                <w:lang w:val="en-US" w:eastAsia="zh-CN"/>
              </w:rPr>
            </w:pPr>
            <w:r>
              <w:rPr>
                <w:rFonts w:hint="eastAsia" w:ascii="Times New Roman" w:hAnsi="Times New Roman" w:cs="Times New Roman"/>
                <w:b/>
                <w:bCs/>
                <w:kern w:val="0"/>
                <w:sz w:val="24"/>
                <w:szCs w:val="24"/>
                <w:lang w:val="en-US" w:eastAsia="zh-CN"/>
              </w:rPr>
              <w:t>一、施工船舶溢油风险防范措施</w:t>
            </w:r>
            <w:r>
              <w:rPr>
                <w:rFonts w:hint="eastAsia" w:ascii="Times New Roman" w:hAnsi="Times New Roman" w:cs="Times New Roman"/>
                <w:kern w:val="0"/>
                <w:sz w:val="24"/>
                <w:szCs w:val="24"/>
                <w:lang w:val="en-US" w:eastAsia="zh-CN"/>
              </w:rPr>
              <w:t xml:space="preserve"> </w:t>
            </w:r>
          </w:p>
          <w:p w14:paraId="4EE8872F">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cs="Times New Roman"/>
                <w:sz w:val="24"/>
                <w:szCs w:val="24"/>
                <w:lang w:val="en-US" w:eastAsia="zh-CN"/>
              </w:rPr>
              <w:t>本项目</w:t>
            </w:r>
            <w:r>
              <w:rPr>
                <w:rFonts w:hint="eastAsia" w:ascii="Times New Roman" w:hAnsi="Times New Roman" w:cs="Times New Roman"/>
                <w:sz w:val="24"/>
                <w:szCs w:val="24"/>
                <w:lang w:val="en-US" w:eastAsia="zh-CN"/>
              </w:rPr>
              <w:t>涉及</w:t>
            </w:r>
            <w:r>
              <w:rPr>
                <w:rFonts w:hint="eastAsia" w:cs="Times New Roman"/>
                <w:sz w:val="24"/>
                <w:szCs w:val="24"/>
                <w:lang w:val="en-US" w:eastAsia="zh-CN"/>
              </w:rPr>
              <w:t>3</w:t>
            </w:r>
            <w:r>
              <w:rPr>
                <w:rFonts w:hint="default" w:ascii="Times New Roman" w:hAnsi="Times New Roman" w:eastAsia="宋体" w:cs="Times New Roman"/>
                <w:sz w:val="24"/>
                <w:szCs w:val="24"/>
              </w:rPr>
              <w:t>处省考断面，分别为</w:t>
            </w:r>
            <w:r>
              <w:rPr>
                <w:rFonts w:hint="eastAsia" w:ascii="Times New Roman" w:hAnsi="Times New Roman" w:eastAsia="宋体" w:cs="Times New Roman"/>
                <w:sz w:val="24"/>
                <w:szCs w:val="24"/>
                <w:lang w:val="en-US" w:eastAsia="zh-CN"/>
              </w:rPr>
              <w:t>大运河桥、板闸、黄码大桥</w:t>
            </w:r>
            <w:r>
              <w:rPr>
                <w:rFonts w:hint="eastAsia" w:cs="Times New Roman"/>
                <w:sz w:val="24"/>
                <w:szCs w:val="24"/>
                <w:lang w:val="en-US" w:eastAsia="zh-CN"/>
              </w:rPr>
              <w:t>省考断面，其中距离</w:t>
            </w:r>
            <w:r>
              <w:rPr>
                <w:rFonts w:hint="eastAsia" w:ascii="Times New Roman" w:hAnsi="Times New Roman" w:eastAsia="宋体" w:cs="Times New Roman"/>
                <w:sz w:val="24"/>
                <w:szCs w:val="24"/>
                <w:lang w:val="en-US" w:eastAsia="zh-CN"/>
              </w:rPr>
              <w:t>大运河桥、黄码大桥</w:t>
            </w:r>
            <w:r>
              <w:rPr>
                <w:rFonts w:hint="eastAsia" w:ascii="Times New Roman" w:hAnsi="Times New Roman" w:cs="Times New Roman"/>
                <w:sz w:val="24"/>
                <w:szCs w:val="24"/>
                <w:lang w:val="en-US" w:eastAsia="zh-CN"/>
              </w:rPr>
              <w:t>省考断面较近，分别为200米和360米，</w:t>
            </w:r>
            <w:r>
              <w:rPr>
                <w:rFonts w:hint="eastAsia" w:cs="Times New Roman"/>
                <w:sz w:val="24"/>
                <w:szCs w:val="24"/>
                <w:lang w:val="en-US" w:eastAsia="zh-CN"/>
              </w:rPr>
              <w:t>距离</w:t>
            </w:r>
            <w:r>
              <w:rPr>
                <w:rFonts w:hint="eastAsia" w:ascii="Times New Roman" w:hAnsi="Times New Roman" w:eastAsia="宋体" w:cs="Times New Roman"/>
                <w:sz w:val="24"/>
                <w:szCs w:val="24"/>
                <w:lang w:val="en-US" w:eastAsia="zh-CN"/>
              </w:rPr>
              <w:t>板闸</w:t>
            </w:r>
            <w:r>
              <w:rPr>
                <w:rFonts w:hint="eastAsia" w:ascii="Times New Roman" w:hAnsi="Times New Roman" w:cs="Times New Roman"/>
                <w:sz w:val="24"/>
                <w:szCs w:val="24"/>
                <w:lang w:val="en-US" w:eastAsia="zh-CN"/>
              </w:rPr>
              <w:t>省考断面较远，距离为6000米，</w:t>
            </w:r>
            <w:r>
              <w:rPr>
                <w:rFonts w:hint="eastAsia" w:ascii="Times New Roman" w:hAnsi="Times New Roman" w:cs="Times New Roman"/>
                <w:kern w:val="0"/>
                <w:sz w:val="24"/>
                <w:szCs w:val="24"/>
                <w:lang w:val="en-US" w:eastAsia="zh-CN"/>
              </w:rPr>
              <w:t xml:space="preserve">水环境较为敏感，为避免事故的发生或减少事故后对环境敏感区污染影响，建设单位应在项目建设前制定事故防范措施，配备相当数量的应急设备和器材，做好以下施工期风险防范措施。 </w:t>
            </w:r>
          </w:p>
          <w:p w14:paraId="346CCB18">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1</w:t>
            </w:r>
            <w:r>
              <w:rPr>
                <w:rFonts w:hint="eastAsia" w:ascii="Times New Roman" w:hAnsi="Times New Roman" w:cs="Times New Roman"/>
                <w:kern w:val="0"/>
                <w:sz w:val="24"/>
                <w:szCs w:val="24"/>
                <w:lang w:val="en-US" w:eastAsia="zh-CN"/>
              </w:rPr>
              <w:t xml:space="preserve">）施工单位应随时准备吸附材料和隔离拦截材料，若发生泄漏事故，在有关单位指导和配合下，及时采取浮油拦截和吸附措施，直至油污消除。同时，建立应急救援队伍。施工期配备物资建议：施工船舶配备一定的围油栏、吸油毡、吸油拖栏，同时配备报警系统及必要的通信器材，以便及时与当地的海事部门建立联系，及时采取应急措施。 </w:t>
            </w:r>
          </w:p>
          <w:p w14:paraId="171A5F46">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 xml:space="preserve">（2）施工前期，建设单位将施工水域及作业计划呈报当地海事和航道维护部门批准，并会同航道、海事、船舶等相关单位商讨施工期间的通行处理措施。比如临时移动航标改变通行路线，或者确定临时断航时间、地点等，并由各自主管部门发布航行通告和航道通告，以引起各有船单位的重视。严禁无关船舶进入施工作业水域，按规定设置相应标识便于船舶导航，从源头上规避风险。 </w:t>
            </w:r>
          </w:p>
          <w:p w14:paraId="31A9BFEA">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 xml:space="preserve">（3）施工前应与当地文物管理局、水务局、防汛局等部门沟通，与相关管理部门研究划定施工界限，获得施工许可，并发布施工通告；未经同意，不得擅自开工，不得擅自扩大施工作业安全区；加强施工质量和进度管理，严格按既定的施工要求和施工进度进行施工。 </w:t>
            </w:r>
          </w:p>
          <w:p w14:paraId="35F6B3B4">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 xml:space="preserve">（4）施工船舶选择有丰富经验的驾驶人员，船舶驾驶人员上岗前进行统一的岗前培训，使其明确熟悉相关操作规程和准确掌握通行避让规则。加强对船舶操作人员的技术培训，提高施工人员的安全意识和环境保护意识，严格操作规程，避免人为操作失误引起船舶碰撞，杜绝船舶供油作业中溢油事故的发生。 </w:t>
            </w:r>
          </w:p>
          <w:p w14:paraId="2FFBAAF2">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 xml:space="preserve">（5）施工期间，作业船只悬挂灯号和信号，灯号和信号应符合国家规定，以避免各施工船舶之间发生相撞从而引起溢油事故的发生，也避免危化品船只误入施工水域。施工作业船舶在施工期间加强值班瞭望，施工作业人员应严格按照操作规程进行操作。 </w:t>
            </w:r>
          </w:p>
          <w:p w14:paraId="0613C9B7">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（6）施工船舶燃油实行一日一加，减少船舶自备载油量；船舶舱底含油一日一清， 减少含油污水存放量，尽量减少事故</w:t>
            </w:r>
            <w:r>
              <w:rPr>
                <w:rFonts w:hint="eastAsia" w:cs="Times New Roman"/>
                <w:kern w:val="0"/>
                <w:sz w:val="24"/>
                <w:szCs w:val="24"/>
                <w:lang w:val="en-US" w:eastAsia="zh-CN"/>
              </w:rPr>
              <w:t>污染源</w:t>
            </w:r>
            <w:r>
              <w:rPr>
                <w:rFonts w:hint="eastAsia" w:ascii="Times New Roman" w:hAnsi="Times New Roman" w:cs="Times New Roman"/>
                <w:kern w:val="0"/>
                <w:sz w:val="24"/>
                <w:szCs w:val="24"/>
                <w:lang w:val="en-US" w:eastAsia="zh-CN"/>
              </w:rPr>
              <w:t xml:space="preserve">。 </w:t>
            </w:r>
          </w:p>
          <w:p w14:paraId="0A238999">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 xml:space="preserve">（7）施工期间，施工单位应定期检查和维护施工船舶，使船舶维持良好的工作状态；同时，合理安排施工作业面，减少运砂船舶的碰撞几率。施工期间遇恶劣天气必须将工程船舶及时撤离，保证船舶安全。 </w:t>
            </w:r>
          </w:p>
          <w:p w14:paraId="31175F44">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（8）建设单位和施工单位制定施工期船舶泄漏等事故应急预案，预案应包括应急事故组织机构、应急救援队伍、应急设施及物</w:t>
            </w:r>
            <w:r>
              <w:rPr>
                <w:rFonts w:hint="eastAsia" w:cs="Times New Roman"/>
                <w:kern w:val="0"/>
                <w:sz w:val="24"/>
                <w:szCs w:val="24"/>
                <w:lang w:val="en-US" w:eastAsia="zh-CN"/>
              </w:rPr>
              <w:t>资</w:t>
            </w:r>
            <w:r>
              <w:rPr>
                <w:rFonts w:hint="eastAsia" w:ascii="Times New Roman" w:hAnsi="Times New Roman" w:cs="Times New Roman"/>
                <w:kern w:val="0"/>
                <w:sz w:val="24"/>
                <w:szCs w:val="24"/>
                <w:lang w:val="en-US" w:eastAsia="zh-CN"/>
              </w:rPr>
              <w:t xml:space="preserve">的配备、报警系统、应急处理措施、应急培训计划等内容；施工场所应张贴应急报警电话。应急预案应与沿线各地市环境风险应急预案相衔接。 </w:t>
            </w:r>
          </w:p>
          <w:p w14:paraId="5796DB9E">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 xml:space="preserve">（9）一旦发生船舶碰撞溢油环境风险事故，船方与建设单位应及时沟通，及时报告主管部门（港航事业发展中心、生态环境局、公安消防部门等），并实施溢油应急计划，同时要求施工单位、船方共同协作，及时用隔油栏、吸油材等进行控制、防护，使事故产生的影响减至最小，最大程度减少对水环境保护目标的影响。 </w:t>
            </w:r>
          </w:p>
          <w:p w14:paraId="152903A1">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1</w:t>
            </w:r>
            <w:r>
              <w:rPr>
                <w:rFonts w:hint="eastAsia" w:ascii="Times New Roman" w:hAnsi="Times New Roman" w:cs="Times New Roman"/>
                <w:kern w:val="0"/>
                <w:sz w:val="24"/>
                <w:szCs w:val="24"/>
                <w:lang w:val="en-US" w:eastAsia="zh-CN"/>
              </w:rPr>
              <w:t xml:space="preserve">0）相关部门接到污染事故报告后，应根据事故性质、污染程度和救助要求，迅速组织评估应急反应等级，并同时组织力量，调用清污设备实施救援，拟建工程业主应协助有关部门清除污染。 </w:t>
            </w:r>
          </w:p>
          <w:p w14:paraId="4E8DDE5F">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1</w:t>
            </w:r>
            <w:r>
              <w:rPr>
                <w:rFonts w:hint="eastAsia" w:ascii="Times New Roman" w:hAnsi="Times New Roman" w:cs="Times New Roman"/>
                <w:kern w:val="0"/>
                <w:sz w:val="24"/>
                <w:szCs w:val="24"/>
                <w:lang w:val="en-US" w:eastAsia="zh-CN"/>
              </w:rPr>
              <w:t>1）除向上述公安、生态环境等部门及时汇报外，应委托环境专业人员和监测人员到场工作，对水体污染带进行监测和分析，并视情况采取必要的公告、化学处理等措施。一旦施工期发生事故时，先由施工船舶内应急物资进行初步处理，并按照本评价提出的应急预案和污染防治措施进行处理，能够迅速、有序地处理施工期环境风险事故，避免事故的扩大，减少不利影响，措施可行。</w:t>
            </w:r>
          </w:p>
          <w:p w14:paraId="735B58AD">
            <w:pPr>
              <w:adjustRightInd w:val="0"/>
              <w:snapToGrid w:val="0"/>
              <w:spacing w:line="500" w:lineRule="exact"/>
              <w:ind w:firstLine="482" w:firstLineChars="200"/>
              <w:rPr>
                <w:rFonts w:hint="eastAsia" w:ascii="Times New Roman" w:hAnsi="Times New Roman" w:cs="Times New Roman"/>
                <w:kern w:val="0"/>
                <w:sz w:val="24"/>
                <w:szCs w:val="24"/>
                <w:lang w:val="en-US" w:eastAsia="zh-CN"/>
              </w:rPr>
            </w:pPr>
            <w:r>
              <w:rPr>
                <w:rFonts w:hint="eastAsia" w:ascii="Times New Roman" w:hAnsi="Times New Roman" w:cs="Times New Roman"/>
                <w:b/>
                <w:bCs/>
                <w:kern w:val="0"/>
                <w:sz w:val="24"/>
                <w:szCs w:val="24"/>
                <w:lang w:val="en-US" w:eastAsia="zh-CN"/>
              </w:rPr>
              <w:t>二、施工期省考断面、清水通道维护区风险防范措施</w:t>
            </w:r>
            <w:r>
              <w:rPr>
                <w:rFonts w:hint="eastAsia" w:ascii="Times New Roman" w:hAnsi="Times New Roman" w:cs="Times New Roman"/>
                <w:kern w:val="0"/>
                <w:sz w:val="24"/>
                <w:szCs w:val="24"/>
                <w:lang w:val="en-US" w:eastAsia="zh-CN"/>
              </w:rPr>
              <w:t xml:space="preserve"> </w:t>
            </w:r>
          </w:p>
          <w:p w14:paraId="262DFAA2">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1</w:t>
            </w:r>
            <w:r>
              <w:rPr>
                <w:rFonts w:hint="eastAsia" w:ascii="Times New Roman" w:hAnsi="Times New Roman" w:cs="Times New Roman"/>
                <w:kern w:val="0"/>
                <w:sz w:val="24"/>
                <w:szCs w:val="24"/>
                <w:lang w:val="en-US" w:eastAsia="zh-CN"/>
              </w:rPr>
              <w:t xml:space="preserve">）根据前述工程施工对省考断面、清水通道维护区污染风险分析结果，本工程施工单位在工程准备期间，针对本工程施工人员加强环保教育和宣传，明确省考断面、清水通道维护区的位置。在紧邻省考断面、清水通道维护区范围施工，加强施工监督工作，防止施工人员野蛮施工，以防止工程施工污染省考断面、清水通道维护区的风险发生。 </w:t>
            </w:r>
          </w:p>
          <w:p w14:paraId="78B6A418">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2</w:t>
            </w:r>
            <w:r>
              <w:rPr>
                <w:rFonts w:hint="eastAsia" w:ascii="Times New Roman" w:hAnsi="Times New Roman" w:cs="Times New Roman"/>
                <w:kern w:val="0"/>
                <w:sz w:val="24"/>
                <w:szCs w:val="24"/>
                <w:lang w:val="en-US" w:eastAsia="zh-CN"/>
              </w:rPr>
              <w:t xml:space="preserve">）建议施工船舶上配备一定的吸油毡、消油剂、吸油拖栏等应急物资，同时配备报警系统及必要的通信器材，以便及时与溢油应急指挥中心建立联系，及时采取影响措施。一旦施工船舶发生溢油事故，第一时间投放吸油毡等，使事故产生的影响减至最小，最大化的降低溢油事故对省考断面水质的影响。 </w:t>
            </w:r>
          </w:p>
          <w:p w14:paraId="4824FAD3">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3</w:t>
            </w:r>
            <w:r>
              <w:rPr>
                <w:rFonts w:hint="eastAsia" w:ascii="Times New Roman" w:hAnsi="Times New Roman" w:cs="Times New Roman"/>
                <w:kern w:val="0"/>
                <w:sz w:val="24"/>
                <w:szCs w:val="24"/>
                <w:lang w:val="en-US" w:eastAsia="zh-CN"/>
              </w:rPr>
              <w:t xml:space="preserve">）在疏浚区域设置专用标志，警示通往船舶已进入施工区域，以便加强注意力。必要时在施工区域附近设置临时信号台，控制船舶的通航秩序。 </w:t>
            </w:r>
          </w:p>
          <w:p w14:paraId="66EFE9E7">
            <w:pPr>
              <w:adjustRightInd w:val="0"/>
              <w:snapToGrid w:val="0"/>
              <w:spacing w:line="500" w:lineRule="exact"/>
              <w:ind w:firstLine="480" w:firstLineChars="200"/>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4</w:t>
            </w:r>
            <w:r>
              <w:rPr>
                <w:rFonts w:hint="eastAsia" w:ascii="Times New Roman" w:hAnsi="Times New Roman" w:cs="Times New Roman"/>
                <w:kern w:val="0"/>
                <w:sz w:val="24"/>
                <w:szCs w:val="24"/>
                <w:lang w:val="en-US" w:eastAsia="zh-CN"/>
              </w:rPr>
              <w:t xml:space="preserve">）建设单位应在施工前制定施工船舶溢油事故风险防范措施和施工期环境风险应急预案，准备应急物资并组织应急演练，配备相当数量的应急设备和器材，明确应急队伍和职责。 </w:t>
            </w:r>
          </w:p>
          <w:p w14:paraId="510EA305">
            <w:pPr>
              <w:adjustRightInd w:val="0"/>
              <w:snapToGrid w:val="0"/>
              <w:spacing w:line="500" w:lineRule="exact"/>
              <w:ind w:firstLine="480" w:firstLineChars="200"/>
              <w:rPr>
                <w:rFonts w:hint="eastAsia" w:cs="Times New Roman"/>
                <w:b/>
                <w:bCs/>
                <w:kern w:val="0"/>
                <w:sz w:val="24"/>
                <w:szCs w:val="24"/>
                <w:lang w:val="en-US" w:eastAsia="zh-CN"/>
              </w:rPr>
            </w:pP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5</w:t>
            </w:r>
            <w:r>
              <w:rPr>
                <w:rFonts w:hint="eastAsia" w:ascii="Times New Roman" w:hAnsi="Times New Roman" w:cs="Times New Roman"/>
                <w:kern w:val="0"/>
                <w:sz w:val="24"/>
                <w:szCs w:val="24"/>
                <w:lang w:val="en-US" w:eastAsia="zh-CN"/>
              </w:rPr>
              <w:t>）施工期间，施工单位应加强内部管理，严格将施工船舶限制在划定的施工水域内，严禁施工作业单位擅自扩大施工作业安全区，严禁无关船舶进入施工作业水域。</w:t>
            </w:r>
          </w:p>
          <w:p w14:paraId="6B0D2316">
            <w:pPr>
              <w:adjustRightInd w:val="0"/>
              <w:snapToGrid w:val="0"/>
              <w:spacing w:line="500" w:lineRule="exact"/>
              <w:ind w:firstLine="482" w:firstLineChars="200"/>
              <w:rPr>
                <w:rFonts w:hint="eastAsia" w:cs="Times New Roman"/>
                <w:kern w:val="0"/>
                <w:sz w:val="24"/>
                <w:szCs w:val="24"/>
                <w:lang w:val="en-US" w:eastAsia="zh-CN"/>
              </w:rPr>
            </w:pPr>
            <w:r>
              <w:rPr>
                <w:rFonts w:hint="eastAsia" w:cs="Times New Roman"/>
                <w:b/>
                <w:bCs/>
                <w:kern w:val="0"/>
                <w:sz w:val="24"/>
                <w:szCs w:val="24"/>
                <w:lang w:val="en-US" w:eastAsia="zh-CN"/>
              </w:rPr>
              <w:t>7、环境管理与自行监测计划</w:t>
            </w:r>
            <w:r>
              <w:rPr>
                <w:rFonts w:hint="eastAsia" w:cs="Times New Roman"/>
                <w:kern w:val="0"/>
                <w:sz w:val="24"/>
                <w:szCs w:val="24"/>
                <w:lang w:val="en-US" w:eastAsia="zh-CN"/>
              </w:rPr>
              <w:t xml:space="preserve"> </w:t>
            </w:r>
          </w:p>
          <w:p w14:paraId="1D83FAD6">
            <w:pPr>
              <w:adjustRightInd w:val="0"/>
              <w:snapToGrid w:val="0"/>
              <w:spacing w:line="500" w:lineRule="exact"/>
              <w:ind w:firstLine="480" w:firstLineChars="200"/>
              <w:rPr>
                <w:rFonts w:hint="eastAsia" w:cs="Times New Roman"/>
                <w:kern w:val="0"/>
                <w:sz w:val="24"/>
                <w:szCs w:val="24"/>
                <w:lang w:val="en-US" w:eastAsia="zh-CN"/>
              </w:rPr>
            </w:pPr>
            <w:r>
              <w:rPr>
                <w:rFonts w:hint="default" w:cs="Times New Roman"/>
                <w:kern w:val="0"/>
                <w:sz w:val="24"/>
                <w:szCs w:val="24"/>
                <w:lang w:val="en-US" w:eastAsia="zh-CN"/>
              </w:rPr>
              <w:t>1</w:t>
            </w:r>
            <w:r>
              <w:rPr>
                <w:rFonts w:hint="eastAsia" w:cs="Times New Roman"/>
                <w:kern w:val="0"/>
                <w:sz w:val="24"/>
                <w:szCs w:val="24"/>
                <w:lang w:val="en-US" w:eastAsia="zh-CN"/>
              </w:rPr>
              <w:t>）严格执行</w:t>
            </w:r>
            <w:r>
              <w:rPr>
                <w:rFonts w:hint="default" w:cs="Times New Roman"/>
                <w:kern w:val="0"/>
                <w:sz w:val="24"/>
                <w:szCs w:val="24"/>
                <w:lang w:val="en-US" w:eastAsia="zh-CN"/>
              </w:rPr>
              <w:t>“</w:t>
            </w:r>
            <w:r>
              <w:rPr>
                <w:rFonts w:hint="eastAsia" w:cs="Times New Roman"/>
                <w:kern w:val="0"/>
                <w:sz w:val="24"/>
                <w:szCs w:val="24"/>
                <w:lang w:val="en-US" w:eastAsia="zh-CN"/>
              </w:rPr>
              <w:t>三同时</w:t>
            </w:r>
            <w:r>
              <w:rPr>
                <w:rFonts w:hint="default" w:cs="Times New Roman"/>
                <w:kern w:val="0"/>
                <w:sz w:val="24"/>
                <w:szCs w:val="24"/>
                <w:lang w:val="en-US" w:eastAsia="zh-CN"/>
              </w:rPr>
              <w:t>”</w:t>
            </w:r>
            <w:r>
              <w:rPr>
                <w:rFonts w:hint="eastAsia" w:cs="Times New Roman"/>
                <w:kern w:val="0"/>
                <w:sz w:val="24"/>
                <w:szCs w:val="24"/>
                <w:lang w:val="en-US" w:eastAsia="zh-CN"/>
              </w:rPr>
              <w:t xml:space="preserve">制度 </w:t>
            </w:r>
          </w:p>
          <w:p w14:paraId="79B99BBF">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在项目筹备、设计和施工建设不同阶段，均应严格执行</w:t>
            </w:r>
            <w:r>
              <w:rPr>
                <w:rFonts w:hint="default" w:cs="Times New Roman"/>
                <w:kern w:val="0"/>
                <w:sz w:val="24"/>
                <w:szCs w:val="24"/>
                <w:lang w:val="en-US" w:eastAsia="zh-CN"/>
              </w:rPr>
              <w:t>“</w:t>
            </w:r>
            <w:r>
              <w:rPr>
                <w:rFonts w:hint="eastAsia" w:cs="Times New Roman"/>
                <w:kern w:val="0"/>
                <w:sz w:val="24"/>
                <w:szCs w:val="24"/>
                <w:lang w:val="en-US" w:eastAsia="zh-CN"/>
              </w:rPr>
              <w:t>三同时</w:t>
            </w:r>
            <w:r>
              <w:rPr>
                <w:rFonts w:hint="default" w:cs="Times New Roman"/>
                <w:kern w:val="0"/>
                <w:sz w:val="24"/>
                <w:szCs w:val="24"/>
                <w:lang w:val="en-US" w:eastAsia="zh-CN"/>
              </w:rPr>
              <w:t>”</w:t>
            </w:r>
            <w:r>
              <w:rPr>
                <w:rFonts w:hint="eastAsia" w:cs="Times New Roman"/>
                <w:kern w:val="0"/>
                <w:sz w:val="24"/>
                <w:szCs w:val="24"/>
                <w:lang w:val="en-US" w:eastAsia="zh-CN"/>
              </w:rPr>
              <w:t>制度，确保污染处理设施能够与生产工艺设施</w:t>
            </w:r>
            <w:r>
              <w:rPr>
                <w:rFonts w:hint="default" w:cs="Times New Roman"/>
                <w:kern w:val="0"/>
                <w:sz w:val="24"/>
                <w:szCs w:val="24"/>
                <w:lang w:val="en-US" w:eastAsia="zh-CN"/>
              </w:rPr>
              <w:t>“</w:t>
            </w:r>
            <w:r>
              <w:rPr>
                <w:rFonts w:hint="eastAsia" w:cs="Times New Roman"/>
                <w:kern w:val="0"/>
                <w:sz w:val="24"/>
                <w:szCs w:val="24"/>
                <w:lang w:val="en-US" w:eastAsia="zh-CN"/>
              </w:rPr>
              <w:t>同时设计、同时施工、同时竣工</w:t>
            </w:r>
            <w:r>
              <w:rPr>
                <w:rFonts w:hint="default" w:cs="Times New Roman"/>
                <w:kern w:val="0"/>
                <w:sz w:val="24"/>
                <w:szCs w:val="24"/>
                <w:lang w:val="en-US" w:eastAsia="zh-CN"/>
              </w:rPr>
              <w:t>”</w:t>
            </w:r>
            <w:r>
              <w:rPr>
                <w:rFonts w:hint="eastAsia" w:cs="Times New Roman"/>
                <w:kern w:val="0"/>
                <w:sz w:val="24"/>
                <w:szCs w:val="24"/>
                <w:lang w:val="en-US" w:eastAsia="zh-CN"/>
              </w:rPr>
              <w:t xml:space="preserve">。 </w:t>
            </w:r>
          </w:p>
          <w:p w14:paraId="23405D21">
            <w:pPr>
              <w:adjustRightInd w:val="0"/>
              <w:snapToGrid w:val="0"/>
              <w:spacing w:line="500" w:lineRule="exact"/>
              <w:ind w:firstLine="480" w:firstLineChars="200"/>
              <w:rPr>
                <w:rFonts w:hint="eastAsia" w:cs="Times New Roman"/>
                <w:kern w:val="0"/>
                <w:sz w:val="24"/>
                <w:szCs w:val="24"/>
                <w:lang w:val="en-US" w:eastAsia="zh-CN"/>
              </w:rPr>
            </w:pPr>
            <w:r>
              <w:rPr>
                <w:rFonts w:hint="default" w:cs="Times New Roman"/>
                <w:kern w:val="0"/>
                <w:sz w:val="24"/>
                <w:szCs w:val="24"/>
                <w:lang w:val="en-US" w:eastAsia="zh-CN"/>
              </w:rPr>
              <w:t>2</w:t>
            </w:r>
            <w:r>
              <w:rPr>
                <w:rFonts w:hint="eastAsia" w:cs="Times New Roman"/>
                <w:kern w:val="0"/>
                <w:sz w:val="24"/>
                <w:szCs w:val="24"/>
                <w:lang w:val="en-US" w:eastAsia="zh-CN"/>
              </w:rPr>
              <w:t xml:space="preserve">）监测计划 </w:t>
            </w:r>
          </w:p>
          <w:p w14:paraId="7C6E0B64">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 xml:space="preserve">根据项目工程可行性研究报告及相关环保要求： </w:t>
            </w:r>
          </w:p>
          <w:p w14:paraId="18E078B6">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 xml:space="preserve">①水质监测 </w:t>
            </w:r>
          </w:p>
          <w:p w14:paraId="22EF321A">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监测点布设：南港疏浚工程和锚地扩建下游以及</w:t>
            </w:r>
            <w:r>
              <w:rPr>
                <w:sz w:val="24"/>
                <w:szCs w:val="24"/>
              </w:rPr>
              <w:t>淤泥尾水排放点</w:t>
            </w:r>
            <w:r>
              <w:rPr>
                <w:rFonts w:hint="eastAsia" w:cs="Times New Roman"/>
                <w:kern w:val="0"/>
                <w:sz w:val="24"/>
                <w:szCs w:val="24"/>
                <w:lang w:val="en-US" w:eastAsia="zh-CN"/>
              </w:rPr>
              <w:t xml:space="preserve">各1个，共计3个监测点。 </w:t>
            </w:r>
          </w:p>
          <w:p w14:paraId="0CC9F881">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监测项目：</w:t>
            </w:r>
            <w:r>
              <w:rPr>
                <w:rFonts w:hint="default" w:cs="Times New Roman"/>
                <w:kern w:val="0"/>
                <w:sz w:val="24"/>
                <w:szCs w:val="24"/>
                <w:lang w:val="en-US" w:eastAsia="zh-CN"/>
              </w:rPr>
              <w:t>pH</w:t>
            </w:r>
            <w:r>
              <w:rPr>
                <w:rFonts w:hint="eastAsia" w:cs="Times New Roman"/>
                <w:kern w:val="0"/>
                <w:sz w:val="24"/>
                <w:szCs w:val="24"/>
                <w:lang w:val="en-US" w:eastAsia="zh-CN"/>
              </w:rPr>
              <w:t>值、</w:t>
            </w:r>
            <w:r>
              <w:rPr>
                <w:rFonts w:hint="default" w:cs="Times New Roman"/>
                <w:kern w:val="0"/>
                <w:sz w:val="24"/>
                <w:szCs w:val="24"/>
                <w:lang w:val="en-US" w:eastAsia="zh-CN"/>
              </w:rPr>
              <w:t>SS</w:t>
            </w:r>
            <w:r>
              <w:rPr>
                <w:rFonts w:hint="eastAsia" w:cs="Times New Roman"/>
                <w:kern w:val="0"/>
                <w:sz w:val="24"/>
                <w:szCs w:val="24"/>
                <w:lang w:val="en-US" w:eastAsia="zh-CN"/>
              </w:rPr>
              <w:t>、</w:t>
            </w:r>
            <w:r>
              <w:rPr>
                <w:rFonts w:hint="default" w:cs="Times New Roman"/>
                <w:kern w:val="0"/>
                <w:sz w:val="24"/>
                <w:szCs w:val="24"/>
                <w:lang w:val="en-US" w:eastAsia="zh-CN"/>
              </w:rPr>
              <w:t>DO</w:t>
            </w:r>
            <w:r>
              <w:rPr>
                <w:rFonts w:hint="eastAsia" w:cs="Times New Roman"/>
                <w:kern w:val="0"/>
                <w:sz w:val="24"/>
                <w:szCs w:val="24"/>
                <w:lang w:val="en-US" w:eastAsia="zh-CN"/>
              </w:rPr>
              <w:t>、</w:t>
            </w:r>
            <w:r>
              <w:rPr>
                <w:rFonts w:hint="default" w:cs="Times New Roman"/>
                <w:kern w:val="0"/>
                <w:sz w:val="24"/>
                <w:szCs w:val="24"/>
                <w:lang w:val="en-US" w:eastAsia="zh-CN"/>
              </w:rPr>
              <w:t>COD</w:t>
            </w:r>
            <w:r>
              <w:rPr>
                <w:rFonts w:hint="eastAsia" w:cs="Times New Roman"/>
                <w:kern w:val="0"/>
                <w:sz w:val="24"/>
                <w:szCs w:val="24"/>
                <w:lang w:val="en-US" w:eastAsia="zh-CN"/>
              </w:rPr>
              <w:t xml:space="preserve">、氨氮、总磷、石油类等。 </w:t>
            </w:r>
          </w:p>
          <w:p w14:paraId="219B3175">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监测频次：工程筹建期监测1次，施工期间每季度监测</w:t>
            </w:r>
            <w:r>
              <w:rPr>
                <w:rFonts w:hint="default" w:cs="Times New Roman"/>
                <w:kern w:val="0"/>
                <w:sz w:val="24"/>
                <w:szCs w:val="24"/>
                <w:lang w:val="en-US" w:eastAsia="zh-CN"/>
              </w:rPr>
              <w:t>1</w:t>
            </w:r>
            <w:r>
              <w:rPr>
                <w:rFonts w:hint="eastAsia" w:cs="Times New Roman"/>
                <w:kern w:val="0"/>
                <w:sz w:val="24"/>
                <w:szCs w:val="24"/>
                <w:lang w:val="en-US" w:eastAsia="zh-CN"/>
              </w:rPr>
              <w:t xml:space="preserve">次，施工结束后监测1次，必要时进行临时应急监测。 </w:t>
            </w:r>
          </w:p>
          <w:p w14:paraId="63D7064C">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 xml:space="preserve">②底泥监测 </w:t>
            </w:r>
          </w:p>
          <w:p w14:paraId="6DB1566F">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 xml:space="preserve">监测点布设：新建锚地上游段、新建锚地下游段和南港疏浚处各1个，共计3个监测点。 </w:t>
            </w:r>
          </w:p>
          <w:p w14:paraId="51368A4F">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监测项目：</w:t>
            </w:r>
            <w:r>
              <w:rPr>
                <w:rFonts w:hint="default" w:cs="Times New Roman"/>
                <w:kern w:val="0"/>
                <w:sz w:val="24"/>
                <w:szCs w:val="24"/>
                <w:lang w:val="en-US" w:eastAsia="zh-CN"/>
              </w:rPr>
              <w:t>pH</w:t>
            </w:r>
            <w:r>
              <w:rPr>
                <w:rFonts w:hint="eastAsia" w:cs="Times New Roman"/>
                <w:kern w:val="0"/>
                <w:sz w:val="24"/>
                <w:szCs w:val="24"/>
                <w:lang w:val="en-US" w:eastAsia="zh-CN"/>
              </w:rPr>
              <w:t xml:space="preserve">、铬、铜、锌、铅、镉、砷、汞、镍。 </w:t>
            </w:r>
          </w:p>
          <w:p w14:paraId="16D26BFE">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监测频次与时段：工程筹建期和施工结束后各监测</w:t>
            </w:r>
            <w:r>
              <w:rPr>
                <w:rFonts w:hint="default" w:cs="Times New Roman"/>
                <w:kern w:val="0"/>
                <w:sz w:val="24"/>
                <w:szCs w:val="24"/>
                <w:lang w:val="en-US" w:eastAsia="zh-CN"/>
              </w:rPr>
              <w:t>1</w:t>
            </w:r>
            <w:r>
              <w:rPr>
                <w:rFonts w:hint="eastAsia" w:cs="Times New Roman"/>
                <w:kern w:val="0"/>
                <w:sz w:val="24"/>
                <w:szCs w:val="24"/>
                <w:lang w:val="en-US" w:eastAsia="zh-CN"/>
              </w:rPr>
              <w:t xml:space="preserve">次。 </w:t>
            </w:r>
          </w:p>
          <w:p w14:paraId="03990087">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 xml:space="preserve">③噪声监测 </w:t>
            </w:r>
          </w:p>
          <w:p w14:paraId="0F354FF8">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监测点布设：施工厂界外</w:t>
            </w:r>
            <w:r>
              <w:rPr>
                <w:rFonts w:hint="default" w:cs="Times New Roman"/>
                <w:kern w:val="0"/>
                <w:sz w:val="24"/>
                <w:szCs w:val="24"/>
                <w:lang w:val="en-US" w:eastAsia="zh-CN"/>
              </w:rPr>
              <w:t>1m</w:t>
            </w:r>
            <w:r>
              <w:rPr>
                <w:rFonts w:hint="eastAsia" w:cs="Times New Roman"/>
                <w:kern w:val="0"/>
                <w:sz w:val="24"/>
                <w:szCs w:val="24"/>
                <w:lang w:val="en-US" w:eastAsia="zh-CN"/>
              </w:rPr>
              <w:t xml:space="preserve">（根据具体施工位置确定） </w:t>
            </w:r>
          </w:p>
          <w:p w14:paraId="363E6C6B">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监测项目：等效连续</w:t>
            </w:r>
            <w:r>
              <w:rPr>
                <w:rFonts w:hint="default" w:cs="Times New Roman"/>
                <w:kern w:val="0"/>
                <w:sz w:val="24"/>
                <w:szCs w:val="24"/>
                <w:lang w:val="en-US" w:eastAsia="zh-CN"/>
              </w:rPr>
              <w:t>A</w:t>
            </w:r>
            <w:r>
              <w:rPr>
                <w:rFonts w:hint="eastAsia" w:cs="Times New Roman"/>
                <w:kern w:val="0"/>
                <w:sz w:val="24"/>
                <w:szCs w:val="24"/>
                <w:lang w:val="en-US" w:eastAsia="zh-CN"/>
              </w:rPr>
              <w:t>声级（</w:t>
            </w:r>
            <w:r>
              <w:rPr>
                <w:rFonts w:hint="default" w:cs="Times New Roman"/>
                <w:kern w:val="0"/>
                <w:sz w:val="24"/>
                <w:szCs w:val="24"/>
                <w:lang w:val="en-US" w:eastAsia="zh-CN"/>
              </w:rPr>
              <w:t>L</w:t>
            </w:r>
            <w:r>
              <w:rPr>
                <w:rFonts w:hint="eastAsia" w:cs="Times New Roman"/>
                <w:kern w:val="0"/>
                <w:sz w:val="24"/>
                <w:szCs w:val="24"/>
                <w:vertAlign w:val="subscript"/>
                <w:lang w:val="en-US" w:eastAsia="zh-CN"/>
              </w:rPr>
              <w:t>A</w:t>
            </w:r>
            <w:r>
              <w:rPr>
                <w:rFonts w:hint="default" w:cs="Times New Roman"/>
                <w:kern w:val="0"/>
                <w:sz w:val="24"/>
                <w:szCs w:val="24"/>
                <w:vertAlign w:val="subscript"/>
                <w:lang w:val="en-US" w:eastAsia="zh-CN"/>
              </w:rPr>
              <w:t>e</w:t>
            </w:r>
            <w:r>
              <w:rPr>
                <w:rFonts w:hint="eastAsia" w:cs="Times New Roman"/>
                <w:kern w:val="0"/>
                <w:sz w:val="24"/>
                <w:szCs w:val="24"/>
                <w:vertAlign w:val="subscript"/>
                <w:lang w:val="en-US" w:eastAsia="zh-CN"/>
              </w:rPr>
              <w:t>q</w:t>
            </w:r>
            <w:r>
              <w:rPr>
                <w:rFonts w:hint="eastAsia" w:cs="Times New Roman"/>
                <w:kern w:val="0"/>
                <w:sz w:val="24"/>
                <w:szCs w:val="24"/>
                <w:lang w:val="en-US" w:eastAsia="zh-CN"/>
              </w:rPr>
              <w:t xml:space="preserve">） </w:t>
            </w:r>
          </w:p>
          <w:p w14:paraId="208615F2">
            <w:pPr>
              <w:adjustRightInd w:val="0"/>
              <w:snapToGrid w:val="0"/>
              <w:spacing w:line="500" w:lineRule="exact"/>
              <w:ind w:firstLine="480" w:firstLineChars="200"/>
              <w:rPr>
                <w:rFonts w:hint="eastAsia" w:cs="Times New Roman"/>
                <w:kern w:val="0"/>
                <w:sz w:val="24"/>
                <w:szCs w:val="24"/>
                <w:lang w:val="en-US" w:eastAsia="zh-CN"/>
              </w:rPr>
            </w:pPr>
            <w:r>
              <w:rPr>
                <w:rFonts w:hint="eastAsia" w:cs="Times New Roman"/>
                <w:kern w:val="0"/>
                <w:sz w:val="24"/>
                <w:szCs w:val="24"/>
                <w:lang w:val="en-US" w:eastAsia="zh-CN"/>
              </w:rPr>
              <w:t>监测频次：施工期每季度昼夜各监测</w:t>
            </w:r>
            <w:r>
              <w:rPr>
                <w:rFonts w:hint="default" w:cs="Times New Roman"/>
                <w:kern w:val="0"/>
                <w:sz w:val="24"/>
                <w:szCs w:val="24"/>
                <w:lang w:val="en-US" w:eastAsia="zh-CN"/>
              </w:rPr>
              <w:t>1</w:t>
            </w:r>
            <w:r>
              <w:rPr>
                <w:rFonts w:hint="eastAsia" w:cs="Times New Roman"/>
                <w:kern w:val="0"/>
                <w:sz w:val="24"/>
                <w:szCs w:val="24"/>
                <w:lang w:val="en-US" w:eastAsia="zh-CN"/>
              </w:rPr>
              <w:t xml:space="preserve">次，选择正常工作时间监测。 </w:t>
            </w:r>
          </w:p>
          <w:p w14:paraId="60C1A9DC">
            <w:pPr>
              <w:adjustRightInd w:val="0"/>
              <w:snapToGrid w:val="0"/>
              <w:spacing w:line="500" w:lineRule="exact"/>
              <w:ind w:firstLine="480" w:firstLineChars="200"/>
              <w:rPr>
                <w:rFonts w:hint="default" w:ascii="Times New Roman" w:hAnsi="Times New Roman" w:eastAsia="宋体" w:cs="Times New Roman"/>
                <w:bCs/>
                <w:sz w:val="24"/>
                <w:szCs w:val="24"/>
              </w:rPr>
            </w:pPr>
            <w:r>
              <w:rPr>
                <w:rFonts w:hint="eastAsia" w:cs="Times New Roman"/>
                <w:kern w:val="0"/>
                <w:sz w:val="24"/>
                <w:szCs w:val="24"/>
                <w:lang w:val="en-US" w:eastAsia="zh-CN"/>
              </w:rPr>
              <w:t>当本项目达到验收标准时根据《建设项目竣工环境保护验收技术规范  生态影响类》委托有资质的检（监）测机构代其开展验收监测，根据监测结果编写验收监测报告。</w:t>
            </w:r>
          </w:p>
        </w:tc>
      </w:tr>
      <w:tr w14:paraId="6C251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701" w:type="dxa"/>
            <w:tcMar>
              <w:left w:w="28" w:type="dxa"/>
              <w:right w:w="28" w:type="dxa"/>
            </w:tcMar>
            <w:vAlign w:val="center"/>
          </w:tcPr>
          <w:p w14:paraId="5F4C7A38">
            <w:pPr>
              <w:adjustRightInd w:val="0"/>
              <w:snapToGrid w:val="0"/>
              <w:jc w:val="center"/>
              <w:rPr>
                <w:rFonts w:hint="default" w:ascii="Times New Roman" w:hAnsi="Times New Roman" w:eastAsia="宋体" w:cs="Times New Roman"/>
                <w:bCs/>
                <w:sz w:val="24"/>
                <w:szCs w:val="24"/>
              </w:rPr>
            </w:pPr>
            <w:r>
              <w:rPr>
                <w:rFonts w:hint="eastAsia" w:ascii="宋体" w:hAnsi="宋体" w:cs="宋体"/>
                <w:bCs/>
                <w:spacing w:val="10"/>
                <w:szCs w:val="21"/>
              </w:rPr>
              <w:t>运营期生态环境保护措施</w:t>
            </w:r>
          </w:p>
        </w:tc>
        <w:tc>
          <w:tcPr>
            <w:tcW w:w="7570" w:type="dxa"/>
            <w:vAlign w:val="center"/>
          </w:tcPr>
          <w:p w14:paraId="42C90F15">
            <w:pPr>
              <w:autoSpaceDE w:val="0"/>
              <w:autoSpaceDN w:val="0"/>
              <w:adjustRightInd w:val="0"/>
              <w:snapToGrid w:val="0"/>
              <w:spacing w:line="460" w:lineRule="exact"/>
              <w:ind w:firstLine="482" w:firstLineChars="200"/>
              <w:rPr>
                <w:rFonts w:hint="default" w:ascii="Times New Roman" w:hAnsi="Times New Roman" w:eastAsia="宋体" w:cs="Times New Roman"/>
                <w:b w:val="0"/>
                <w:bCs/>
                <w:kern w:val="0"/>
                <w:sz w:val="24"/>
                <w:szCs w:val="24"/>
              </w:rPr>
            </w:pPr>
            <w:r>
              <w:rPr>
                <w:rFonts w:hint="default" w:ascii="Times New Roman" w:hAnsi="Times New Roman" w:eastAsia="宋体" w:cs="Times New Roman"/>
                <w:b/>
                <w:bCs w:val="0"/>
                <w:kern w:val="0"/>
                <w:sz w:val="24"/>
                <w:szCs w:val="24"/>
              </w:rPr>
              <w:t>1、</w:t>
            </w:r>
            <w:r>
              <w:rPr>
                <w:rFonts w:hint="eastAsia" w:cs="Times New Roman"/>
                <w:b/>
                <w:bCs w:val="0"/>
                <w:kern w:val="0"/>
                <w:sz w:val="24"/>
                <w:szCs w:val="24"/>
                <w:lang w:eastAsia="zh-CN"/>
              </w:rPr>
              <w:t>运营期</w:t>
            </w:r>
            <w:r>
              <w:rPr>
                <w:rFonts w:hint="default" w:ascii="Times New Roman" w:hAnsi="Times New Roman" w:eastAsia="宋体" w:cs="Times New Roman"/>
                <w:b/>
                <w:bCs w:val="0"/>
                <w:kern w:val="0"/>
                <w:sz w:val="24"/>
                <w:szCs w:val="24"/>
              </w:rPr>
              <w:t>水环境保护措施</w:t>
            </w:r>
          </w:p>
          <w:p w14:paraId="1D36276D">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eastAsia="zh-CN"/>
              </w:rPr>
              <w:t>运营期</w:t>
            </w:r>
            <w:r>
              <w:rPr>
                <w:rFonts w:hint="default" w:ascii="Times New Roman" w:hAnsi="Times New Roman" w:eastAsia="宋体" w:cs="Times New Roman"/>
                <w:b w:val="0"/>
                <w:bCs/>
                <w:kern w:val="0"/>
                <w:sz w:val="24"/>
                <w:szCs w:val="24"/>
              </w:rPr>
              <w:t>主要为停泊船舶的含油污水和人员的生活污水</w:t>
            </w:r>
            <w:r>
              <w:rPr>
                <w:rFonts w:hint="eastAsia" w:ascii="Times New Roman" w:hAnsi="Times New Roman" w:eastAsia="宋体" w:cs="Times New Roman"/>
                <w:b w:val="0"/>
                <w:bCs/>
                <w:kern w:val="0"/>
                <w:sz w:val="24"/>
                <w:szCs w:val="24"/>
                <w:lang w:val="en-US" w:eastAsia="zh-CN"/>
              </w:rPr>
              <w:t>以及初期雨水</w:t>
            </w:r>
            <w:r>
              <w:rPr>
                <w:rFonts w:hint="eastAsia" w:ascii="Times New Roman" w:hAnsi="Times New Roman" w:eastAsia="宋体" w:cs="Times New Roman"/>
                <w:b w:val="0"/>
                <w:bCs/>
                <w:kern w:val="0"/>
                <w:sz w:val="24"/>
                <w:szCs w:val="24"/>
                <w:lang w:eastAsia="zh-CN"/>
              </w:rPr>
              <w:t>。</w:t>
            </w:r>
            <w:r>
              <w:rPr>
                <w:rFonts w:hint="eastAsia" w:ascii="Times New Roman" w:hAnsi="Times New Roman" w:eastAsia="宋体" w:cs="Times New Roman"/>
                <w:b w:val="0"/>
                <w:bCs/>
                <w:kern w:val="0"/>
                <w:sz w:val="24"/>
                <w:szCs w:val="24"/>
                <w:lang w:val="en-US" w:eastAsia="zh-CN"/>
              </w:rPr>
              <w:t>船舶应按照《江苏省内河水域船舶污染防治条例》要求配备生活污水和油水分离器</w:t>
            </w:r>
            <w:r>
              <w:rPr>
                <w:rFonts w:hint="eastAsia" w:ascii="Times New Roman" w:hAnsi="Times New Roman" w:cs="Times New Roman"/>
                <w:b w:val="0"/>
                <w:bCs/>
                <w:kern w:val="0"/>
                <w:sz w:val="24"/>
                <w:szCs w:val="24"/>
                <w:lang w:val="en-US" w:eastAsia="zh-CN"/>
              </w:rPr>
              <w:t>，</w:t>
            </w:r>
            <w:r>
              <w:rPr>
                <w:rFonts w:hint="eastAsia" w:ascii="Times New Roman" w:hAnsi="Times New Roman" w:eastAsia="宋体" w:cs="Times New Roman"/>
                <w:b w:val="0"/>
                <w:bCs/>
                <w:kern w:val="0"/>
                <w:sz w:val="24"/>
                <w:szCs w:val="24"/>
                <w:lang w:val="en-US" w:eastAsia="zh-CN"/>
              </w:rPr>
              <w:t>船舶生活污水经</w:t>
            </w:r>
            <w:r>
              <w:rPr>
                <w:rFonts w:hint="default" w:ascii="Times New Roman" w:hAnsi="Times New Roman" w:eastAsia="宋体" w:cs="Times New Roman"/>
                <w:b w:val="0"/>
                <w:bCs/>
                <w:kern w:val="0"/>
                <w:sz w:val="24"/>
                <w:szCs w:val="24"/>
                <w:lang w:val="en-US" w:eastAsia="zh-CN"/>
              </w:rPr>
              <w:t>锚地后沿</w:t>
            </w:r>
            <w:r>
              <w:rPr>
                <w:rFonts w:hint="eastAsia" w:ascii="Times New Roman" w:hAnsi="Times New Roman" w:eastAsia="宋体" w:cs="Times New Roman"/>
                <w:b w:val="0"/>
                <w:bCs/>
                <w:kern w:val="0"/>
                <w:sz w:val="24"/>
                <w:szCs w:val="24"/>
                <w:lang w:val="en-US" w:eastAsia="zh-CN"/>
              </w:rPr>
              <w:t>污水箱收集后定期</w:t>
            </w:r>
            <w:r>
              <w:rPr>
                <w:rFonts w:hint="eastAsia" w:ascii="Times New Roman" w:hAnsi="Times New Roman" w:cs="Times New Roman"/>
                <w:b w:val="0"/>
                <w:bCs/>
                <w:kern w:val="0"/>
                <w:sz w:val="24"/>
                <w:szCs w:val="24"/>
                <w:lang w:val="en-US" w:eastAsia="zh-CN"/>
              </w:rPr>
              <w:t>罐车</w:t>
            </w:r>
            <w:r>
              <w:rPr>
                <w:rFonts w:hint="eastAsia" w:ascii="Times New Roman" w:hAnsi="Times New Roman" w:eastAsia="宋体" w:cs="Times New Roman"/>
                <w:b w:val="0"/>
                <w:bCs/>
                <w:kern w:val="0"/>
                <w:sz w:val="24"/>
                <w:szCs w:val="24"/>
                <w:lang w:val="en-US" w:eastAsia="zh-CN"/>
              </w:rPr>
              <w:t>外运</w:t>
            </w:r>
            <w:r>
              <w:rPr>
                <w:rFonts w:hint="eastAsia" w:ascii="Times New Roman" w:hAnsi="Times New Roman" w:eastAsia="宋体" w:cs="Times New Roman"/>
                <w:b w:val="0"/>
                <w:bCs/>
                <w:kern w:val="0"/>
                <w:sz w:val="24"/>
                <w:szCs w:val="24"/>
                <w:lang w:eastAsia="zh-CN"/>
              </w:rPr>
              <w:t>，</w:t>
            </w:r>
            <w:r>
              <w:rPr>
                <w:rFonts w:hint="eastAsia" w:ascii="Times New Roman" w:hAnsi="Times New Roman" w:cs="Times New Roman"/>
                <w:b w:val="0"/>
                <w:bCs/>
                <w:kern w:val="0"/>
                <w:sz w:val="24"/>
                <w:szCs w:val="24"/>
                <w:lang w:val="en-US" w:eastAsia="zh-CN"/>
              </w:rPr>
              <w:t>纳入区域污水处理厂处理，</w:t>
            </w:r>
            <w:r>
              <w:rPr>
                <w:rFonts w:hint="eastAsia" w:ascii="Times New Roman" w:hAnsi="Times New Roman" w:eastAsia="宋体" w:cs="Times New Roman"/>
                <w:b w:val="0"/>
                <w:bCs/>
                <w:kern w:val="0"/>
                <w:sz w:val="24"/>
                <w:szCs w:val="24"/>
                <w:lang w:val="en-US" w:eastAsia="zh-CN"/>
              </w:rPr>
              <w:t>船舶含油污水</w:t>
            </w:r>
            <w:r>
              <w:rPr>
                <w:rFonts w:hint="eastAsia" w:ascii="Times New Roman" w:hAnsi="Times New Roman" w:eastAsia="宋体" w:cs="Times New Roman"/>
                <w:b w:val="0"/>
                <w:bCs/>
                <w:kern w:val="0"/>
                <w:sz w:val="24"/>
                <w:szCs w:val="24"/>
              </w:rPr>
              <w:t>由当地交通运输部门认可的有资质的</w:t>
            </w:r>
            <w:r>
              <w:rPr>
                <w:rFonts w:hint="eastAsia" w:ascii="Times New Roman" w:hAnsi="Times New Roman" w:eastAsia="宋体" w:cs="Times New Roman"/>
                <w:b w:val="0"/>
                <w:bCs/>
                <w:kern w:val="0"/>
                <w:sz w:val="24"/>
                <w:szCs w:val="24"/>
                <w:lang w:val="en-US" w:eastAsia="zh-CN"/>
              </w:rPr>
              <w:t>单位</w:t>
            </w:r>
            <w:r>
              <w:rPr>
                <w:rFonts w:hint="eastAsia" w:ascii="Times New Roman" w:hAnsi="Times New Roman" w:eastAsia="宋体" w:cs="Times New Roman"/>
                <w:b w:val="0"/>
                <w:bCs/>
                <w:kern w:val="0"/>
                <w:sz w:val="24"/>
                <w:szCs w:val="24"/>
              </w:rPr>
              <w:t>接收处理</w:t>
            </w:r>
            <w:r>
              <w:rPr>
                <w:rFonts w:hint="eastAsia" w:ascii="Times New Roman" w:hAnsi="Times New Roman" w:eastAsia="宋体" w:cs="Times New Roman"/>
                <w:b w:val="0"/>
                <w:bCs/>
                <w:kern w:val="0"/>
                <w:sz w:val="24"/>
                <w:szCs w:val="24"/>
                <w:lang w:eastAsia="zh-CN"/>
              </w:rPr>
              <w:t>，</w:t>
            </w:r>
            <w:r>
              <w:rPr>
                <w:rFonts w:hint="eastAsia" w:ascii="Times New Roman" w:hAnsi="Times New Roman" w:eastAsia="宋体" w:cs="Times New Roman"/>
                <w:b w:val="0"/>
                <w:bCs/>
                <w:kern w:val="0"/>
                <w:sz w:val="24"/>
                <w:szCs w:val="24"/>
                <w:lang w:val="en-US" w:eastAsia="zh-CN"/>
              </w:rPr>
              <w:t>初期雨水经收集后</w:t>
            </w:r>
            <w:r>
              <w:rPr>
                <w:rFonts w:hint="eastAsia" w:ascii="Times New Roman" w:hAnsi="Times New Roman" w:cs="Times New Roman"/>
                <w:b w:val="0"/>
                <w:bCs/>
                <w:kern w:val="0"/>
                <w:sz w:val="24"/>
                <w:szCs w:val="24"/>
                <w:lang w:val="en-US" w:eastAsia="zh-CN"/>
              </w:rPr>
              <w:t>罐车</w:t>
            </w:r>
            <w:r>
              <w:rPr>
                <w:rFonts w:hint="eastAsia" w:ascii="Times New Roman" w:hAnsi="Times New Roman" w:eastAsia="宋体" w:cs="Times New Roman"/>
                <w:b w:val="0"/>
                <w:bCs/>
                <w:kern w:val="0"/>
                <w:sz w:val="24"/>
                <w:szCs w:val="24"/>
                <w:lang w:val="en-US" w:eastAsia="zh-CN"/>
              </w:rPr>
              <w:t>外运</w:t>
            </w:r>
            <w:r>
              <w:rPr>
                <w:rFonts w:hint="eastAsia" w:ascii="Times New Roman" w:hAnsi="Times New Roman" w:eastAsia="宋体" w:cs="Times New Roman"/>
                <w:b w:val="0"/>
                <w:bCs/>
                <w:kern w:val="0"/>
                <w:sz w:val="24"/>
                <w:szCs w:val="24"/>
                <w:lang w:eastAsia="zh-CN"/>
              </w:rPr>
              <w:t>，</w:t>
            </w:r>
            <w:r>
              <w:rPr>
                <w:rFonts w:hint="eastAsia" w:ascii="Times New Roman" w:hAnsi="Times New Roman" w:cs="Times New Roman"/>
                <w:b w:val="0"/>
                <w:bCs/>
                <w:kern w:val="0"/>
                <w:sz w:val="24"/>
                <w:szCs w:val="24"/>
                <w:lang w:val="en-US" w:eastAsia="zh-CN"/>
              </w:rPr>
              <w:t>纳入区域污水处理厂处理</w:t>
            </w:r>
            <w:r>
              <w:rPr>
                <w:rFonts w:hint="eastAsia" w:ascii="Times New Roman" w:hAnsi="Times New Roman" w:eastAsia="宋体" w:cs="Times New Roman"/>
                <w:b w:val="0"/>
                <w:bCs/>
                <w:kern w:val="0"/>
                <w:sz w:val="24"/>
                <w:szCs w:val="24"/>
                <w:lang w:val="en-US" w:eastAsia="zh-CN"/>
              </w:rPr>
              <w:t>。</w:t>
            </w:r>
            <w:r>
              <w:rPr>
                <w:rFonts w:hint="default" w:ascii="Times New Roman" w:hAnsi="Times New Roman" w:eastAsia="宋体" w:cs="Times New Roman"/>
                <w:b w:val="0"/>
                <w:bCs/>
                <w:kern w:val="0"/>
                <w:sz w:val="24"/>
                <w:szCs w:val="24"/>
              </w:rPr>
              <w:t>不在项目区水域直接排放</w:t>
            </w:r>
            <w:r>
              <w:rPr>
                <w:rFonts w:hint="eastAsia" w:ascii="Times New Roman" w:hAnsi="Times New Roman" w:cs="Times New Roman"/>
                <w:b w:val="0"/>
                <w:bCs/>
                <w:kern w:val="0"/>
                <w:sz w:val="24"/>
                <w:szCs w:val="24"/>
                <w:lang w:eastAsia="zh-CN"/>
              </w:rPr>
              <w:t>，</w:t>
            </w:r>
            <w:r>
              <w:rPr>
                <w:rFonts w:hint="eastAsia" w:ascii="Times New Roman" w:hAnsi="Times New Roman" w:cs="Times New Roman"/>
                <w:b w:val="0"/>
                <w:bCs/>
                <w:kern w:val="0"/>
                <w:sz w:val="24"/>
                <w:szCs w:val="24"/>
                <w:lang w:val="en-US" w:eastAsia="zh-CN"/>
              </w:rPr>
              <w:t>避免对省考断面影响。</w:t>
            </w:r>
          </w:p>
          <w:p w14:paraId="261ED3D1">
            <w:pPr>
              <w:autoSpaceDE w:val="0"/>
              <w:autoSpaceDN w:val="0"/>
              <w:adjustRightInd w:val="0"/>
              <w:snapToGrid w:val="0"/>
              <w:spacing w:line="460" w:lineRule="exact"/>
              <w:ind w:firstLine="482" w:firstLineChars="200"/>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rPr>
              <w:t>2、</w:t>
            </w:r>
            <w:r>
              <w:rPr>
                <w:rFonts w:hint="eastAsia" w:cs="Times New Roman"/>
                <w:b/>
                <w:bCs w:val="0"/>
                <w:kern w:val="0"/>
                <w:sz w:val="24"/>
                <w:szCs w:val="24"/>
                <w:lang w:eastAsia="zh-CN"/>
              </w:rPr>
              <w:t>运营期</w:t>
            </w:r>
            <w:r>
              <w:rPr>
                <w:rFonts w:hint="default" w:ascii="Times New Roman" w:hAnsi="Times New Roman" w:eastAsia="宋体" w:cs="Times New Roman"/>
                <w:b/>
                <w:bCs w:val="0"/>
                <w:kern w:val="0"/>
                <w:sz w:val="24"/>
                <w:szCs w:val="24"/>
              </w:rPr>
              <w:t>大气环境保护措施</w:t>
            </w:r>
          </w:p>
          <w:p w14:paraId="3C57BE5C">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rPr>
            </w:pPr>
            <w:r>
              <w:rPr>
                <w:rFonts w:hint="default" w:ascii="Times New Roman" w:hAnsi="Times New Roman" w:eastAsia="宋体" w:cs="Times New Roman"/>
                <w:b w:val="0"/>
                <w:bCs/>
                <w:kern w:val="0"/>
                <w:sz w:val="24"/>
                <w:szCs w:val="24"/>
              </w:rPr>
              <w:t>加强对船舶的管理，对船机设备大气污染物排放状况不良的船舶应禁止其进入锚地。</w:t>
            </w:r>
            <w:r>
              <w:rPr>
                <w:rFonts w:hint="eastAsia" w:ascii="Times New Roman" w:hAnsi="Times New Roman" w:eastAsia="宋体" w:cs="Times New Roman"/>
                <w:b w:val="0"/>
                <w:bCs/>
                <w:kern w:val="0"/>
                <w:sz w:val="24"/>
                <w:szCs w:val="24"/>
                <w:lang w:val="en-US" w:eastAsia="zh-CN"/>
              </w:rPr>
              <w:t>进港船舶</w:t>
            </w:r>
            <w:r>
              <w:rPr>
                <w:rFonts w:hint="default" w:ascii="Times New Roman" w:hAnsi="Times New Roman" w:eastAsia="宋体" w:cs="Times New Roman"/>
                <w:b w:val="0"/>
                <w:bCs/>
                <w:kern w:val="0"/>
                <w:sz w:val="24"/>
                <w:szCs w:val="24"/>
              </w:rPr>
              <w:t>选用符合环保要求的燃料</w:t>
            </w:r>
            <w:r>
              <w:rPr>
                <w:rFonts w:hint="eastAsia" w:ascii="Times New Roman" w:hAnsi="Times New Roman" w:eastAsia="宋体" w:cs="Times New Roman"/>
                <w:b w:val="0"/>
                <w:bCs/>
                <w:kern w:val="0"/>
                <w:sz w:val="24"/>
                <w:szCs w:val="24"/>
                <w:lang w:eastAsia="zh-CN"/>
              </w:rPr>
              <w:t>，</w:t>
            </w:r>
            <w:r>
              <w:rPr>
                <w:rFonts w:hint="eastAsia" w:ascii="Times New Roman" w:hAnsi="Times New Roman" w:eastAsia="宋体" w:cs="Times New Roman"/>
                <w:b w:val="0"/>
                <w:bCs/>
                <w:kern w:val="0"/>
                <w:sz w:val="24"/>
                <w:szCs w:val="24"/>
                <w:lang w:val="en-US" w:eastAsia="zh-CN"/>
              </w:rPr>
              <w:t>优先使用岸电。</w:t>
            </w:r>
          </w:p>
          <w:p w14:paraId="11528FB3">
            <w:pPr>
              <w:autoSpaceDE w:val="0"/>
              <w:autoSpaceDN w:val="0"/>
              <w:adjustRightInd w:val="0"/>
              <w:snapToGrid w:val="0"/>
              <w:spacing w:line="460" w:lineRule="exact"/>
              <w:ind w:firstLine="482" w:firstLineChars="200"/>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rPr>
              <w:t>3、</w:t>
            </w:r>
            <w:r>
              <w:rPr>
                <w:rFonts w:hint="eastAsia" w:cs="Times New Roman"/>
                <w:b/>
                <w:bCs w:val="0"/>
                <w:kern w:val="0"/>
                <w:sz w:val="24"/>
                <w:szCs w:val="24"/>
                <w:lang w:eastAsia="zh-CN"/>
              </w:rPr>
              <w:t>运营期</w:t>
            </w:r>
            <w:r>
              <w:rPr>
                <w:rFonts w:hint="default" w:ascii="Times New Roman" w:hAnsi="Times New Roman" w:eastAsia="宋体" w:cs="Times New Roman"/>
                <w:b/>
                <w:bCs w:val="0"/>
                <w:kern w:val="0"/>
                <w:sz w:val="24"/>
                <w:szCs w:val="24"/>
              </w:rPr>
              <w:t>声环境保护措施</w:t>
            </w:r>
          </w:p>
          <w:p w14:paraId="6291975F">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rPr>
            </w:pPr>
            <w:r>
              <w:rPr>
                <w:rFonts w:hint="default" w:ascii="Times New Roman" w:hAnsi="Times New Roman" w:eastAsia="宋体" w:cs="Times New Roman"/>
                <w:b w:val="0"/>
                <w:bCs/>
                <w:kern w:val="0"/>
                <w:sz w:val="24"/>
                <w:szCs w:val="24"/>
              </w:rPr>
              <w:t>加强对船舶的管理，进出港船舶必须按相关要求合理使用鸣笛设备，安排专人通过通信设施或其他设施方法引导船舶进出锚地，尽量控制船的鸣笛次数和时间，减小偶发噪声对周围声环境的影响。</w:t>
            </w:r>
          </w:p>
          <w:p w14:paraId="75C50211">
            <w:pPr>
              <w:autoSpaceDE w:val="0"/>
              <w:autoSpaceDN w:val="0"/>
              <w:adjustRightInd w:val="0"/>
              <w:snapToGrid w:val="0"/>
              <w:spacing w:line="460" w:lineRule="exact"/>
              <w:ind w:firstLine="482" w:firstLineChars="200"/>
              <w:rPr>
                <w:rFonts w:hint="default" w:ascii="Times New Roman" w:hAnsi="Times New Roman" w:eastAsia="宋体" w:cs="Times New Roman"/>
                <w:b w:val="0"/>
                <w:bCs/>
                <w:kern w:val="0"/>
                <w:sz w:val="24"/>
                <w:szCs w:val="24"/>
              </w:rPr>
            </w:pPr>
            <w:r>
              <w:rPr>
                <w:rFonts w:hint="default" w:ascii="Times New Roman" w:hAnsi="Times New Roman" w:eastAsia="宋体" w:cs="Times New Roman"/>
                <w:b/>
                <w:bCs w:val="0"/>
                <w:kern w:val="0"/>
                <w:sz w:val="24"/>
                <w:szCs w:val="24"/>
              </w:rPr>
              <w:t>4、</w:t>
            </w:r>
            <w:r>
              <w:rPr>
                <w:rFonts w:hint="eastAsia" w:cs="Times New Roman"/>
                <w:b/>
                <w:bCs w:val="0"/>
                <w:kern w:val="0"/>
                <w:sz w:val="24"/>
                <w:szCs w:val="24"/>
                <w:lang w:eastAsia="zh-CN"/>
              </w:rPr>
              <w:t>运营期</w:t>
            </w:r>
            <w:r>
              <w:rPr>
                <w:rFonts w:hint="default" w:ascii="Times New Roman" w:hAnsi="Times New Roman" w:eastAsia="宋体" w:cs="Times New Roman"/>
                <w:b/>
                <w:bCs w:val="0"/>
                <w:kern w:val="0"/>
                <w:sz w:val="24"/>
                <w:szCs w:val="24"/>
              </w:rPr>
              <w:t>固废防治措施</w:t>
            </w:r>
          </w:p>
          <w:p w14:paraId="7525EC89">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rPr>
            </w:pPr>
            <w:r>
              <w:rPr>
                <w:rFonts w:hint="default" w:ascii="Times New Roman" w:hAnsi="Times New Roman" w:eastAsia="宋体" w:cs="Times New Roman"/>
                <w:b w:val="0"/>
                <w:bCs/>
                <w:kern w:val="0"/>
                <w:sz w:val="24"/>
                <w:szCs w:val="24"/>
              </w:rPr>
              <w:t>本项目</w:t>
            </w:r>
            <w:r>
              <w:rPr>
                <w:rFonts w:hint="eastAsia" w:cs="Times New Roman"/>
                <w:b w:val="0"/>
                <w:bCs/>
                <w:kern w:val="0"/>
                <w:sz w:val="24"/>
                <w:szCs w:val="24"/>
                <w:lang w:eastAsia="zh-CN"/>
              </w:rPr>
              <w:t>运营期</w:t>
            </w:r>
            <w:r>
              <w:rPr>
                <w:rFonts w:hint="default" w:ascii="Times New Roman" w:hAnsi="Times New Roman" w:eastAsia="宋体" w:cs="Times New Roman"/>
                <w:b w:val="0"/>
                <w:bCs/>
                <w:kern w:val="0"/>
                <w:sz w:val="24"/>
                <w:szCs w:val="24"/>
              </w:rPr>
              <w:t>锚泊船舶的生活垃圾，</w:t>
            </w:r>
            <w:r>
              <w:rPr>
                <w:rFonts w:hint="default" w:ascii="CIDFont" w:hAnsi="CIDFont" w:eastAsia="CIDFont" w:cs="CIDFont"/>
                <w:color w:val="000000"/>
                <w:kern w:val="0"/>
                <w:sz w:val="24"/>
                <w:szCs w:val="24"/>
                <w:lang w:val="en-US" w:eastAsia="zh-CN" w:bidi="ar"/>
              </w:rPr>
              <w:t>收集后</w:t>
            </w:r>
            <w:r>
              <w:rPr>
                <w:rFonts w:hint="eastAsia"/>
                <w:color w:val="auto"/>
                <w:kern w:val="0"/>
                <w:sz w:val="24"/>
                <w:szCs w:val="24"/>
              </w:rPr>
              <w:t>交由当地环卫部</w:t>
            </w:r>
            <w:r>
              <w:rPr>
                <w:rFonts w:hint="eastAsia" w:ascii="CIDFont" w:hAnsi="CIDFont" w:eastAsia="CIDFont" w:cs="CIDFont"/>
                <w:color w:val="000000"/>
                <w:kern w:val="0"/>
                <w:sz w:val="24"/>
                <w:szCs w:val="24"/>
                <w:lang w:val="en-US" w:eastAsia="zh-CN" w:bidi="ar"/>
              </w:rPr>
              <w:t>门接收处理；</w:t>
            </w:r>
            <w:r>
              <w:rPr>
                <w:rFonts w:hint="default" w:ascii="CIDFont" w:hAnsi="CIDFont" w:eastAsia="CIDFont" w:cs="CIDFont"/>
                <w:color w:val="000000"/>
                <w:kern w:val="0"/>
                <w:sz w:val="24"/>
                <w:szCs w:val="24"/>
                <w:lang w:val="en-US" w:eastAsia="zh-CN" w:bidi="ar"/>
              </w:rPr>
              <w:t>船舶保养产生的固体废物属于</w:t>
            </w:r>
            <w:r>
              <w:rPr>
                <w:rFonts w:hint="default" w:ascii="Times New Roman" w:hAnsi="Times New Roman" w:eastAsia="宋体" w:cs="Times New Roman"/>
                <w:bCs/>
                <w:sz w:val="24"/>
                <w:szCs w:val="24"/>
                <w:lang w:val="en-US" w:eastAsia="zh-CN"/>
              </w:rPr>
              <w:t>HW08类（代码900-214-08）</w:t>
            </w:r>
            <w:r>
              <w:rPr>
                <w:rFonts w:hint="default" w:ascii="CIDFont" w:hAnsi="CIDFont" w:eastAsia="CIDFont" w:cs="CIDFont"/>
                <w:color w:val="000000"/>
                <w:kern w:val="0"/>
                <w:sz w:val="24"/>
                <w:szCs w:val="24"/>
                <w:lang w:val="en-US" w:eastAsia="zh-CN" w:bidi="ar"/>
              </w:rPr>
              <w:t>，交由海事部门指定有资质单位接收处理</w:t>
            </w:r>
            <w:r>
              <w:rPr>
                <w:rFonts w:hint="eastAsia" w:ascii="CIDFont" w:hAnsi="CIDFont" w:eastAsia="CIDFont" w:cs="CIDFont"/>
                <w:color w:val="000000"/>
                <w:kern w:val="0"/>
                <w:sz w:val="24"/>
                <w:szCs w:val="24"/>
                <w:lang w:val="en-US" w:eastAsia="zh-CN" w:bidi="ar"/>
              </w:rPr>
              <w:t>。</w:t>
            </w:r>
            <w:r>
              <w:rPr>
                <w:rFonts w:hint="default" w:ascii="Times New Roman" w:hAnsi="Times New Roman" w:eastAsia="宋体" w:cs="Times New Roman"/>
                <w:b w:val="0"/>
                <w:bCs/>
                <w:kern w:val="0"/>
                <w:sz w:val="24"/>
                <w:szCs w:val="24"/>
              </w:rPr>
              <w:t>不得在项目水域倾倒。</w:t>
            </w:r>
          </w:p>
          <w:p w14:paraId="76895FD7">
            <w:pPr>
              <w:autoSpaceDE w:val="0"/>
              <w:autoSpaceDN w:val="0"/>
              <w:adjustRightInd w:val="0"/>
              <w:snapToGrid w:val="0"/>
              <w:spacing w:line="460" w:lineRule="exact"/>
              <w:ind w:firstLine="482" w:firstLineChars="200"/>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rPr>
              <w:t>5、</w:t>
            </w:r>
            <w:r>
              <w:rPr>
                <w:rFonts w:hint="eastAsia" w:cs="Times New Roman"/>
                <w:b/>
                <w:bCs w:val="0"/>
                <w:kern w:val="0"/>
                <w:sz w:val="24"/>
                <w:szCs w:val="24"/>
                <w:lang w:eastAsia="zh-CN"/>
              </w:rPr>
              <w:t>运营期</w:t>
            </w:r>
            <w:r>
              <w:rPr>
                <w:rFonts w:hint="default" w:ascii="Times New Roman" w:hAnsi="Times New Roman" w:eastAsia="宋体" w:cs="Times New Roman"/>
                <w:b/>
                <w:bCs w:val="0"/>
                <w:kern w:val="0"/>
                <w:sz w:val="24"/>
                <w:szCs w:val="24"/>
              </w:rPr>
              <w:t>生态影响减缓措施</w:t>
            </w:r>
          </w:p>
          <w:p w14:paraId="1CCA93E7">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rPr>
            </w:pPr>
            <w:r>
              <w:rPr>
                <w:rFonts w:hint="default" w:ascii="Times New Roman" w:hAnsi="Times New Roman" w:eastAsia="宋体" w:cs="Times New Roman"/>
                <w:b w:val="0"/>
                <w:bCs/>
                <w:kern w:val="0"/>
                <w:sz w:val="24"/>
                <w:szCs w:val="24"/>
                <w:lang w:val="en-US" w:eastAsia="zh-CN"/>
              </w:rPr>
              <w:t>根据项目</w:t>
            </w:r>
            <w:r>
              <w:rPr>
                <w:rFonts w:hint="eastAsia" w:cs="Times New Roman"/>
                <w:b w:val="0"/>
                <w:bCs/>
                <w:kern w:val="0"/>
                <w:sz w:val="24"/>
                <w:szCs w:val="24"/>
                <w:lang w:val="en-US" w:eastAsia="zh-CN"/>
              </w:rPr>
              <w:t>运营期</w:t>
            </w:r>
            <w:r>
              <w:rPr>
                <w:rFonts w:hint="default" w:ascii="Times New Roman" w:hAnsi="Times New Roman" w:eastAsia="宋体" w:cs="Times New Roman"/>
                <w:b w:val="0"/>
                <w:bCs/>
                <w:kern w:val="0"/>
                <w:sz w:val="24"/>
                <w:szCs w:val="24"/>
                <w:lang w:val="en-US" w:eastAsia="zh-CN"/>
              </w:rPr>
              <w:t xml:space="preserve">特点，针对可能造成生态影响的方面，提出以下生态环境保护措施： </w:t>
            </w:r>
          </w:p>
          <w:p w14:paraId="590CDD66">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rPr>
            </w:pPr>
            <w:r>
              <w:rPr>
                <w:rFonts w:hint="eastAsia" w:cs="Times New Roman"/>
                <w:b w:val="0"/>
                <w:bCs/>
                <w:kern w:val="0"/>
                <w:sz w:val="24"/>
                <w:szCs w:val="24"/>
                <w:lang w:val="en-US" w:eastAsia="zh-CN"/>
              </w:rPr>
              <w:t>（</w:t>
            </w:r>
            <w:r>
              <w:rPr>
                <w:rFonts w:hint="default" w:ascii="Times New Roman" w:hAnsi="Times New Roman" w:eastAsia="宋体" w:cs="Times New Roman"/>
                <w:b w:val="0"/>
                <w:bCs/>
                <w:kern w:val="0"/>
                <w:sz w:val="24"/>
                <w:szCs w:val="24"/>
                <w:lang w:val="en-US" w:eastAsia="zh-CN"/>
              </w:rPr>
              <w:t xml:space="preserve">1）严防污水排放，保护好项目所在水域水质，避免对该水域生态环境产生明显不利影响，对水生生物造成直接伤害。 </w:t>
            </w:r>
          </w:p>
          <w:p w14:paraId="5810A1B0">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rPr>
            </w:pPr>
            <w:r>
              <w:rPr>
                <w:rFonts w:hint="eastAsia" w:cs="Times New Roman"/>
                <w:b w:val="0"/>
                <w:bCs/>
                <w:kern w:val="0"/>
                <w:sz w:val="24"/>
                <w:szCs w:val="24"/>
                <w:lang w:val="en-US" w:eastAsia="zh-CN"/>
              </w:rPr>
              <w:t>（</w:t>
            </w:r>
            <w:r>
              <w:rPr>
                <w:rFonts w:hint="default" w:ascii="Times New Roman" w:hAnsi="Times New Roman" w:eastAsia="宋体" w:cs="Times New Roman"/>
                <w:b w:val="0"/>
                <w:bCs/>
                <w:kern w:val="0"/>
                <w:sz w:val="24"/>
                <w:szCs w:val="24"/>
                <w:lang w:val="en-US" w:eastAsia="zh-CN"/>
              </w:rPr>
              <w:t xml:space="preserve">2）固体废物不得随意抛弃至运河中，船舶污水由海事部门认定的船舶污染物接收船有偿接收处理或者接受上岸处理，防止水体污染造成的生态影响。 </w:t>
            </w:r>
          </w:p>
          <w:p w14:paraId="5844A5C8">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rPr>
            </w:pPr>
            <w:r>
              <w:rPr>
                <w:rFonts w:hint="eastAsia" w:cs="Times New Roman"/>
                <w:b w:val="0"/>
                <w:bCs/>
                <w:kern w:val="0"/>
                <w:sz w:val="24"/>
                <w:szCs w:val="24"/>
                <w:lang w:val="en-US" w:eastAsia="zh-CN"/>
              </w:rPr>
              <w:t>（</w:t>
            </w:r>
            <w:r>
              <w:rPr>
                <w:rFonts w:hint="default" w:ascii="Times New Roman" w:hAnsi="Times New Roman" w:eastAsia="宋体" w:cs="Times New Roman"/>
                <w:b w:val="0"/>
                <w:bCs/>
                <w:kern w:val="0"/>
                <w:sz w:val="24"/>
                <w:szCs w:val="24"/>
                <w:lang w:val="en-US" w:eastAsia="zh-CN"/>
              </w:rPr>
              <w:t>3）加强生态环境及生物</w:t>
            </w:r>
            <w:r>
              <w:rPr>
                <w:rFonts w:hint="eastAsia" w:cs="Times New Roman"/>
                <w:b w:val="0"/>
                <w:bCs/>
                <w:kern w:val="0"/>
                <w:sz w:val="24"/>
                <w:szCs w:val="24"/>
                <w:lang w:val="en-US" w:eastAsia="zh-CN"/>
              </w:rPr>
              <w:t>保护</w:t>
            </w:r>
            <w:r>
              <w:rPr>
                <w:rFonts w:hint="default" w:ascii="Times New Roman" w:hAnsi="Times New Roman" w:eastAsia="宋体" w:cs="Times New Roman"/>
                <w:b w:val="0"/>
                <w:bCs/>
                <w:kern w:val="0"/>
                <w:sz w:val="24"/>
                <w:szCs w:val="24"/>
                <w:lang w:val="en-US" w:eastAsia="zh-CN"/>
              </w:rPr>
              <w:t xml:space="preserve">的宣传和管理力度，增强人员的环保意识。组织管理及工作人员对《中华人民共和国野生动物保护法》、《中华人民共和国渔业法》 等法律法规的学习和宣传力度，加强宣传教育工作，严禁任何人员利用水上作业之便 捕捞珍稀水生保护动物，以及随意猎捕野生动物的行为。 </w:t>
            </w:r>
          </w:p>
          <w:p w14:paraId="3D98513F">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rPr>
            </w:pPr>
            <w:r>
              <w:rPr>
                <w:rFonts w:hint="eastAsia" w:cs="Times New Roman"/>
                <w:b w:val="0"/>
                <w:bCs/>
                <w:kern w:val="0"/>
                <w:sz w:val="24"/>
                <w:szCs w:val="24"/>
                <w:lang w:val="en-US" w:eastAsia="zh-CN"/>
              </w:rPr>
              <w:t>（</w:t>
            </w:r>
            <w:r>
              <w:rPr>
                <w:rFonts w:hint="default" w:ascii="Times New Roman" w:hAnsi="Times New Roman" w:eastAsia="宋体" w:cs="Times New Roman"/>
                <w:b w:val="0"/>
                <w:bCs/>
                <w:kern w:val="0"/>
                <w:sz w:val="24"/>
                <w:szCs w:val="24"/>
                <w:lang w:val="en-US" w:eastAsia="zh-CN"/>
              </w:rPr>
              <w:t>4）加强管理，并设置水生生物保护警示牌。</w:t>
            </w:r>
            <w:r>
              <w:rPr>
                <w:rFonts w:hint="default" w:ascii="CIDFont" w:hAnsi="CIDFont" w:eastAsia="CIDFont" w:cs="CIDFont"/>
                <w:color w:val="000000"/>
                <w:kern w:val="0"/>
                <w:sz w:val="24"/>
                <w:szCs w:val="24"/>
                <w:lang w:val="en-US" w:eastAsia="zh-CN" w:bidi="ar"/>
              </w:rPr>
              <w:t xml:space="preserve"> </w:t>
            </w:r>
          </w:p>
          <w:p w14:paraId="310BA8B8">
            <w:pPr>
              <w:autoSpaceDE w:val="0"/>
              <w:autoSpaceDN w:val="0"/>
              <w:adjustRightInd w:val="0"/>
              <w:snapToGrid w:val="0"/>
              <w:spacing w:line="460" w:lineRule="exact"/>
              <w:ind w:firstLine="482"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cs="Times New Roman"/>
                <w:b/>
                <w:bCs w:val="0"/>
                <w:kern w:val="0"/>
                <w:sz w:val="24"/>
                <w:szCs w:val="24"/>
                <w:lang w:val="en-US" w:eastAsia="zh-CN"/>
              </w:rPr>
              <w:t>6、</w:t>
            </w:r>
            <w:r>
              <w:rPr>
                <w:rFonts w:hint="eastAsia" w:ascii="Times New Roman" w:hAnsi="Times New Roman" w:eastAsia="宋体" w:cs="Times New Roman"/>
                <w:b/>
                <w:bCs w:val="0"/>
                <w:kern w:val="0"/>
                <w:sz w:val="24"/>
                <w:szCs w:val="24"/>
                <w:lang w:val="en-US" w:eastAsia="zh-CN"/>
              </w:rPr>
              <w:t>运营期</w:t>
            </w:r>
            <w:r>
              <w:rPr>
                <w:rFonts w:hint="default" w:ascii="Times New Roman" w:hAnsi="Times New Roman" w:eastAsia="宋体" w:cs="Times New Roman"/>
                <w:b/>
                <w:bCs w:val="0"/>
                <w:kern w:val="0"/>
                <w:sz w:val="24"/>
                <w:szCs w:val="24"/>
                <w:lang w:val="en-US" w:eastAsia="zh-CN"/>
              </w:rPr>
              <w:t>环境风险防范措施</w:t>
            </w:r>
          </w:p>
          <w:p w14:paraId="4F18C065">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运营期环境风险防范措施风险防范实施主体</w:t>
            </w:r>
            <w:r>
              <w:rPr>
                <w:rFonts w:hint="eastAsia" w:cs="Times New Roman"/>
                <w:b w:val="0"/>
                <w:bCs/>
                <w:kern w:val="0"/>
                <w:sz w:val="24"/>
                <w:szCs w:val="24"/>
                <w:lang w:val="en-US" w:eastAsia="zh-CN"/>
              </w:rPr>
              <w:t>为建设单位</w:t>
            </w:r>
            <w:r>
              <w:rPr>
                <w:rFonts w:hint="default" w:ascii="Times New Roman" w:hAnsi="Times New Roman" w:eastAsia="宋体" w:cs="Times New Roman"/>
                <w:b w:val="0"/>
                <w:bCs/>
                <w:kern w:val="0"/>
                <w:sz w:val="24"/>
                <w:szCs w:val="24"/>
                <w:lang w:val="en-US" w:eastAsia="zh-CN"/>
              </w:rPr>
              <w:t>淮安大成港业投资股份有限公司</w:t>
            </w:r>
            <w:r>
              <w:rPr>
                <w:rFonts w:hint="eastAsia" w:cs="Times New Roman"/>
                <w:b w:val="0"/>
                <w:bCs/>
                <w:kern w:val="0"/>
                <w:sz w:val="24"/>
                <w:szCs w:val="24"/>
                <w:lang w:val="en-US" w:eastAsia="zh-CN"/>
              </w:rPr>
              <w:t>，具体如下：</w:t>
            </w:r>
          </w:p>
          <w:p w14:paraId="6C1843A2">
            <w:pPr>
              <w:autoSpaceDE w:val="0"/>
              <w:autoSpaceDN w:val="0"/>
              <w:adjustRightInd w:val="0"/>
              <w:snapToGrid w:val="0"/>
              <w:spacing w:line="460" w:lineRule="exact"/>
              <w:ind w:firstLine="482"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bCs w:val="0"/>
                <w:kern w:val="0"/>
                <w:sz w:val="24"/>
                <w:szCs w:val="24"/>
                <w:lang w:val="en-US" w:eastAsia="zh-CN"/>
              </w:rPr>
              <w:t>一、船舶交通事故风险防范措施</w:t>
            </w:r>
            <w:r>
              <w:rPr>
                <w:rFonts w:hint="eastAsia" w:ascii="Times New Roman" w:hAnsi="Times New Roman" w:eastAsia="宋体" w:cs="Times New Roman"/>
                <w:b w:val="0"/>
                <w:bCs/>
                <w:kern w:val="0"/>
                <w:sz w:val="24"/>
                <w:szCs w:val="24"/>
                <w:lang w:val="en-US" w:eastAsia="zh-CN"/>
              </w:rPr>
              <w:t xml:space="preserve"> </w:t>
            </w:r>
          </w:p>
          <w:p w14:paraId="06422544">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船舶交通事故的发生</w:t>
            </w:r>
            <w:r>
              <w:rPr>
                <w:rFonts w:hint="eastAsia" w:cs="Times New Roman"/>
                <w:b w:val="0"/>
                <w:bCs/>
                <w:kern w:val="0"/>
                <w:sz w:val="24"/>
                <w:szCs w:val="24"/>
                <w:lang w:val="en-US" w:eastAsia="zh-CN"/>
              </w:rPr>
              <w:t>与</w:t>
            </w:r>
            <w:r>
              <w:rPr>
                <w:rFonts w:hint="eastAsia" w:ascii="Times New Roman" w:hAnsi="Times New Roman" w:eastAsia="宋体" w:cs="Times New Roman"/>
                <w:b w:val="0"/>
                <w:bCs/>
                <w:kern w:val="0"/>
                <w:sz w:val="24"/>
                <w:szCs w:val="24"/>
                <w:lang w:val="en-US" w:eastAsia="zh-CN"/>
              </w:rPr>
              <w:t>船舶航行和停泊的地理条件、气象状况、水文条件、船舶密度及船舶驾驶人员、管理人员的素质有关。随着航道整治的完工，该区域运输船舶将日益增多。一旦发生船舶碰撞溢油环境风险事故，船方应及时沟通，及时报告航道管理部门，协同采取应急减缓措施。建设单位在项目建成投产前应制定以下事故防范措施，项目完成后运营期内</w:t>
            </w:r>
            <w:r>
              <w:rPr>
                <w:rFonts w:hint="eastAsia" w:cs="Times New Roman"/>
                <w:b w:val="0"/>
                <w:bCs/>
                <w:kern w:val="0"/>
                <w:sz w:val="24"/>
                <w:szCs w:val="24"/>
                <w:lang w:val="en-US" w:eastAsia="zh-CN"/>
              </w:rPr>
              <w:t>建设</w:t>
            </w:r>
            <w:r>
              <w:rPr>
                <w:rFonts w:hint="eastAsia" w:ascii="Times New Roman" w:hAnsi="Times New Roman" w:eastAsia="宋体" w:cs="Times New Roman"/>
                <w:b w:val="0"/>
                <w:bCs/>
                <w:kern w:val="0"/>
                <w:sz w:val="24"/>
                <w:szCs w:val="24"/>
                <w:lang w:val="en-US" w:eastAsia="zh-CN"/>
              </w:rPr>
              <w:t xml:space="preserve">单位应执行以下事故防范措施： </w:t>
            </w:r>
          </w:p>
          <w:p w14:paraId="7F792800">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1</w:t>
            </w:r>
            <w:r>
              <w:rPr>
                <w:rFonts w:hint="eastAsia" w:ascii="Times New Roman" w:hAnsi="Times New Roman" w:eastAsia="宋体" w:cs="Times New Roman"/>
                <w:b w:val="0"/>
                <w:bCs/>
                <w:kern w:val="0"/>
                <w:sz w:val="24"/>
                <w:szCs w:val="24"/>
                <w:lang w:val="en-US" w:eastAsia="zh-CN"/>
              </w:rPr>
              <w:t>、本航道全线禁止剧毒危险化学品和《内河禁运危险化学品名录（</w:t>
            </w:r>
            <w:r>
              <w:rPr>
                <w:rFonts w:hint="default" w:ascii="Times New Roman" w:hAnsi="Times New Roman" w:eastAsia="宋体" w:cs="Times New Roman"/>
                <w:b w:val="0"/>
                <w:bCs/>
                <w:kern w:val="0"/>
                <w:sz w:val="24"/>
                <w:szCs w:val="24"/>
                <w:lang w:val="en-US" w:eastAsia="zh-CN"/>
              </w:rPr>
              <w:t xml:space="preserve">2019 </w:t>
            </w:r>
            <w:r>
              <w:rPr>
                <w:rFonts w:hint="eastAsia" w:ascii="Times New Roman" w:hAnsi="Times New Roman" w:eastAsia="宋体" w:cs="Times New Roman"/>
                <w:b w:val="0"/>
                <w:bCs/>
                <w:kern w:val="0"/>
                <w:sz w:val="24"/>
                <w:szCs w:val="24"/>
                <w:lang w:val="en-US" w:eastAsia="zh-CN"/>
              </w:rPr>
              <w:t>版）》中的</w:t>
            </w:r>
            <w:r>
              <w:rPr>
                <w:rFonts w:hint="default" w:ascii="Times New Roman" w:hAnsi="Times New Roman" w:eastAsia="宋体" w:cs="Times New Roman"/>
                <w:b w:val="0"/>
                <w:bCs/>
                <w:kern w:val="0"/>
                <w:sz w:val="24"/>
                <w:szCs w:val="24"/>
                <w:lang w:val="en-US" w:eastAsia="zh-CN"/>
              </w:rPr>
              <w:t>313</w:t>
            </w:r>
            <w:r>
              <w:rPr>
                <w:rFonts w:hint="eastAsia" w:ascii="Times New Roman" w:hAnsi="Times New Roman" w:eastAsia="宋体" w:cs="Times New Roman"/>
                <w:b w:val="0"/>
                <w:bCs/>
                <w:kern w:val="0"/>
                <w:sz w:val="24"/>
                <w:szCs w:val="24"/>
                <w:lang w:val="en-US" w:eastAsia="zh-CN"/>
              </w:rPr>
              <w:t>种危险化学品。目前本航道段按照禁运危险化学品进行海事监管，运输其他危险品的船舶进入本航道段之前，应当向所在地地方海事管理机构申报、报港，并按照规定采取相应的安全防护措施，悬挂专用的警示标志。</w:t>
            </w:r>
          </w:p>
          <w:p w14:paraId="348A6ACF">
            <w:pPr>
              <w:autoSpaceDE w:val="0"/>
              <w:autoSpaceDN w:val="0"/>
              <w:adjustRightInd w:val="0"/>
              <w:snapToGrid w:val="0"/>
              <w:spacing w:line="460" w:lineRule="exact"/>
              <w:ind w:firstLine="480" w:firstLineChars="200"/>
              <w:rPr>
                <w:rFonts w:hint="eastAsia"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2</w:t>
            </w:r>
            <w:r>
              <w:rPr>
                <w:rFonts w:hint="eastAsia" w:ascii="Times New Roman" w:hAnsi="Times New Roman" w:eastAsia="宋体" w:cs="Times New Roman"/>
                <w:b w:val="0"/>
                <w:bCs/>
                <w:kern w:val="0"/>
                <w:sz w:val="24"/>
                <w:szCs w:val="24"/>
                <w:lang w:val="en-US" w:eastAsia="zh-CN"/>
              </w:rPr>
              <w:t xml:space="preserve">、化学品运输船舶必须按照《船舶载运危险货物安全监督管理规定》（交通部 </w:t>
            </w:r>
            <w:r>
              <w:rPr>
                <w:rFonts w:hint="default" w:ascii="Times New Roman" w:hAnsi="Times New Roman" w:eastAsia="宋体" w:cs="Times New Roman"/>
                <w:b w:val="0"/>
                <w:bCs/>
                <w:kern w:val="0"/>
                <w:sz w:val="24"/>
                <w:szCs w:val="24"/>
                <w:lang w:val="en-US" w:eastAsia="zh-CN"/>
              </w:rPr>
              <w:t>2003</w:t>
            </w:r>
            <w:r>
              <w:rPr>
                <w:rFonts w:hint="eastAsia" w:ascii="Times New Roman" w:hAnsi="Times New Roman" w:eastAsia="宋体" w:cs="Times New Roman"/>
                <w:b w:val="0"/>
                <w:bCs/>
                <w:kern w:val="0"/>
                <w:sz w:val="24"/>
                <w:szCs w:val="24"/>
                <w:lang w:val="en-US" w:eastAsia="zh-CN"/>
              </w:rPr>
              <w:t>年第</w:t>
            </w:r>
            <w:r>
              <w:rPr>
                <w:rFonts w:hint="default" w:ascii="Times New Roman" w:hAnsi="Times New Roman" w:eastAsia="宋体" w:cs="Times New Roman"/>
                <w:b w:val="0"/>
                <w:bCs/>
                <w:kern w:val="0"/>
                <w:sz w:val="24"/>
                <w:szCs w:val="24"/>
                <w:lang w:val="en-US" w:eastAsia="zh-CN"/>
              </w:rPr>
              <w:t>10</w:t>
            </w:r>
            <w:r>
              <w:rPr>
                <w:rFonts w:hint="eastAsia" w:ascii="Times New Roman" w:hAnsi="Times New Roman" w:eastAsia="宋体" w:cs="Times New Roman"/>
                <w:b w:val="0"/>
                <w:bCs/>
                <w:kern w:val="0"/>
                <w:sz w:val="24"/>
                <w:szCs w:val="24"/>
                <w:lang w:val="en-US" w:eastAsia="zh-CN"/>
              </w:rPr>
              <w:t>号）等规范的要求存放运输的化学品，避免一旦发生碰撞造成大量的化学品泄漏。通航船舶对应所运输的物料性质，在船上自备分散剂、围油栏或吸油毡等泄漏应急回收装置。</w:t>
            </w:r>
          </w:p>
          <w:p w14:paraId="2A1A3142">
            <w:pPr>
              <w:autoSpaceDE w:val="0"/>
              <w:autoSpaceDN w:val="0"/>
              <w:adjustRightInd w:val="0"/>
              <w:snapToGrid w:val="0"/>
              <w:spacing w:line="460" w:lineRule="exact"/>
              <w:ind w:firstLine="480" w:firstLineChars="200"/>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①清水通道维护区段设置警示标志。</w:t>
            </w:r>
          </w:p>
          <w:p w14:paraId="580992F5">
            <w:pPr>
              <w:autoSpaceDE w:val="0"/>
              <w:autoSpaceDN w:val="0"/>
              <w:adjustRightInd w:val="0"/>
              <w:snapToGrid w:val="0"/>
              <w:spacing w:line="460" w:lineRule="exact"/>
              <w:ind w:firstLine="480" w:firstLineChars="200"/>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②若船舶发生溢油事故以及化学运输船舶发生泄漏的化学品为不溶，考虑配备分散剂、围油设备（吸油毡、吸油机）等应急。</w:t>
            </w:r>
          </w:p>
          <w:p w14:paraId="3F9C11A1">
            <w:pPr>
              <w:autoSpaceDE w:val="0"/>
              <w:autoSpaceDN w:val="0"/>
              <w:adjustRightInd w:val="0"/>
              <w:snapToGrid w:val="0"/>
              <w:spacing w:line="460" w:lineRule="exact"/>
              <w:ind w:firstLine="480" w:firstLineChars="200"/>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③若化学品运输船舶发生泄漏的化学品为可溶的酸碱性化学品，考虑配备中和应急。</w:t>
            </w:r>
          </w:p>
          <w:p w14:paraId="2460E545">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 xml:space="preserve">④若化学品运输船舶发生泄漏的化学品为可溶的非酸碱性化学品，则要根据化学品具体理化性质来配备应急处置方案所需的回收装置应急。同时，建立区域应急救援队伍。当发生重大溢油或危化品泄漏事故，本区内的应急队伍、物资和设备不能满足应急反应需要时，应迅速请求上级部门支援。 </w:t>
            </w:r>
          </w:p>
          <w:p w14:paraId="5A16CD79">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3</w:t>
            </w:r>
            <w:r>
              <w:rPr>
                <w:rFonts w:hint="eastAsia" w:ascii="Times New Roman" w:hAnsi="Times New Roman" w:eastAsia="宋体" w:cs="Times New Roman"/>
                <w:b w:val="0"/>
                <w:bCs/>
                <w:kern w:val="0"/>
                <w:sz w:val="24"/>
                <w:szCs w:val="24"/>
                <w:lang w:val="en-US" w:eastAsia="zh-CN"/>
              </w:rPr>
              <w:t xml:space="preserve">、航道和海事部门应加强监管，避免发生船舶碰撞事故，同时禁止单壳化学品船和油船进入本航道。制定严格的船舶靠泊管理制度，沿线调度人员应熟练和了解到港船舶的速度要求及相应的操作规范，从管理角度最大限度地减少船舶碰撞事故和船舶碰撞桥墩的发生。区域船舶一律听从航道调度操作台指挥，做到规范靠离和有序停泊。 </w:t>
            </w:r>
          </w:p>
          <w:p w14:paraId="1920759B">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4</w:t>
            </w:r>
            <w:r>
              <w:rPr>
                <w:rFonts w:hint="eastAsia" w:ascii="Times New Roman" w:hAnsi="Times New Roman" w:eastAsia="宋体" w:cs="Times New Roman"/>
                <w:b w:val="0"/>
                <w:bCs/>
                <w:kern w:val="0"/>
                <w:sz w:val="24"/>
                <w:szCs w:val="24"/>
                <w:lang w:val="en-US" w:eastAsia="zh-CN"/>
              </w:rPr>
              <w:t xml:space="preserve">、一旦发生船舶碰撞溢油等风险事故，船方与港方应及时沟通，及时报告主管部门（航道部门、海事部门、生态环境局、海事局、公安消防部门等）并实施溢油应急计划，同时要求管理部门、船方共同协作，及时用隔油栏、吸油材料等进行控制、防护，使事故产生的影响减至最小，最大程度减少对水环境保护目标的影响。 </w:t>
            </w:r>
          </w:p>
          <w:p w14:paraId="5DD9552F">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5</w:t>
            </w:r>
            <w:r>
              <w:rPr>
                <w:rFonts w:hint="eastAsia" w:ascii="Times New Roman" w:hAnsi="Times New Roman" w:eastAsia="宋体" w:cs="Times New Roman"/>
                <w:b w:val="0"/>
                <w:bCs/>
                <w:kern w:val="0"/>
                <w:sz w:val="24"/>
                <w:szCs w:val="24"/>
                <w:lang w:val="en-US" w:eastAsia="zh-CN"/>
              </w:rPr>
              <w:t xml:space="preserve">、相关部门接到污染事故报告后，应根据事故性质、污染程度和救助要求，迅速组织评估应急反应等级，并同时组织力量，调用清污设备实施救援，拟建工程业主应协助有关部门清除污染。除向上述公安、环保等部门及时汇报外，应同时派出环境专业人员和监测人员到场工作，对水体污染带进行监测和分析，并视情况采取必要的公告、化学处理等措施。 </w:t>
            </w:r>
          </w:p>
          <w:p w14:paraId="4E6EFF3B">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6</w:t>
            </w:r>
            <w:r>
              <w:rPr>
                <w:rFonts w:hint="eastAsia" w:ascii="Times New Roman" w:hAnsi="Times New Roman" w:eastAsia="宋体" w:cs="Times New Roman"/>
                <w:b w:val="0"/>
                <w:bCs/>
                <w:kern w:val="0"/>
                <w:sz w:val="24"/>
                <w:szCs w:val="24"/>
                <w:lang w:val="en-US" w:eastAsia="zh-CN"/>
              </w:rPr>
              <w:t xml:space="preserve">、在本项目沿线设立警示牌，特别是在清水通道维护区上游： </w:t>
            </w:r>
          </w:p>
          <w:p w14:paraId="114FF3BF">
            <w:pPr>
              <w:autoSpaceDE w:val="0"/>
              <w:autoSpaceDN w:val="0"/>
              <w:adjustRightInd w:val="0"/>
              <w:snapToGrid w:val="0"/>
              <w:spacing w:line="460" w:lineRule="exact"/>
              <w:ind w:firstLine="480" w:firstLineChars="200"/>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①提醒过往船舶加强安全意识，减速航行；</w:t>
            </w:r>
          </w:p>
          <w:p w14:paraId="641C74CD">
            <w:pPr>
              <w:autoSpaceDE w:val="0"/>
              <w:autoSpaceDN w:val="0"/>
              <w:adjustRightInd w:val="0"/>
              <w:snapToGrid w:val="0"/>
              <w:spacing w:line="460" w:lineRule="exact"/>
              <w:ind w:firstLine="480" w:firstLineChars="200"/>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②禁止船舶在以上水域锚泊；</w:t>
            </w:r>
          </w:p>
          <w:p w14:paraId="63FA8441">
            <w:pPr>
              <w:autoSpaceDE w:val="0"/>
              <w:autoSpaceDN w:val="0"/>
              <w:adjustRightInd w:val="0"/>
              <w:snapToGrid w:val="0"/>
              <w:spacing w:line="460" w:lineRule="exact"/>
              <w:ind w:firstLine="480" w:firstLineChars="200"/>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③禁止船舶在以上水域过驳；</w:t>
            </w:r>
          </w:p>
          <w:p w14:paraId="348C09BD">
            <w:pPr>
              <w:autoSpaceDE w:val="0"/>
              <w:autoSpaceDN w:val="0"/>
              <w:adjustRightInd w:val="0"/>
              <w:snapToGrid w:val="0"/>
              <w:spacing w:line="460" w:lineRule="exact"/>
              <w:ind w:firstLine="480" w:firstLineChars="200"/>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④禁止船舶在以上水域排放一切污染物；</w:t>
            </w:r>
          </w:p>
          <w:p w14:paraId="1340692E">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 xml:space="preserve">⑤应急救援电话。 </w:t>
            </w:r>
          </w:p>
          <w:p w14:paraId="4E9E9AEF">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7</w:t>
            </w:r>
            <w:r>
              <w:rPr>
                <w:rFonts w:hint="eastAsia" w:ascii="Times New Roman" w:hAnsi="Times New Roman" w:eastAsia="宋体" w:cs="Times New Roman"/>
                <w:b w:val="0"/>
                <w:bCs/>
                <w:kern w:val="0"/>
                <w:sz w:val="24"/>
                <w:szCs w:val="24"/>
                <w:lang w:val="en-US" w:eastAsia="zh-CN"/>
              </w:rPr>
              <w:t>、制定运营期环境风险应急预案，与地方政府及相关职能部门建立常设的区域事故风险应急反应中心建立联动机制。</w:t>
            </w:r>
          </w:p>
          <w:p w14:paraId="290A9046">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8</w:t>
            </w:r>
            <w:r>
              <w:rPr>
                <w:rFonts w:hint="eastAsia" w:ascii="Times New Roman" w:hAnsi="Times New Roman" w:eastAsia="宋体" w:cs="Times New Roman"/>
                <w:b w:val="0"/>
                <w:bCs/>
                <w:kern w:val="0"/>
                <w:sz w:val="24"/>
                <w:szCs w:val="24"/>
                <w:lang w:val="en-US" w:eastAsia="zh-CN"/>
              </w:rPr>
              <w:t xml:space="preserve">、管理部门应督促大中型船舶公司通过强化船舶管理，健全船舶航行的安全管理机制；船舶航行应遵守避碰机制，保持有效瞭望，采取安全速度。 </w:t>
            </w:r>
          </w:p>
          <w:p w14:paraId="7B278C50">
            <w:pPr>
              <w:autoSpaceDE w:val="0"/>
              <w:autoSpaceDN w:val="0"/>
              <w:adjustRightInd w:val="0"/>
              <w:snapToGrid w:val="0"/>
              <w:spacing w:line="460" w:lineRule="exact"/>
              <w:ind w:firstLine="482"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bCs w:val="0"/>
                <w:kern w:val="0"/>
                <w:sz w:val="24"/>
                <w:szCs w:val="24"/>
                <w:lang w:val="en-US" w:eastAsia="zh-CN"/>
              </w:rPr>
              <w:t>二、运营期省考断面、清水通道维护区风险防范措施</w:t>
            </w:r>
            <w:r>
              <w:rPr>
                <w:rFonts w:hint="eastAsia" w:ascii="Times New Roman" w:hAnsi="Times New Roman" w:eastAsia="宋体" w:cs="Times New Roman"/>
                <w:b w:val="0"/>
                <w:bCs/>
                <w:kern w:val="0"/>
                <w:sz w:val="24"/>
                <w:szCs w:val="24"/>
                <w:lang w:val="en-US" w:eastAsia="zh-CN"/>
              </w:rPr>
              <w:t xml:space="preserve"> </w:t>
            </w:r>
          </w:p>
          <w:p w14:paraId="65286D08">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cs="Times New Roman"/>
                <w:sz w:val="24"/>
                <w:szCs w:val="24"/>
                <w:lang w:val="en-US" w:eastAsia="zh-CN"/>
              </w:rPr>
              <w:t>本项目</w:t>
            </w:r>
            <w:r>
              <w:rPr>
                <w:rFonts w:hint="eastAsia" w:ascii="Times New Roman" w:hAnsi="Times New Roman" w:cs="Times New Roman"/>
                <w:sz w:val="24"/>
                <w:szCs w:val="24"/>
                <w:lang w:val="en-US" w:eastAsia="zh-CN"/>
              </w:rPr>
              <w:t>涉及</w:t>
            </w:r>
            <w:r>
              <w:rPr>
                <w:rFonts w:hint="eastAsia" w:cs="Times New Roman"/>
                <w:sz w:val="24"/>
                <w:szCs w:val="24"/>
                <w:lang w:val="en-US" w:eastAsia="zh-CN"/>
              </w:rPr>
              <w:t>3</w:t>
            </w:r>
            <w:r>
              <w:rPr>
                <w:rFonts w:hint="default" w:ascii="Times New Roman" w:hAnsi="Times New Roman" w:eastAsia="宋体" w:cs="Times New Roman"/>
                <w:sz w:val="24"/>
                <w:szCs w:val="24"/>
              </w:rPr>
              <w:t>处省考断面，分别为</w:t>
            </w:r>
            <w:r>
              <w:rPr>
                <w:rFonts w:hint="eastAsia" w:ascii="Times New Roman" w:hAnsi="Times New Roman" w:eastAsia="宋体" w:cs="Times New Roman"/>
                <w:sz w:val="24"/>
                <w:szCs w:val="24"/>
                <w:lang w:val="en-US" w:eastAsia="zh-CN"/>
              </w:rPr>
              <w:t>大运河桥、板闸、黄码大桥</w:t>
            </w:r>
            <w:r>
              <w:rPr>
                <w:rFonts w:hint="eastAsia" w:cs="Times New Roman"/>
                <w:sz w:val="24"/>
                <w:szCs w:val="24"/>
                <w:lang w:val="en-US" w:eastAsia="zh-CN"/>
              </w:rPr>
              <w:t>省考断面，其中距离</w:t>
            </w:r>
            <w:r>
              <w:rPr>
                <w:rFonts w:hint="eastAsia" w:ascii="Times New Roman" w:hAnsi="Times New Roman" w:eastAsia="宋体" w:cs="Times New Roman"/>
                <w:sz w:val="24"/>
                <w:szCs w:val="24"/>
                <w:lang w:val="en-US" w:eastAsia="zh-CN"/>
              </w:rPr>
              <w:t>大运河桥、黄码大桥</w:t>
            </w:r>
            <w:r>
              <w:rPr>
                <w:rFonts w:hint="eastAsia" w:ascii="Times New Roman" w:hAnsi="Times New Roman" w:cs="Times New Roman"/>
                <w:sz w:val="24"/>
                <w:szCs w:val="24"/>
                <w:lang w:val="en-US" w:eastAsia="zh-CN"/>
              </w:rPr>
              <w:t>省考断面较近，分别为200米和360米，</w:t>
            </w:r>
            <w:r>
              <w:rPr>
                <w:rFonts w:hint="eastAsia" w:cs="Times New Roman"/>
                <w:sz w:val="24"/>
                <w:szCs w:val="24"/>
                <w:lang w:val="en-US" w:eastAsia="zh-CN"/>
              </w:rPr>
              <w:t>距离</w:t>
            </w:r>
            <w:r>
              <w:rPr>
                <w:rFonts w:hint="eastAsia" w:ascii="Times New Roman" w:hAnsi="Times New Roman" w:eastAsia="宋体" w:cs="Times New Roman"/>
                <w:sz w:val="24"/>
                <w:szCs w:val="24"/>
                <w:lang w:val="en-US" w:eastAsia="zh-CN"/>
              </w:rPr>
              <w:t>板闸</w:t>
            </w:r>
            <w:r>
              <w:rPr>
                <w:rFonts w:hint="eastAsia" w:ascii="Times New Roman" w:hAnsi="Times New Roman" w:cs="Times New Roman"/>
                <w:sz w:val="24"/>
                <w:szCs w:val="24"/>
                <w:lang w:val="en-US" w:eastAsia="zh-CN"/>
              </w:rPr>
              <w:t>省考断面较远，距离为6000米</w:t>
            </w:r>
            <w:r>
              <w:rPr>
                <w:rFonts w:hint="eastAsia" w:ascii="Times New Roman" w:hAnsi="Times New Roman" w:eastAsia="宋体" w:cs="Times New Roman"/>
                <w:b w:val="0"/>
                <w:bCs/>
                <w:kern w:val="0"/>
                <w:sz w:val="24"/>
                <w:szCs w:val="24"/>
                <w:lang w:val="en-US" w:eastAsia="zh-CN"/>
              </w:rPr>
              <w:t>。</w:t>
            </w:r>
            <w:r>
              <w:rPr>
                <w:rFonts w:hint="eastAsia" w:ascii="Times New Roman" w:hAnsi="Times New Roman" w:cs="Times New Roman"/>
                <w:b w:val="0"/>
                <w:bCs/>
                <w:kern w:val="0"/>
                <w:sz w:val="24"/>
                <w:szCs w:val="24"/>
                <w:lang w:val="en-US" w:eastAsia="zh-CN"/>
              </w:rPr>
              <w:t>另外，</w:t>
            </w:r>
            <w:r>
              <w:rPr>
                <w:rFonts w:hint="eastAsia" w:cs="Times New Roman"/>
                <w:b w:val="0"/>
                <w:bCs w:val="0"/>
                <w:color w:val="auto"/>
                <w:kern w:val="0"/>
                <w:sz w:val="24"/>
                <w:szCs w:val="24"/>
                <w:lang w:val="en-US" w:eastAsia="zh-CN"/>
              </w:rPr>
              <w:t>项目涉及</w:t>
            </w:r>
            <w:r>
              <w:rPr>
                <w:rFonts w:hint="default" w:ascii="Times New Roman" w:hAnsi="Times New Roman" w:eastAsia="宋体" w:cs="Times New Roman"/>
                <w:b w:val="0"/>
                <w:bCs w:val="0"/>
                <w:color w:val="000000"/>
                <w:sz w:val="24"/>
                <w:szCs w:val="24"/>
                <w:lang w:bidi="ar"/>
              </w:rPr>
              <w:t>京杭大运河（淮安区）清水通道维护区</w:t>
            </w:r>
            <w:r>
              <w:rPr>
                <w:rFonts w:hint="default" w:ascii="Times New Roman" w:hAnsi="Times New Roman" w:eastAsia="宋体" w:cs="Times New Roman"/>
                <w:b w:val="0"/>
                <w:bCs w:val="0"/>
                <w:color w:val="000000"/>
                <w:sz w:val="24"/>
                <w:szCs w:val="24"/>
                <w:lang w:val="en-US" w:eastAsia="zh-CN" w:bidi="ar"/>
              </w:rPr>
              <w:t>和</w:t>
            </w:r>
            <w:r>
              <w:rPr>
                <w:rFonts w:hint="default" w:ascii="Times New Roman" w:hAnsi="Times New Roman" w:eastAsia="宋体" w:cs="Times New Roman"/>
                <w:b w:val="0"/>
                <w:bCs w:val="0"/>
                <w:color w:val="000000"/>
                <w:sz w:val="24"/>
                <w:szCs w:val="24"/>
                <w:lang w:bidi="ar"/>
              </w:rPr>
              <w:t>京杭大运河（淮安</w:t>
            </w:r>
            <w:r>
              <w:rPr>
                <w:rFonts w:hint="default" w:ascii="Times New Roman" w:hAnsi="Times New Roman" w:eastAsia="宋体" w:cs="Times New Roman"/>
                <w:b w:val="0"/>
                <w:bCs w:val="0"/>
                <w:color w:val="000000"/>
                <w:sz w:val="24"/>
                <w:szCs w:val="24"/>
                <w:lang w:val="en-US" w:eastAsia="zh-CN" w:bidi="ar"/>
              </w:rPr>
              <w:t>市</w:t>
            </w:r>
            <w:r>
              <w:rPr>
                <w:rFonts w:hint="default" w:ascii="Times New Roman" w:hAnsi="Times New Roman" w:eastAsia="宋体" w:cs="Times New Roman"/>
                <w:b w:val="0"/>
                <w:bCs w:val="0"/>
                <w:color w:val="000000"/>
                <w:sz w:val="24"/>
                <w:szCs w:val="24"/>
                <w:lang w:bidi="ar"/>
              </w:rPr>
              <w:t>区）清水通道维护区</w:t>
            </w:r>
            <w:r>
              <w:rPr>
                <w:rFonts w:hint="default" w:ascii="Times New Roman" w:hAnsi="Times New Roman" w:eastAsia="宋体" w:cs="Times New Roman"/>
                <w:b w:val="0"/>
                <w:bCs w:val="0"/>
                <w:color w:val="000000"/>
                <w:sz w:val="24"/>
                <w:szCs w:val="24"/>
                <w:lang w:val="en-US" w:eastAsia="zh-CN" w:bidi="ar"/>
              </w:rPr>
              <w:t>2处生态空间管控区</w:t>
            </w:r>
            <w:r>
              <w:rPr>
                <w:rFonts w:hint="eastAsia" w:ascii="Times New Roman" w:hAnsi="Times New Roman" w:cs="Times New Roman"/>
                <w:b w:val="0"/>
                <w:bCs w:val="0"/>
                <w:color w:val="000000"/>
                <w:sz w:val="24"/>
                <w:szCs w:val="24"/>
                <w:lang w:val="en-US" w:eastAsia="zh-CN" w:bidi="ar"/>
              </w:rPr>
              <w:t>。</w:t>
            </w:r>
            <w:r>
              <w:rPr>
                <w:rFonts w:hint="eastAsia" w:ascii="Times New Roman" w:hAnsi="Times New Roman" w:eastAsia="宋体" w:cs="Times New Roman"/>
                <w:b w:val="0"/>
                <w:bCs/>
                <w:kern w:val="0"/>
                <w:sz w:val="24"/>
                <w:szCs w:val="24"/>
                <w:lang w:val="en-US" w:eastAsia="zh-CN"/>
              </w:rPr>
              <w:t xml:space="preserve">本次对环境风险提出省考断面、清水通道维护区风险防范措施。 </w:t>
            </w:r>
          </w:p>
          <w:p w14:paraId="4145265F">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 xml:space="preserve">溢油事故发生后，在初步评估后应迅速召集各方面的人力、物力资源，相互协调配合，就具体的溢油事故根据相关的环境采取相应的措施，在最短的时间内控制住溢油的发展趋势。其处理的原则是应该尽量在溢油上岸之前消除溢油，溢油上岸后受不同地质的影响，会吸附在土壤里、岩石的缝隙里，会造成清油困难。 </w:t>
            </w:r>
          </w:p>
          <w:p w14:paraId="17ECB566">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1</w:t>
            </w:r>
            <w:r>
              <w:rPr>
                <w:rFonts w:hint="eastAsia" w:ascii="Times New Roman" w:hAnsi="Times New Roman" w:eastAsia="宋体" w:cs="Times New Roman"/>
                <w:b w:val="0"/>
                <w:bCs/>
                <w:kern w:val="0"/>
                <w:sz w:val="24"/>
                <w:szCs w:val="24"/>
                <w:lang w:val="en-US" w:eastAsia="zh-CN"/>
              </w:rPr>
              <w:t>、比重大于</w:t>
            </w:r>
            <w:r>
              <w:rPr>
                <w:rFonts w:hint="default" w:ascii="Times New Roman" w:hAnsi="Times New Roman" w:eastAsia="宋体" w:cs="Times New Roman"/>
                <w:b w:val="0"/>
                <w:bCs/>
                <w:kern w:val="0"/>
                <w:sz w:val="24"/>
                <w:szCs w:val="24"/>
                <w:lang w:val="en-US" w:eastAsia="zh-CN"/>
              </w:rPr>
              <w:t>1</w:t>
            </w:r>
            <w:r>
              <w:rPr>
                <w:rFonts w:hint="eastAsia" w:ascii="Times New Roman" w:hAnsi="Times New Roman" w:eastAsia="宋体" w:cs="Times New Roman"/>
                <w:b w:val="0"/>
                <w:bCs/>
                <w:kern w:val="0"/>
                <w:sz w:val="24"/>
                <w:szCs w:val="24"/>
                <w:lang w:val="en-US" w:eastAsia="zh-CN"/>
              </w:rPr>
              <w:t xml:space="preserve">的油品，如原油，船舶发生污染事故后，应当立即采取果断措施切断污染源，关闭阀门、舱盖，条件允许时，将破损货舱内剩余的货物转移到其他舱内或者过驳到他船。 </w:t>
            </w:r>
          </w:p>
          <w:p w14:paraId="27D042B3">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2</w:t>
            </w:r>
            <w:r>
              <w:rPr>
                <w:rFonts w:hint="eastAsia" w:ascii="Times New Roman" w:hAnsi="Times New Roman" w:eastAsia="宋体" w:cs="Times New Roman"/>
                <w:b w:val="0"/>
                <w:bCs/>
                <w:kern w:val="0"/>
                <w:sz w:val="24"/>
                <w:szCs w:val="24"/>
                <w:lang w:val="en-US" w:eastAsia="zh-CN"/>
              </w:rPr>
              <w:t xml:space="preserve">、一般处置措施 </w:t>
            </w:r>
          </w:p>
          <w:p w14:paraId="489BA731">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w:t>
            </w:r>
            <w:r>
              <w:rPr>
                <w:rFonts w:hint="default" w:ascii="Times New Roman" w:hAnsi="Times New Roman" w:eastAsia="宋体" w:cs="Times New Roman"/>
                <w:b w:val="0"/>
                <w:bCs/>
                <w:kern w:val="0"/>
                <w:sz w:val="24"/>
                <w:szCs w:val="24"/>
                <w:lang w:val="en-US" w:eastAsia="zh-CN"/>
              </w:rPr>
              <w:t>1</w:t>
            </w:r>
            <w:r>
              <w:rPr>
                <w:rFonts w:hint="eastAsia" w:ascii="Times New Roman" w:hAnsi="Times New Roman" w:eastAsia="宋体" w:cs="Times New Roman"/>
                <w:b w:val="0"/>
                <w:bCs/>
                <w:kern w:val="0"/>
                <w:sz w:val="24"/>
                <w:szCs w:val="24"/>
                <w:lang w:val="en-US" w:eastAsia="zh-CN"/>
              </w:rPr>
              <w:t>）一旦</w:t>
            </w:r>
            <w:r>
              <w:rPr>
                <w:rFonts w:hint="eastAsia" w:cs="Times New Roman"/>
                <w:b w:val="0"/>
                <w:bCs/>
                <w:kern w:val="0"/>
                <w:sz w:val="24"/>
                <w:szCs w:val="24"/>
                <w:lang w:val="en-US" w:eastAsia="zh-CN"/>
              </w:rPr>
              <w:t>锚地</w:t>
            </w:r>
            <w:r>
              <w:rPr>
                <w:rFonts w:hint="eastAsia" w:ascii="Times New Roman" w:hAnsi="Times New Roman" w:eastAsia="宋体" w:cs="Times New Roman"/>
                <w:b w:val="0"/>
                <w:bCs/>
                <w:kern w:val="0"/>
                <w:sz w:val="24"/>
                <w:szCs w:val="24"/>
                <w:lang w:val="en-US" w:eastAsia="zh-CN"/>
              </w:rPr>
              <w:t xml:space="preserve">前沿发生泄漏，根据泄漏量的大小，扩散方向、气象及水流条件， 迅速调整围油方向和面积，缩小围油栏的包围圈，利用收油机最大限度地回收流失的油品，然后加消散剂对余油进行分散乳化处理，破坏油膜。 </w:t>
            </w:r>
          </w:p>
          <w:p w14:paraId="7136757E">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w:t>
            </w:r>
            <w:r>
              <w:rPr>
                <w:rFonts w:hint="default" w:ascii="Times New Roman" w:hAnsi="Times New Roman" w:eastAsia="宋体" w:cs="Times New Roman"/>
                <w:b w:val="0"/>
                <w:bCs/>
                <w:kern w:val="0"/>
                <w:sz w:val="24"/>
                <w:szCs w:val="24"/>
                <w:lang w:val="en-US" w:eastAsia="zh-CN"/>
              </w:rPr>
              <w:t>2</w:t>
            </w:r>
            <w:r>
              <w:rPr>
                <w:rFonts w:hint="eastAsia" w:ascii="Times New Roman" w:hAnsi="Times New Roman" w:eastAsia="宋体" w:cs="Times New Roman"/>
                <w:b w:val="0"/>
                <w:bCs/>
                <w:kern w:val="0"/>
                <w:sz w:val="24"/>
                <w:szCs w:val="24"/>
                <w:lang w:val="en-US" w:eastAsia="zh-CN"/>
              </w:rPr>
              <w:t>）溢油事故受到气象、水文条件的影响，受到溢油本身的情况，诸如溢出量、 油种等</w:t>
            </w:r>
            <w:r>
              <w:rPr>
                <w:rFonts w:hint="eastAsia" w:cs="Times New Roman"/>
                <w:b w:val="0"/>
                <w:bCs/>
                <w:kern w:val="0"/>
                <w:sz w:val="24"/>
                <w:szCs w:val="24"/>
                <w:lang w:val="en-US" w:eastAsia="zh-CN"/>
              </w:rPr>
              <w:t>的</w:t>
            </w:r>
            <w:r>
              <w:rPr>
                <w:rFonts w:hint="eastAsia" w:ascii="Times New Roman" w:hAnsi="Times New Roman" w:eastAsia="宋体" w:cs="Times New Roman"/>
                <w:b w:val="0"/>
                <w:bCs/>
                <w:kern w:val="0"/>
                <w:sz w:val="24"/>
                <w:szCs w:val="24"/>
                <w:lang w:val="en-US" w:eastAsia="zh-CN"/>
              </w:rPr>
              <w:t>影响，要根据具体情况采取适当的方法和技术来处理。在恶劣的情况下进行机械回收后还应辅助以化学处理的方法尽可能</w:t>
            </w:r>
            <w:r>
              <w:rPr>
                <w:rFonts w:hint="eastAsia" w:cs="Times New Roman"/>
                <w:b w:val="0"/>
                <w:bCs/>
                <w:kern w:val="0"/>
                <w:sz w:val="24"/>
                <w:szCs w:val="24"/>
                <w:lang w:val="en-US" w:eastAsia="zh-CN"/>
              </w:rPr>
              <w:t>地</w:t>
            </w:r>
            <w:r>
              <w:rPr>
                <w:rFonts w:hint="eastAsia" w:ascii="Times New Roman" w:hAnsi="Times New Roman" w:eastAsia="宋体" w:cs="Times New Roman"/>
                <w:b w:val="0"/>
                <w:bCs/>
                <w:kern w:val="0"/>
                <w:sz w:val="24"/>
                <w:szCs w:val="24"/>
                <w:lang w:val="en-US" w:eastAsia="zh-CN"/>
              </w:rPr>
              <w:t xml:space="preserve">清除残留的溢油，减少对环境的影响，可采用在水面上播撒凝油剂和消油剂。 </w:t>
            </w:r>
          </w:p>
          <w:p w14:paraId="2D75CD83">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 xml:space="preserve">水上泄漏事故应急处理方法和程序如下图所示： </w:t>
            </w:r>
          </w:p>
          <w:p w14:paraId="2FF2FC9F">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rPr>
            </w:pPr>
            <w:r>
              <w:rPr>
                <w:rFonts w:hint="default" w:ascii="Times New Roman" w:hAnsi="Times New Roman" w:eastAsia="宋体" w:cs="Times New Roman"/>
                <w:b w:val="0"/>
                <w:bCs/>
                <w:kern w:val="0"/>
                <w:sz w:val="24"/>
                <w:szCs w:val="24"/>
                <w:lang w:val="en-US" w:eastAsia="zh-CN"/>
              </w:rPr>
              <w:drawing>
                <wp:anchor distT="0" distB="0" distL="114300" distR="114300" simplePos="0" relativeHeight="251671552" behindDoc="0" locked="0" layoutInCell="1" allowOverlap="1">
                  <wp:simplePos x="0" y="0"/>
                  <wp:positionH relativeFrom="column">
                    <wp:posOffset>20955</wp:posOffset>
                  </wp:positionH>
                  <wp:positionV relativeFrom="paragraph">
                    <wp:posOffset>82550</wp:posOffset>
                  </wp:positionV>
                  <wp:extent cx="5572125" cy="771525"/>
                  <wp:effectExtent l="0" t="0" r="9525" b="9525"/>
                  <wp:wrapNone/>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1"/>
                          <a:stretch>
                            <a:fillRect/>
                          </a:stretch>
                        </pic:blipFill>
                        <pic:spPr>
                          <a:xfrm>
                            <a:off x="0" y="0"/>
                            <a:ext cx="5572125" cy="771525"/>
                          </a:xfrm>
                          <a:prstGeom prst="rect">
                            <a:avLst/>
                          </a:prstGeom>
                          <a:noFill/>
                          <a:ln>
                            <a:noFill/>
                          </a:ln>
                        </pic:spPr>
                      </pic:pic>
                    </a:graphicData>
                  </a:graphic>
                </wp:anchor>
              </w:drawing>
            </w:r>
          </w:p>
          <w:p w14:paraId="7AEDD872">
            <w:pPr>
              <w:pStyle w:val="88"/>
              <w:rPr>
                <w:rFonts w:hint="default" w:ascii="Times New Roman" w:hAnsi="Times New Roman" w:eastAsia="宋体" w:cs="Times New Roman"/>
                <w:b w:val="0"/>
                <w:bCs/>
                <w:kern w:val="0"/>
                <w:sz w:val="24"/>
                <w:szCs w:val="24"/>
              </w:rPr>
            </w:pPr>
          </w:p>
          <w:p w14:paraId="5F97C77E">
            <w:pPr>
              <w:rPr>
                <w:rFonts w:hint="default" w:ascii="Times New Roman" w:hAnsi="Times New Roman" w:eastAsia="宋体" w:cs="Times New Roman"/>
                <w:b w:val="0"/>
                <w:bCs/>
                <w:kern w:val="0"/>
                <w:sz w:val="24"/>
                <w:szCs w:val="24"/>
              </w:rPr>
            </w:pPr>
          </w:p>
          <w:p w14:paraId="5874C69A">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val="0"/>
                <w:bCs/>
                <w:kern w:val="0"/>
                <w:sz w:val="24"/>
                <w:szCs w:val="24"/>
                <w:lang w:val="en-US" w:eastAsia="zh-CN"/>
              </w:rPr>
              <w:t>3</w:t>
            </w:r>
            <w:r>
              <w:rPr>
                <w:rFonts w:hint="eastAsia" w:ascii="Times New Roman" w:hAnsi="Times New Roman" w:eastAsia="宋体" w:cs="Times New Roman"/>
                <w:b w:val="0"/>
                <w:bCs/>
                <w:kern w:val="0"/>
                <w:sz w:val="24"/>
                <w:szCs w:val="24"/>
                <w:lang w:val="en-US" w:eastAsia="zh-CN"/>
              </w:rPr>
              <w:t xml:space="preserve">、不同情况下处置措施 </w:t>
            </w:r>
          </w:p>
          <w:p w14:paraId="5769CF61">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 xml:space="preserve">溢油的种类会影响溢油的清除方式和清除工具的具体选择，如果是轻质溢油，原则上会采取让其先挥发，然后采取辅助的处理措施。 </w:t>
            </w:r>
          </w:p>
          <w:p w14:paraId="1E1AFD13">
            <w:pPr>
              <w:autoSpaceDE w:val="0"/>
              <w:autoSpaceDN w:val="0"/>
              <w:adjustRightInd w:val="0"/>
              <w:snapToGrid w:val="0"/>
              <w:spacing w:line="460" w:lineRule="exact"/>
              <w:ind w:firstLine="480" w:firstLineChars="200"/>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对于中等等级的一般事故，由于风和水流的影响，溢油随时都有可能飘向敏感区域，</w:t>
            </w:r>
            <w:r>
              <w:rPr>
                <w:rFonts w:hint="eastAsia" w:cs="Times New Roman"/>
                <w:b w:val="0"/>
                <w:bCs/>
                <w:kern w:val="0"/>
                <w:sz w:val="24"/>
                <w:szCs w:val="24"/>
                <w:lang w:val="en-US" w:eastAsia="zh-CN"/>
              </w:rPr>
              <w:t>这时</w:t>
            </w:r>
            <w:r>
              <w:rPr>
                <w:rFonts w:hint="eastAsia" w:ascii="Times New Roman" w:hAnsi="Times New Roman" w:eastAsia="宋体" w:cs="Times New Roman"/>
                <w:b w:val="0"/>
                <w:bCs/>
                <w:kern w:val="0"/>
                <w:sz w:val="24"/>
                <w:szCs w:val="24"/>
                <w:lang w:val="en-US" w:eastAsia="zh-CN"/>
              </w:rPr>
              <w:t>应该在敏感区域方向上布设适当数量的围油栏，若溢油面积很大，可以喷洒</w:t>
            </w:r>
            <w:r>
              <w:rPr>
                <w:rFonts w:hint="eastAsia" w:cs="Times New Roman"/>
                <w:b w:val="0"/>
                <w:bCs/>
                <w:kern w:val="0"/>
                <w:sz w:val="24"/>
                <w:szCs w:val="24"/>
                <w:lang w:val="en-US" w:eastAsia="zh-CN"/>
              </w:rPr>
              <w:t>分散</w:t>
            </w:r>
            <w:r>
              <w:rPr>
                <w:rFonts w:hint="eastAsia" w:ascii="Times New Roman" w:hAnsi="Times New Roman" w:eastAsia="宋体" w:cs="Times New Roman"/>
                <w:b w:val="0"/>
                <w:bCs/>
                <w:kern w:val="0"/>
                <w:sz w:val="24"/>
                <w:szCs w:val="24"/>
                <w:lang w:val="en-US" w:eastAsia="zh-CN"/>
              </w:rPr>
              <w:t xml:space="preserve">剂，如果溢油层达到一定的厚度，且溢油时间不是太长，可以铺设防火围油栏，对溢油进行就地焚烧并进行实时监测。 </w:t>
            </w:r>
          </w:p>
          <w:p w14:paraId="7ABADB53">
            <w:pPr>
              <w:autoSpaceDE w:val="0"/>
              <w:autoSpaceDN w:val="0"/>
              <w:adjustRightInd w:val="0"/>
              <w:snapToGrid w:val="0"/>
              <w:spacing w:line="460" w:lineRule="exact"/>
              <w:ind w:firstLine="480" w:firstLineChars="200"/>
              <w:rPr>
                <w:rFonts w:hint="default" w:ascii="Times New Roman" w:hAnsi="Times New Roman" w:eastAsia="宋体" w:cs="Times New Roman"/>
                <w:bCs/>
                <w:spacing w:val="10"/>
                <w:sz w:val="24"/>
                <w:szCs w:val="24"/>
              </w:rPr>
            </w:pPr>
            <w:r>
              <w:rPr>
                <w:rFonts w:hint="eastAsia" w:ascii="Times New Roman" w:hAnsi="Times New Roman" w:eastAsia="宋体" w:cs="Times New Roman"/>
                <w:b w:val="0"/>
                <w:bCs/>
                <w:kern w:val="0"/>
                <w:sz w:val="24"/>
                <w:szCs w:val="24"/>
                <w:lang w:val="en-US" w:eastAsia="zh-CN"/>
              </w:rPr>
              <w:t>对于影响相对小的一般事故，对于相对大的溢油量，其呈现形式是液态时，先使用围油栏限制溢油的扩散，再使用泵吸式或者吸油绳式油回收装置进行溢油回收，固态的用油拖网回收大量的固态溢油。溢油量小时，液态形式的溢油先使用围油栏限制溢油的扩散，然后使用小型油回收装置或者吸油材料进行回收，固态溢油用小型拖网和小网进行捞收。</w:t>
            </w:r>
            <w:r>
              <w:rPr>
                <w:rFonts w:hint="eastAsia" w:ascii="宋体" w:hAnsi="宋体" w:eastAsia="宋体" w:cs="宋体"/>
                <w:color w:val="000000"/>
                <w:kern w:val="0"/>
                <w:sz w:val="24"/>
                <w:szCs w:val="24"/>
                <w:lang w:val="en-US" w:eastAsia="zh-CN" w:bidi="ar"/>
              </w:rPr>
              <w:t xml:space="preserve"> </w:t>
            </w:r>
          </w:p>
        </w:tc>
      </w:tr>
      <w:tr w14:paraId="7EF2C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01" w:type="dxa"/>
            <w:tcMar>
              <w:left w:w="28" w:type="dxa"/>
              <w:right w:w="28" w:type="dxa"/>
            </w:tcMar>
            <w:vAlign w:val="center"/>
          </w:tcPr>
          <w:p w14:paraId="23B35216">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其他</w:t>
            </w:r>
          </w:p>
        </w:tc>
        <w:tc>
          <w:tcPr>
            <w:tcW w:w="7570" w:type="dxa"/>
            <w:vAlign w:val="center"/>
          </w:tcPr>
          <w:p w14:paraId="2BFB56A2">
            <w:pPr>
              <w:pStyle w:val="87"/>
              <w:spacing w:after="0" w:line="460" w:lineRule="exact"/>
              <w:ind w:firstLine="0" w:firstLineChars="0"/>
              <w:jc w:val="center"/>
              <w:rPr>
                <w:rFonts w:hint="default" w:ascii="Times New Roman" w:hAnsi="Times New Roman" w:eastAsia="宋体" w:cs="Times New Roman"/>
                <w:bCs/>
                <w:spacing w:val="-10"/>
                <w:sz w:val="24"/>
                <w:szCs w:val="24"/>
              </w:rPr>
            </w:pPr>
            <w:r>
              <w:rPr>
                <w:rFonts w:hint="default" w:ascii="Times New Roman" w:hAnsi="Times New Roman" w:eastAsia="宋体" w:cs="Times New Roman"/>
                <w:bCs/>
                <w:spacing w:val="-10"/>
                <w:sz w:val="24"/>
                <w:szCs w:val="24"/>
              </w:rPr>
              <w:t>无</w:t>
            </w:r>
          </w:p>
        </w:tc>
      </w:tr>
      <w:tr w14:paraId="6B8D1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6" w:hRule="atLeast"/>
          <w:jc w:val="center"/>
        </w:trPr>
        <w:tc>
          <w:tcPr>
            <w:tcW w:w="701" w:type="dxa"/>
            <w:tcMar>
              <w:left w:w="28" w:type="dxa"/>
              <w:right w:w="28" w:type="dxa"/>
            </w:tcMar>
            <w:vAlign w:val="center"/>
          </w:tcPr>
          <w:p w14:paraId="0D70C4EC">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环保投资</w:t>
            </w:r>
          </w:p>
        </w:tc>
        <w:tc>
          <w:tcPr>
            <w:tcW w:w="7570" w:type="dxa"/>
            <w:vAlign w:val="center"/>
          </w:tcPr>
          <w:p w14:paraId="0E1DAA4C">
            <w:pPr>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建设项目总投资</w:t>
            </w:r>
            <w:r>
              <w:rPr>
                <w:rFonts w:hint="eastAsia" w:cs="Times New Roman"/>
                <w:sz w:val="24"/>
                <w:szCs w:val="24"/>
                <w:lang w:val="en-US" w:eastAsia="zh-CN"/>
              </w:rPr>
              <w:t>60</w:t>
            </w:r>
            <w:r>
              <w:rPr>
                <w:rFonts w:hint="default" w:ascii="Times New Roman" w:hAnsi="Times New Roman" w:eastAsia="宋体" w:cs="Times New Roman"/>
                <w:sz w:val="24"/>
                <w:szCs w:val="24"/>
              </w:rPr>
              <w:t>00万元，建设项目用于环境保护方面的投资</w:t>
            </w:r>
            <w:r>
              <w:rPr>
                <w:rFonts w:hint="eastAsia" w:cs="Times New Roman"/>
                <w:color w:val="auto"/>
                <w:sz w:val="24"/>
                <w:szCs w:val="24"/>
                <w:lang w:val="en-US" w:eastAsia="zh-CN"/>
              </w:rPr>
              <w:t>450</w:t>
            </w:r>
            <w:r>
              <w:rPr>
                <w:rFonts w:hint="default" w:ascii="Times New Roman" w:hAnsi="Times New Roman" w:eastAsia="宋体" w:cs="Times New Roman"/>
                <w:color w:val="auto"/>
                <w:sz w:val="24"/>
                <w:szCs w:val="24"/>
              </w:rPr>
              <w:t>万</w:t>
            </w:r>
            <w:r>
              <w:rPr>
                <w:rFonts w:hint="default" w:ascii="Times New Roman" w:hAnsi="Times New Roman" w:eastAsia="宋体" w:cs="Times New Roman"/>
                <w:sz w:val="24"/>
                <w:szCs w:val="24"/>
              </w:rPr>
              <w:t>元，占建设项目总投资</w:t>
            </w:r>
            <w:r>
              <w:rPr>
                <w:rFonts w:hint="default" w:ascii="Times New Roman" w:hAnsi="Times New Roman" w:eastAsia="宋体" w:cs="Times New Roman"/>
                <w:color w:val="auto"/>
                <w:sz w:val="24"/>
                <w:szCs w:val="24"/>
              </w:rPr>
              <w:t>的</w:t>
            </w:r>
            <w:r>
              <w:rPr>
                <w:rFonts w:hint="eastAsia" w:cs="Times New Roman"/>
                <w:color w:val="auto"/>
                <w:sz w:val="24"/>
                <w:szCs w:val="24"/>
                <w:lang w:val="en-US" w:eastAsia="zh-CN"/>
              </w:rPr>
              <w:t>7.5</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rPr>
              <w:t>具体环保投资一览表见表5-7。</w:t>
            </w:r>
          </w:p>
          <w:p w14:paraId="01DB0D4F">
            <w:pPr>
              <w:adjustRightInd w:val="0"/>
              <w:snapToGrid w:val="0"/>
              <w:spacing w:line="46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表5-7  建设项目环保投资一览表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815"/>
              <w:gridCol w:w="1788"/>
              <w:gridCol w:w="4135"/>
              <w:gridCol w:w="1333"/>
            </w:tblGrid>
            <w:tr w14:paraId="3307D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6" w:type="pct"/>
                  <w:tcBorders>
                    <w:tl2br w:val="nil"/>
                    <w:tr2bl w:val="nil"/>
                  </w:tcBorders>
                  <w:tcMar>
                    <w:left w:w="0" w:type="dxa"/>
                    <w:right w:w="0" w:type="dxa"/>
                  </w:tcMar>
                  <w:vAlign w:val="center"/>
                </w:tcPr>
                <w:p w14:paraId="1CFAB74E">
                  <w:pPr>
                    <w:spacing w:line="320" w:lineRule="exact"/>
                    <w:jc w:val="center"/>
                    <w:rPr>
                      <w:rFonts w:hint="eastAsia" w:ascii="Times New Roman" w:hAnsi="Times New Roman" w:eastAsia="宋体" w:cs="Times New Roman"/>
                      <w:b/>
                      <w:sz w:val="21"/>
                      <w:szCs w:val="21"/>
                      <w:lang w:eastAsia="zh-CN"/>
                    </w:rPr>
                  </w:pPr>
                  <w:r>
                    <w:rPr>
                      <w:rFonts w:hint="eastAsia" w:cs="Times New Roman"/>
                      <w:b/>
                      <w:sz w:val="21"/>
                      <w:szCs w:val="21"/>
                      <w:lang w:val="en-US" w:eastAsia="zh-CN" w:bidi="ar"/>
                    </w:rPr>
                    <w:t>类别</w:t>
                  </w:r>
                </w:p>
              </w:tc>
              <w:tc>
                <w:tcPr>
                  <w:tcW w:w="1475" w:type="pct"/>
                  <w:gridSpan w:val="2"/>
                  <w:tcBorders>
                    <w:tl2br w:val="nil"/>
                    <w:tr2bl w:val="nil"/>
                  </w:tcBorders>
                  <w:tcMar>
                    <w:left w:w="0" w:type="dxa"/>
                    <w:right w:w="0" w:type="dxa"/>
                  </w:tcMar>
                  <w:vAlign w:val="center"/>
                </w:tcPr>
                <w:p w14:paraId="0E525DB1">
                  <w:pPr>
                    <w:spacing w:line="320" w:lineRule="exact"/>
                    <w:jc w:val="center"/>
                    <w:rPr>
                      <w:rFonts w:hint="eastAsia" w:ascii="Times New Roman" w:hAnsi="Times New Roman" w:eastAsia="宋体" w:cs="Times New Roman"/>
                      <w:b/>
                      <w:sz w:val="21"/>
                      <w:szCs w:val="21"/>
                      <w:lang w:eastAsia="zh-CN"/>
                    </w:rPr>
                  </w:pPr>
                  <w:r>
                    <w:rPr>
                      <w:rFonts w:hint="eastAsia" w:cs="Times New Roman"/>
                      <w:b/>
                      <w:sz w:val="21"/>
                      <w:szCs w:val="21"/>
                      <w:lang w:val="en-US" w:eastAsia="zh-CN" w:bidi="ar"/>
                    </w:rPr>
                    <w:t>项目</w:t>
                  </w:r>
                </w:p>
              </w:tc>
              <w:tc>
                <w:tcPr>
                  <w:tcW w:w="2343" w:type="pct"/>
                  <w:tcBorders>
                    <w:tl2br w:val="nil"/>
                    <w:tr2bl w:val="nil"/>
                  </w:tcBorders>
                  <w:vAlign w:val="center"/>
                </w:tcPr>
                <w:p w14:paraId="24B3B911">
                  <w:pPr>
                    <w:spacing w:line="320" w:lineRule="exact"/>
                    <w:jc w:val="center"/>
                    <w:rPr>
                      <w:rFonts w:hint="default" w:ascii="Times New Roman" w:hAnsi="Times New Roman" w:eastAsia="宋体" w:cs="Times New Roman"/>
                      <w:b/>
                      <w:sz w:val="21"/>
                      <w:szCs w:val="21"/>
                    </w:rPr>
                  </w:pPr>
                  <w:r>
                    <w:rPr>
                      <w:rFonts w:hint="eastAsia" w:cs="Times New Roman"/>
                      <w:b/>
                      <w:sz w:val="21"/>
                      <w:szCs w:val="21"/>
                      <w:lang w:val="en-US" w:eastAsia="zh-CN" w:bidi="ar"/>
                    </w:rPr>
                    <w:t>治理措施</w:t>
                  </w:r>
                </w:p>
              </w:tc>
              <w:tc>
                <w:tcPr>
                  <w:tcW w:w="755" w:type="pct"/>
                  <w:tcBorders>
                    <w:tl2br w:val="nil"/>
                    <w:tr2bl w:val="nil"/>
                  </w:tcBorders>
                  <w:vAlign w:val="center"/>
                </w:tcPr>
                <w:p w14:paraId="66A5EA28">
                  <w:pPr>
                    <w:spacing w:line="320" w:lineRule="exact"/>
                    <w:jc w:val="center"/>
                    <w:rPr>
                      <w:rFonts w:hint="default" w:ascii="Times New Roman" w:hAnsi="Times New Roman" w:eastAsia="宋体" w:cs="Times New Roman"/>
                      <w:b/>
                      <w:sz w:val="21"/>
                      <w:szCs w:val="21"/>
                    </w:rPr>
                  </w:pPr>
                  <w:r>
                    <w:rPr>
                      <w:rFonts w:hint="eastAsia" w:cs="Times New Roman"/>
                      <w:b/>
                      <w:sz w:val="21"/>
                      <w:szCs w:val="21"/>
                      <w:lang w:val="en-US" w:eastAsia="zh-CN" w:bidi="ar"/>
                    </w:rPr>
                    <w:t>投资</w:t>
                  </w:r>
                  <w:r>
                    <w:rPr>
                      <w:rFonts w:hint="default" w:ascii="Times New Roman" w:hAnsi="Times New Roman" w:eastAsia="宋体" w:cs="Times New Roman"/>
                      <w:b/>
                      <w:sz w:val="21"/>
                      <w:szCs w:val="21"/>
                      <w:lang w:bidi="ar"/>
                    </w:rPr>
                    <w:t>（万元）</w:t>
                  </w:r>
                </w:p>
              </w:tc>
            </w:tr>
            <w:tr w14:paraId="5B26D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26" w:type="pct"/>
                  <w:vMerge w:val="restart"/>
                  <w:tcBorders>
                    <w:tl2br w:val="nil"/>
                    <w:tr2bl w:val="nil"/>
                  </w:tcBorders>
                  <w:tcMar>
                    <w:left w:w="0" w:type="dxa"/>
                    <w:right w:w="0" w:type="dxa"/>
                  </w:tcMar>
                  <w:vAlign w:val="center"/>
                </w:tcPr>
                <w:p w14:paraId="416FAA99">
                  <w:pPr>
                    <w:autoSpaceDE w:val="0"/>
                    <w:autoSpaceDN w:val="0"/>
                    <w:adjustRightIn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废气</w:t>
                  </w:r>
                </w:p>
              </w:tc>
              <w:tc>
                <w:tcPr>
                  <w:tcW w:w="461" w:type="pct"/>
                  <w:vMerge w:val="restart"/>
                  <w:tcBorders>
                    <w:tl2br w:val="nil"/>
                    <w:tr2bl w:val="nil"/>
                  </w:tcBorders>
                  <w:tcMar>
                    <w:left w:w="0" w:type="dxa"/>
                    <w:right w:w="0" w:type="dxa"/>
                  </w:tcMar>
                  <w:vAlign w:val="center"/>
                </w:tcPr>
                <w:p w14:paraId="634043F4">
                  <w:pPr>
                    <w:autoSpaceDE w:val="0"/>
                    <w:autoSpaceDN w:val="0"/>
                    <w:adjustRightInd w:val="0"/>
                    <w:spacing w:line="32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施工期</w:t>
                  </w:r>
                </w:p>
              </w:tc>
              <w:tc>
                <w:tcPr>
                  <w:tcW w:w="1013" w:type="pct"/>
                  <w:tcBorders>
                    <w:tl2br w:val="nil"/>
                    <w:tr2bl w:val="nil"/>
                  </w:tcBorders>
                  <w:tcMar>
                    <w:left w:w="0" w:type="dxa"/>
                    <w:right w:w="0" w:type="dxa"/>
                  </w:tcMar>
                  <w:vAlign w:val="center"/>
                </w:tcPr>
                <w:p w14:paraId="6FC81B91">
                  <w:pPr>
                    <w:autoSpaceDE w:val="0"/>
                    <w:autoSpaceDN w:val="0"/>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bidi="ar"/>
                    </w:rPr>
                    <w:t>燃油废气</w:t>
                  </w:r>
                </w:p>
              </w:tc>
              <w:tc>
                <w:tcPr>
                  <w:tcW w:w="2343" w:type="pct"/>
                  <w:tcBorders>
                    <w:tl2br w:val="nil"/>
                    <w:tr2bl w:val="nil"/>
                  </w:tcBorders>
                  <w:vAlign w:val="center"/>
                </w:tcPr>
                <w:p w14:paraId="3A576433">
                  <w:pPr>
                    <w:autoSpaceDE w:val="0"/>
                    <w:autoSpaceDN w:val="0"/>
                    <w:adjustRightIn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选用符合环保要求的施工船舶</w:t>
                  </w:r>
                  <w:r>
                    <w:rPr>
                      <w:rFonts w:hint="eastAsia" w:cs="Times New Roman"/>
                      <w:bCs/>
                      <w:sz w:val="21"/>
                      <w:szCs w:val="21"/>
                      <w:lang w:eastAsia="zh-CN"/>
                    </w:rPr>
                    <w:t>、</w:t>
                  </w:r>
                  <w:r>
                    <w:rPr>
                      <w:rFonts w:hint="eastAsia"/>
                      <w:color w:val="auto"/>
                      <w:kern w:val="0"/>
                      <w:szCs w:val="28"/>
                    </w:rPr>
                    <w:t>机械设备、运输车辆</w:t>
                  </w:r>
                  <w:r>
                    <w:rPr>
                      <w:rFonts w:hint="default" w:ascii="Times New Roman" w:hAnsi="Times New Roman" w:eastAsia="宋体" w:cs="Times New Roman"/>
                      <w:bCs/>
                      <w:sz w:val="21"/>
                      <w:szCs w:val="21"/>
                    </w:rPr>
                    <w:t>和燃料</w:t>
                  </w:r>
                </w:p>
              </w:tc>
              <w:tc>
                <w:tcPr>
                  <w:tcW w:w="755" w:type="pct"/>
                  <w:tcBorders>
                    <w:tl2br w:val="nil"/>
                    <w:tr2bl w:val="nil"/>
                  </w:tcBorders>
                  <w:vAlign w:val="center"/>
                </w:tcPr>
                <w:p w14:paraId="6E9E0F12">
                  <w:pPr>
                    <w:autoSpaceDE w:val="0"/>
                    <w:autoSpaceDN w:val="0"/>
                    <w:adjustRightInd w:val="0"/>
                    <w:spacing w:line="320" w:lineRule="exact"/>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14:paraId="67669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5" w:hRule="atLeast"/>
                <w:jc w:val="center"/>
              </w:trPr>
              <w:tc>
                <w:tcPr>
                  <w:tcW w:w="426" w:type="pct"/>
                  <w:vMerge w:val="continue"/>
                  <w:tcBorders>
                    <w:tl2br w:val="nil"/>
                    <w:tr2bl w:val="nil"/>
                  </w:tcBorders>
                  <w:tcMar>
                    <w:left w:w="0" w:type="dxa"/>
                    <w:right w:w="0" w:type="dxa"/>
                  </w:tcMar>
                  <w:vAlign w:val="center"/>
                </w:tcPr>
                <w:p w14:paraId="32822519">
                  <w:pPr>
                    <w:jc w:val="center"/>
                    <w:rPr>
                      <w:rFonts w:hint="default" w:ascii="Times New Roman" w:hAnsi="Times New Roman" w:eastAsia="宋体" w:cs="Times New Roman"/>
                      <w:sz w:val="21"/>
                      <w:szCs w:val="21"/>
                    </w:rPr>
                  </w:pPr>
                </w:p>
              </w:tc>
              <w:tc>
                <w:tcPr>
                  <w:tcW w:w="461" w:type="pct"/>
                  <w:vMerge w:val="continue"/>
                  <w:tcBorders>
                    <w:tl2br w:val="nil"/>
                    <w:tr2bl w:val="nil"/>
                  </w:tcBorders>
                  <w:tcMar>
                    <w:left w:w="0" w:type="dxa"/>
                    <w:right w:w="0" w:type="dxa"/>
                  </w:tcMar>
                  <w:vAlign w:val="center"/>
                </w:tcPr>
                <w:p w14:paraId="2413E2E0">
                  <w:pPr>
                    <w:autoSpaceDE w:val="0"/>
                    <w:autoSpaceDN w:val="0"/>
                    <w:adjustRightInd w:val="0"/>
                    <w:spacing w:line="320" w:lineRule="exact"/>
                    <w:jc w:val="center"/>
                    <w:rPr>
                      <w:rFonts w:hint="default" w:ascii="Times New Roman" w:hAnsi="Times New Roman" w:eastAsia="宋体" w:cs="Times New Roman"/>
                      <w:sz w:val="21"/>
                      <w:szCs w:val="21"/>
                      <w:lang w:val="en-US"/>
                    </w:rPr>
                  </w:pPr>
                </w:p>
              </w:tc>
              <w:tc>
                <w:tcPr>
                  <w:tcW w:w="1013" w:type="pct"/>
                  <w:tcBorders>
                    <w:tl2br w:val="nil"/>
                    <w:tr2bl w:val="nil"/>
                  </w:tcBorders>
                  <w:tcMar>
                    <w:left w:w="0" w:type="dxa"/>
                    <w:right w:w="0" w:type="dxa"/>
                  </w:tcMar>
                  <w:vAlign w:val="center"/>
                </w:tcPr>
                <w:p w14:paraId="5915E1B5">
                  <w:pPr>
                    <w:autoSpaceDE w:val="0"/>
                    <w:autoSpaceDN w:val="0"/>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施工扬尘</w:t>
                  </w:r>
                </w:p>
              </w:tc>
              <w:tc>
                <w:tcPr>
                  <w:tcW w:w="2343" w:type="pct"/>
                  <w:tcBorders>
                    <w:tl2br w:val="nil"/>
                    <w:tr2bl w:val="nil"/>
                  </w:tcBorders>
                  <w:vAlign w:val="center"/>
                </w:tcPr>
                <w:p w14:paraId="67470967">
                  <w:pPr>
                    <w:autoSpaceDE w:val="0"/>
                    <w:autoSpaceDN w:val="0"/>
                    <w:adjustRightIn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bidi="ar"/>
                    </w:rPr>
                    <w:t>进行湿式作业，必要时洒水降尘</w:t>
                  </w:r>
                </w:p>
              </w:tc>
              <w:tc>
                <w:tcPr>
                  <w:tcW w:w="755" w:type="pct"/>
                  <w:tcBorders>
                    <w:tl2br w:val="nil"/>
                    <w:tr2bl w:val="nil"/>
                  </w:tcBorders>
                  <w:vAlign w:val="center"/>
                </w:tcPr>
                <w:p w14:paraId="77D14684">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5</w:t>
                  </w:r>
                </w:p>
              </w:tc>
            </w:tr>
            <w:tr w14:paraId="3A65F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26" w:type="pct"/>
                  <w:vMerge w:val="continue"/>
                  <w:tcBorders>
                    <w:tl2br w:val="nil"/>
                    <w:tr2bl w:val="nil"/>
                  </w:tcBorders>
                  <w:tcMar>
                    <w:left w:w="0" w:type="dxa"/>
                    <w:right w:w="0" w:type="dxa"/>
                  </w:tcMar>
                  <w:vAlign w:val="center"/>
                </w:tcPr>
                <w:p w14:paraId="12197D86">
                  <w:pPr>
                    <w:jc w:val="center"/>
                    <w:rPr>
                      <w:rFonts w:hint="default" w:ascii="Times New Roman" w:hAnsi="Times New Roman" w:eastAsia="宋体" w:cs="Times New Roman"/>
                      <w:sz w:val="21"/>
                      <w:szCs w:val="21"/>
                    </w:rPr>
                  </w:pPr>
                </w:p>
              </w:tc>
              <w:tc>
                <w:tcPr>
                  <w:tcW w:w="461" w:type="pct"/>
                  <w:vMerge w:val="continue"/>
                  <w:tcBorders>
                    <w:tl2br w:val="nil"/>
                    <w:tr2bl w:val="nil"/>
                  </w:tcBorders>
                  <w:tcMar>
                    <w:left w:w="0" w:type="dxa"/>
                    <w:right w:w="0" w:type="dxa"/>
                  </w:tcMar>
                  <w:vAlign w:val="center"/>
                </w:tcPr>
                <w:p w14:paraId="382A1561">
                  <w:pPr>
                    <w:autoSpaceDE w:val="0"/>
                    <w:autoSpaceDN w:val="0"/>
                    <w:adjustRightInd w:val="0"/>
                    <w:spacing w:line="320" w:lineRule="exact"/>
                    <w:jc w:val="center"/>
                    <w:rPr>
                      <w:rFonts w:hint="default" w:ascii="Times New Roman" w:hAnsi="Times New Roman" w:eastAsia="宋体" w:cs="Times New Roman"/>
                      <w:sz w:val="21"/>
                      <w:szCs w:val="21"/>
                      <w:lang w:val="en-US"/>
                    </w:rPr>
                  </w:pPr>
                </w:p>
              </w:tc>
              <w:tc>
                <w:tcPr>
                  <w:tcW w:w="1013" w:type="pct"/>
                  <w:tcBorders>
                    <w:tl2br w:val="nil"/>
                    <w:tr2bl w:val="nil"/>
                  </w:tcBorders>
                  <w:tcMar>
                    <w:left w:w="0" w:type="dxa"/>
                    <w:right w:w="0" w:type="dxa"/>
                  </w:tcMar>
                  <w:vAlign w:val="center"/>
                </w:tcPr>
                <w:p w14:paraId="7CD3F6B0">
                  <w:pPr>
                    <w:autoSpaceDE w:val="0"/>
                    <w:autoSpaceDN w:val="0"/>
                    <w:adjustRightInd w:val="0"/>
                    <w:spacing w:line="320" w:lineRule="exact"/>
                    <w:jc w:val="center"/>
                    <w:rPr>
                      <w:rFonts w:hint="default" w:ascii="Times New Roman" w:hAnsi="Times New Roman" w:eastAsia="宋体" w:cs="Times New Roman"/>
                      <w:sz w:val="21"/>
                      <w:szCs w:val="21"/>
                      <w:lang w:bidi="ar"/>
                    </w:rPr>
                  </w:pPr>
                  <w:r>
                    <w:rPr>
                      <w:rFonts w:hint="eastAsia" w:ascii="Times New Roman" w:hAnsi="Times New Roman" w:eastAsia="宋体" w:cs="Times New Roman"/>
                      <w:sz w:val="21"/>
                      <w:szCs w:val="21"/>
                      <w:lang w:val="en-US" w:eastAsia="zh-CN" w:bidi="ar"/>
                    </w:rPr>
                    <w:t xml:space="preserve">污泥干化 </w:t>
                  </w:r>
                </w:p>
                <w:p w14:paraId="6A9CA35C">
                  <w:pPr>
                    <w:autoSpaceDE w:val="0"/>
                    <w:autoSpaceDN w:val="0"/>
                    <w:adjustRightInd w:val="0"/>
                    <w:spacing w:line="320" w:lineRule="exact"/>
                    <w:jc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场恶臭</w:t>
                  </w:r>
                </w:p>
              </w:tc>
              <w:tc>
                <w:tcPr>
                  <w:tcW w:w="2343" w:type="pct"/>
                  <w:tcBorders>
                    <w:tl2br w:val="nil"/>
                    <w:tr2bl w:val="nil"/>
                  </w:tcBorders>
                  <w:vAlign w:val="center"/>
                </w:tcPr>
                <w:p w14:paraId="294F8C90">
                  <w:pPr>
                    <w:autoSpaceDE w:val="0"/>
                    <w:autoSpaceDN w:val="0"/>
                    <w:adjustRightInd w:val="0"/>
                    <w:spacing w:line="320" w:lineRule="exact"/>
                    <w:jc w:val="center"/>
                    <w:rPr>
                      <w:rFonts w:hint="default"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围堰或围挡、淤泥干化场表面铺设塑料薄膜镂空覆盖，喷洒除臭药剂的方法来抑制恶臭产生量；加强挖泥船和泥驳船作业管理，加快底泥干化作业。</w:t>
                  </w:r>
                </w:p>
              </w:tc>
              <w:tc>
                <w:tcPr>
                  <w:tcW w:w="755" w:type="pct"/>
                  <w:tcBorders>
                    <w:tl2br w:val="nil"/>
                    <w:tr2bl w:val="nil"/>
                  </w:tcBorders>
                  <w:vAlign w:val="center"/>
                </w:tcPr>
                <w:p w14:paraId="4CF5845A">
                  <w:pPr>
                    <w:jc w:val="center"/>
                    <w:rPr>
                      <w:rFonts w:hint="default" w:cs="Times New Roman"/>
                      <w:sz w:val="21"/>
                      <w:szCs w:val="21"/>
                      <w:lang w:val="en-US" w:eastAsia="zh-CN"/>
                    </w:rPr>
                  </w:pPr>
                  <w:r>
                    <w:rPr>
                      <w:rFonts w:hint="eastAsia" w:cs="Times New Roman"/>
                      <w:sz w:val="21"/>
                      <w:szCs w:val="21"/>
                      <w:lang w:val="en-US" w:eastAsia="zh-CN"/>
                    </w:rPr>
                    <w:t>30</w:t>
                  </w:r>
                </w:p>
              </w:tc>
            </w:tr>
            <w:tr w14:paraId="67C52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26" w:type="pct"/>
                  <w:vMerge w:val="continue"/>
                  <w:tcBorders>
                    <w:tl2br w:val="nil"/>
                    <w:tr2bl w:val="nil"/>
                  </w:tcBorders>
                  <w:tcMar>
                    <w:left w:w="0" w:type="dxa"/>
                    <w:right w:w="0" w:type="dxa"/>
                  </w:tcMar>
                  <w:vAlign w:val="center"/>
                </w:tcPr>
                <w:p w14:paraId="3D47862E">
                  <w:pPr>
                    <w:jc w:val="center"/>
                    <w:rPr>
                      <w:rFonts w:hint="default" w:ascii="Times New Roman" w:hAnsi="Times New Roman" w:eastAsia="宋体" w:cs="Times New Roman"/>
                      <w:sz w:val="21"/>
                      <w:szCs w:val="21"/>
                    </w:rPr>
                  </w:pPr>
                </w:p>
              </w:tc>
              <w:tc>
                <w:tcPr>
                  <w:tcW w:w="461" w:type="pct"/>
                  <w:tcBorders>
                    <w:tl2br w:val="nil"/>
                    <w:tr2bl w:val="nil"/>
                  </w:tcBorders>
                  <w:tcMar>
                    <w:left w:w="0" w:type="dxa"/>
                    <w:right w:w="0" w:type="dxa"/>
                  </w:tcMar>
                  <w:vAlign w:val="center"/>
                </w:tcPr>
                <w:p w14:paraId="1B6B4B84">
                  <w:pPr>
                    <w:autoSpaceDE w:val="0"/>
                    <w:autoSpaceDN w:val="0"/>
                    <w:adjustRightInd w:val="0"/>
                    <w:spacing w:line="320" w:lineRule="exact"/>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运营期</w:t>
                  </w:r>
                </w:p>
              </w:tc>
              <w:tc>
                <w:tcPr>
                  <w:tcW w:w="1013" w:type="pct"/>
                  <w:tcBorders>
                    <w:tl2br w:val="nil"/>
                    <w:tr2bl w:val="nil"/>
                  </w:tcBorders>
                  <w:tcMar>
                    <w:left w:w="0" w:type="dxa"/>
                    <w:right w:w="0" w:type="dxa"/>
                  </w:tcMar>
                  <w:vAlign w:val="center"/>
                </w:tcPr>
                <w:p w14:paraId="3E336FB6">
                  <w:pPr>
                    <w:autoSpaceDE w:val="0"/>
                    <w:autoSpaceDN w:val="0"/>
                    <w:adjustRightInd w:val="0"/>
                    <w:spacing w:line="320" w:lineRule="exact"/>
                    <w:jc w:val="center"/>
                    <w:rPr>
                      <w:rFonts w:hint="eastAsia" w:cs="Times New Roman"/>
                      <w:sz w:val="21"/>
                      <w:szCs w:val="21"/>
                      <w:lang w:val="en-US" w:eastAsia="zh-CN"/>
                    </w:rPr>
                  </w:pPr>
                  <w:r>
                    <w:rPr>
                      <w:rFonts w:hint="eastAsia" w:cs="Times New Roman"/>
                      <w:sz w:val="21"/>
                      <w:szCs w:val="21"/>
                      <w:lang w:val="en-US" w:eastAsia="zh-CN" w:bidi="ar"/>
                    </w:rPr>
                    <w:t>燃油废气</w:t>
                  </w:r>
                </w:p>
              </w:tc>
              <w:tc>
                <w:tcPr>
                  <w:tcW w:w="2343" w:type="pct"/>
                  <w:tcBorders>
                    <w:tl2br w:val="nil"/>
                    <w:tr2bl w:val="nil"/>
                  </w:tcBorders>
                  <w:vAlign w:val="center"/>
                </w:tcPr>
                <w:p w14:paraId="7DEA0992">
                  <w:pPr>
                    <w:autoSpaceDE w:val="0"/>
                    <w:autoSpaceDN w:val="0"/>
                    <w:adjustRightInd w:val="0"/>
                    <w:spacing w:line="320" w:lineRule="exact"/>
                    <w:jc w:val="center"/>
                    <w:rPr>
                      <w:rFonts w:hint="default" w:ascii="Times New Roman" w:hAnsi="Times New Roman" w:eastAsia="宋体" w:cs="Times New Roman"/>
                      <w:sz w:val="21"/>
                      <w:szCs w:val="21"/>
                      <w:lang w:val="en-US" w:eastAsia="zh-CN" w:bidi="ar"/>
                    </w:rPr>
                  </w:pPr>
                  <w:r>
                    <w:rPr>
                      <w:rFonts w:hint="eastAsia" w:cs="Times New Roman"/>
                      <w:b w:val="0"/>
                      <w:bCs/>
                      <w:sz w:val="21"/>
                      <w:szCs w:val="21"/>
                      <w:lang w:val="en-US" w:eastAsia="zh-CN"/>
                    </w:rPr>
                    <w:t>进港船舶</w:t>
                  </w:r>
                  <w:r>
                    <w:rPr>
                      <w:rFonts w:hint="default" w:ascii="Times New Roman" w:hAnsi="Times New Roman" w:eastAsia="宋体" w:cs="Times New Roman"/>
                      <w:bCs/>
                      <w:sz w:val="21"/>
                      <w:szCs w:val="21"/>
                    </w:rPr>
                    <w:t>选用符合环保要求的燃料</w:t>
                  </w:r>
                  <w:r>
                    <w:rPr>
                      <w:rFonts w:hint="eastAsia" w:cs="Times New Roman"/>
                      <w:bCs/>
                      <w:sz w:val="21"/>
                      <w:szCs w:val="21"/>
                      <w:lang w:eastAsia="zh-CN"/>
                    </w:rPr>
                    <w:t>，</w:t>
                  </w:r>
                  <w:r>
                    <w:rPr>
                      <w:rFonts w:hint="eastAsia" w:cs="Times New Roman"/>
                      <w:bCs/>
                      <w:sz w:val="21"/>
                      <w:szCs w:val="21"/>
                      <w:lang w:val="en-US" w:eastAsia="zh-CN"/>
                    </w:rPr>
                    <w:t>优先使用岸电</w:t>
                  </w:r>
                </w:p>
              </w:tc>
              <w:tc>
                <w:tcPr>
                  <w:tcW w:w="755" w:type="pct"/>
                  <w:tcBorders>
                    <w:tl2br w:val="nil"/>
                    <w:tr2bl w:val="nil"/>
                  </w:tcBorders>
                  <w:vAlign w:val="center"/>
                </w:tcPr>
                <w:p w14:paraId="054141B7">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14:paraId="32EEA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tcBorders>
                    <w:tl2br w:val="nil"/>
                    <w:tr2bl w:val="nil"/>
                  </w:tcBorders>
                  <w:tcMar>
                    <w:left w:w="0" w:type="dxa"/>
                    <w:right w:w="0" w:type="dxa"/>
                  </w:tcMar>
                  <w:vAlign w:val="center"/>
                </w:tcPr>
                <w:p w14:paraId="4EEB3FE3">
                  <w:pPr>
                    <w:autoSpaceDE w:val="0"/>
                    <w:autoSpaceDN w:val="0"/>
                    <w:adjustRightIn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废水</w:t>
                  </w:r>
                </w:p>
              </w:tc>
              <w:tc>
                <w:tcPr>
                  <w:tcW w:w="461" w:type="pct"/>
                  <w:vMerge w:val="restart"/>
                  <w:tcBorders>
                    <w:tl2br w:val="nil"/>
                    <w:tr2bl w:val="nil"/>
                  </w:tcBorders>
                  <w:tcMar>
                    <w:left w:w="0" w:type="dxa"/>
                    <w:right w:w="0" w:type="dxa"/>
                  </w:tcMar>
                  <w:vAlign w:val="center"/>
                </w:tcPr>
                <w:p w14:paraId="3506F70D">
                  <w:pPr>
                    <w:autoSpaceDE w:val="0"/>
                    <w:autoSpaceDN w:val="0"/>
                    <w:adjustRightInd w:val="0"/>
                    <w:spacing w:line="320" w:lineRule="exact"/>
                    <w:jc w:val="center"/>
                    <w:rPr>
                      <w:rFonts w:hint="default" w:ascii="Times New Roman" w:hAnsi="Times New Roman" w:eastAsia="宋体" w:cs="Times New Roman"/>
                      <w:sz w:val="21"/>
                      <w:szCs w:val="21"/>
                    </w:rPr>
                  </w:pPr>
                  <w:r>
                    <w:rPr>
                      <w:rFonts w:hint="eastAsia" w:cs="Times New Roman"/>
                      <w:sz w:val="21"/>
                      <w:szCs w:val="21"/>
                      <w:lang w:val="en-US" w:eastAsia="zh-CN"/>
                    </w:rPr>
                    <w:t>施工期</w:t>
                  </w:r>
                </w:p>
              </w:tc>
              <w:tc>
                <w:tcPr>
                  <w:tcW w:w="1013" w:type="pct"/>
                  <w:tcBorders>
                    <w:tl2br w:val="nil"/>
                    <w:tr2bl w:val="nil"/>
                  </w:tcBorders>
                  <w:tcMar>
                    <w:left w:w="0" w:type="dxa"/>
                    <w:right w:w="0" w:type="dxa"/>
                  </w:tcMar>
                  <w:vAlign w:val="center"/>
                </w:tcPr>
                <w:p w14:paraId="2E96DAD6">
                  <w:pPr>
                    <w:autoSpaceDE w:val="0"/>
                    <w:autoSpaceDN w:val="0"/>
                    <w:adjustRightInd w:val="0"/>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bidi="ar"/>
                    </w:rPr>
                    <w:t>船舶生活污水</w:t>
                  </w:r>
                </w:p>
              </w:tc>
              <w:tc>
                <w:tcPr>
                  <w:tcW w:w="2343" w:type="pct"/>
                  <w:tcBorders>
                    <w:tl2br w:val="nil"/>
                    <w:tr2bl w:val="nil"/>
                  </w:tcBorders>
                  <w:vAlign w:val="center"/>
                </w:tcPr>
                <w:p w14:paraId="0F535838">
                  <w:pPr>
                    <w:autoSpaceDE w:val="0"/>
                    <w:autoSpaceDN w:val="0"/>
                    <w:adjustRightInd w:val="0"/>
                    <w:spacing w:line="320" w:lineRule="exact"/>
                    <w:jc w:val="center"/>
                    <w:rPr>
                      <w:rFonts w:hint="default" w:ascii="Times New Roman" w:hAnsi="Times New Roman" w:eastAsia="宋体" w:cs="Times New Roman"/>
                      <w:sz w:val="21"/>
                      <w:szCs w:val="21"/>
                    </w:rPr>
                  </w:pPr>
                  <w:r>
                    <w:rPr>
                      <w:rFonts w:hint="eastAsia" w:ascii="仿宋_GB2312" w:hAnsi="宋体" w:cs="宋体"/>
                      <w:color w:val="auto"/>
                      <w:kern w:val="0"/>
                      <w:sz w:val="21"/>
                      <w:szCs w:val="21"/>
                    </w:rPr>
                    <w:t>由具备相应作业资质的污水接收船接收处理，运送到岸上集中处理</w:t>
                  </w:r>
                </w:p>
              </w:tc>
              <w:tc>
                <w:tcPr>
                  <w:tcW w:w="755" w:type="pct"/>
                  <w:vMerge w:val="restart"/>
                  <w:tcBorders>
                    <w:tl2br w:val="nil"/>
                    <w:tr2bl w:val="nil"/>
                  </w:tcBorders>
                  <w:vAlign w:val="center"/>
                </w:tcPr>
                <w:p w14:paraId="3D1D3B4F">
                  <w:pPr>
                    <w:autoSpaceDE w:val="0"/>
                    <w:autoSpaceDN w:val="0"/>
                    <w:adjustRightInd w:val="0"/>
                    <w:spacing w:line="32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200</w:t>
                  </w:r>
                </w:p>
              </w:tc>
            </w:tr>
            <w:tr w14:paraId="4E383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tcMar>
                    <w:left w:w="0" w:type="dxa"/>
                    <w:right w:w="0" w:type="dxa"/>
                  </w:tcMar>
                  <w:vAlign w:val="center"/>
                </w:tcPr>
                <w:p w14:paraId="2A96BB6C">
                  <w:pPr>
                    <w:autoSpaceDE w:val="0"/>
                    <w:autoSpaceDN w:val="0"/>
                    <w:adjustRightInd w:val="0"/>
                    <w:spacing w:line="320" w:lineRule="exact"/>
                    <w:jc w:val="center"/>
                    <w:rPr>
                      <w:rFonts w:hint="default" w:ascii="Times New Roman" w:hAnsi="Times New Roman" w:eastAsia="宋体" w:cs="Times New Roman"/>
                      <w:sz w:val="21"/>
                      <w:szCs w:val="21"/>
                      <w:lang w:bidi="ar"/>
                    </w:rPr>
                  </w:pPr>
                </w:p>
              </w:tc>
              <w:tc>
                <w:tcPr>
                  <w:tcW w:w="461" w:type="pct"/>
                  <w:vMerge w:val="continue"/>
                  <w:tcBorders>
                    <w:tl2br w:val="nil"/>
                    <w:tr2bl w:val="nil"/>
                  </w:tcBorders>
                  <w:tcMar>
                    <w:left w:w="0" w:type="dxa"/>
                    <w:right w:w="0" w:type="dxa"/>
                  </w:tcMar>
                  <w:vAlign w:val="center"/>
                </w:tcPr>
                <w:p w14:paraId="37BBC988">
                  <w:pPr>
                    <w:autoSpaceDE w:val="0"/>
                    <w:autoSpaceDN w:val="0"/>
                    <w:adjustRightInd w:val="0"/>
                    <w:spacing w:line="320" w:lineRule="exact"/>
                    <w:jc w:val="center"/>
                    <w:rPr>
                      <w:rFonts w:hint="eastAsia" w:cs="Times New Roman"/>
                      <w:sz w:val="21"/>
                      <w:szCs w:val="21"/>
                      <w:lang w:val="en-US" w:eastAsia="zh-CN"/>
                    </w:rPr>
                  </w:pPr>
                </w:p>
              </w:tc>
              <w:tc>
                <w:tcPr>
                  <w:tcW w:w="1013" w:type="pct"/>
                  <w:tcBorders>
                    <w:tl2br w:val="nil"/>
                    <w:tr2bl w:val="nil"/>
                  </w:tcBorders>
                  <w:tcMar>
                    <w:left w:w="0" w:type="dxa"/>
                    <w:right w:w="0" w:type="dxa"/>
                  </w:tcMar>
                  <w:vAlign w:val="center"/>
                </w:tcPr>
                <w:p w14:paraId="62066FD5">
                  <w:pPr>
                    <w:autoSpaceDE w:val="0"/>
                    <w:autoSpaceDN w:val="0"/>
                    <w:adjustRightInd w:val="0"/>
                    <w:spacing w:line="320" w:lineRule="exact"/>
                    <w:jc w:val="center"/>
                    <w:rPr>
                      <w:rFonts w:hint="default" w:ascii="Times New Roman" w:hAnsi="Times New Roman" w:eastAsia="宋体" w:cs="Times New Roman"/>
                      <w:sz w:val="21"/>
                      <w:szCs w:val="21"/>
                      <w:lang w:bidi="ar"/>
                    </w:rPr>
                  </w:pPr>
                  <w:r>
                    <w:rPr>
                      <w:rFonts w:hint="default" w:ascii="Times New Roman" w:hAnsi="Times New Roman" w:eastAsia="宋体" w:cs="Times New Roman"/>
                      <w:sz w:val="21"/>
                      <w:szCs w:val="21"/>
                      <w:lang w:bidi="ar"/>
                    </w:rPr>
                    <w:t>船舶含油污水</w:t>
                  </w:r>
                </w:p>
              </w:tc>
              <w:tc>
                <w:tcPr>
                  <w:tcW w:w="2343" w:type="pct"/>
                  <w:tcBorders>
                    <w:tl2br w:val="nil"/>
                    <w:tr2bl w:val="nil"/>
                  </w:tcBorders>
                  <w:vAlign w:val="center"/>
                </w:tcPr>
                <w:p w14:paraId="43B82701">
                  <w:pPr>
                    <w:autoSpaceDE w:val="0"/>
                    <w:autoSpaceDN w:val="0"/>
                    <w:adjustRightInd w:val="0"/>
                    <w:spacing w:line="320" w:lineRule="exact"/>
                    <w:jc w:val="center"/>
                    <w:rPr>
                      <w:rFonts w:hint="default" w:ascii="Times New Roman" w:hAnsi="Times New Roman" w:eastAsia="宋体" w:cs="Times New Roman"/>
                      <w:sz w:val="21"/>
                      <w:szCs w:val="21"/>
                      <w:lang w:bidi="ar"/>
                    </w:rPr>
                  </w:pPr>
                  <w:r>
                    <w:rPr>
                      <w:rFonts w:hint="eastAsia"/>
                      <w:color w:val="auto"/>
                      <w:kern w:val="0"/>
                      <w:sz w:val="21"/>
                      <w:szCs w:val="21"/>
                    </w:rPr>
                    <w:t>由当地交通运输部门认可的有资质的</w:t>
                  </w:r>
                  <w:r>
                    <w:rPr>
                      <w:rFonts w:hint="eastAsia"/>
                      <w:color w:val="auto"/>
                      <w:kern w:val="0"/>
                      <w:sz w:val="21"/>
                      <w:szCs w:val="21"/>
                      <w:lang w:val="en-US" w:eastAsia="zh-CN"/>
                    </w:rPr>
                    <w:t>单位</w:t>
                  </w:r>
                  <w:r>
                    <w:rPr>
                      <w:rFonts w:hint="eastAsia"/>
                      <w:color w:val="auto"/>
                      <w:kern w:val="0"/>
                      <w:sz w:val="21"/>
                      <w:szCs w:val="21"/>
                    </w:rPr>
                    <w:t>接收处理</w:t>
                  </w:r>
                </w:p>
              </w:tc>
              <w:tc>
                <w:tcPr>
                  <w:tcW w:w="755" w:type="pct"/>
                  <w:vMerge w:val="continue"/>
                  <w:tcBorders>
                    <w:tl2br w:val="nil"/>
                    <w:tr2bl w:val="nil"/>
                  </w:tcBorders>
                  <w:vAlign w:val="center"/>
                </w:tcPr>
                <w:p w14:paraId="039808A4">
                  <w:pPr>
                    <w:autoSpaceDE w:val="0"/>
                    <w:autoSpaceDN w:val="0"/>
                    <w:adjustRightInd w:val="0"/>
                    <w:spacing w:line="320" w:lineRule="exact"/>
                    <w:jc w:val="center"/>
                    <w:rPr>
                      <w:rFonts w:hint="default" w:ascii="Times New Roman" w:hAnsi="Times New Roman" w:eastAsia="宋体" w:cs="Times New Roman"/>
                      <w:sz w:val="21"/>
                      <w:szCs w:val="21"/>
                      <w:lang w:val="en-US" w:eastAsia="zh-CN"/>
                    </w:rPr>
                  </w:pPr>
                </w:p>
              </w:tc>
            </w:tr>
            <w:tr w14:paraId="5D68A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tcMar>
                    <w:left w:w="0" w:type="dxa"/>
                    <w:right w:w="0" w:type="dxa"/>
                  </w:tcMar>
                  <w:vAlign w:val="center"/>
                </w:tcPr>
                <w:p w14:paraId="5785AAF2">
                  <w:pPr>
                    <w:jc w:val="center"/>
                    <w:rPr>
                      <w:rFonts w:hint="default" w:ascii="Times New Roman" w:hAnsi="Times New Roman" w:eastAsia="宋体" w:cs="Times New Roman"/>
                      <w:sz w:val="21"/>
                      <w:szCs w:val="21"/>
                    </w:rPr>
                  </w:pPr>
                </w:p>
              </w:tc>
              <w:tc>
                <w:tcPr>
                  <w:tcW w:w="461" w:type="pct"/>
                  <w:vMerge w:val="continue"/>
                  <w:tcBorders>
                    <w:tl2br w:val="nil"/>
                    <w:tr2bl w:val="nil"/>
                  </w:tcBorders>
                  <w:tcMar>
                    <w:left w:w="0" w:type="dxa"/>
                    <w:right w:w="0" w:type="dxa"/>
                  </w:tcMar>
                  <w:vAlign w:val="center"/>
                </w:tcPr>
                <w:p w14:paraId="0CE533AA">
                  <w:pPr>
                    <w:autoSpaceDE w:val="0"/>
                    <w:autoSpaceDN w:val="0"/>
                    <w:adjustRightInd w:val="0"/>
                    <w:spacing w:line="320" w:lineRule="exact"/>
                    <w:jc w:val="center"/>
                    <w:rPr>
                      <w:rFonts w:hint="default" w:ascii="Times New Roman" w:hAnsi="Times New Roman" w:eastAsia="宋体" w:cs="Times New Roman"/>
                      <w:sz w:val="21"/>
                      <w:szCs w:val="21"/>
                    </w:rPr>
                  </w:pPr>
                </w:p>
              </w:tc>
              <w:tc>
                <w:tcPr>
                  <w:tcW w:w="1013" w:type="pct"/>
                  <w:tcBorders>
                    <w:tl2br w:val="nil"/>
                    <w:tr2bl w:val="nil"/>
                  </w:tcBorders>
                  <w:tcMar>
                    <w:left w:w="0" w:type="dxa"/>
                    <w:right w:w="0" w:type="dxa"/>
                  </w:tcMar>
                  <w:vAlign w:val="center"/>
                </w:tcPr>
                <w:p w14:paraId="6379C4E0">
                  <w:pPr>
                    <w:autoSpaceDE w:val="0"/>
                    <w:autoSpaceDN w:val="0"/>
                    <w:adjustRightInd w:val="0"/>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bidi="ar"/>
                    </w:rPr>
                    <w:t>施工扰动水质影响</w:t>
                  </w:r>
                </w:p>
              </w:tc>
              <w:tc>
                <w:tcPr>
                  <w:tcW w:w="2343" w:type="pct"/>
                  <w:tcBorders>
                    <w:tl2br w:val="nil"/>
                    <w:tr2bl w:val="nil"/>
                  </w:tcBorders>
                  <w:vAlign w:val="center"/>
                </w:tcPr>
                <w:p w14:paraId="5996EF1A">
                  <w:pPr>
                    <w:autoSpaceDE w:val="0"/>
                    <w:autoSpaceDN w:val="0"/>
                    <w:adjustRightInd w:val="0"/>
                    <w:spacing w:line="320" w:lineRule="exact"/>
                    <w:jc w:val="center"/>
                    <w:rPr>
                      <w:rFonts w:hint="default" w:ascii="Times New Roman" w:hAnsi="Times New Roman" w:eastAsia="宋体" w:cs="Times New Roman"/>
                      <w:sz w:val="21"/>
                      <w:szCs w:val="21"/>
                      <w:lang w:val="en-US"/>
                    </w:rPr>
                  </w:pPr>
                  <w:r>
                    <w:rPr>
                      <w:rFonts w:hint="eastAsia" w:cs="Times New Roman"/>
                      <w:bCs/>
                      <w:sz w:val="21"/>
                      <w:szCs w:val="21"/>
                      <w:lang w:val="en-US" w:eastAsia="zh-CN"/>
                    </w:rPr>
                    <w:t>涉及省考断面处施工设置防淤帘，</w:t>
                  </w:r>
                  <w:r>
                    <w:rPr>
                      <w:rFonts w:hint="eastAsia" w:cs="Times New Roman"/>
                      <w:b w:val="0"/>
                      <w:bCs/>
                      <w:sz w:val="21"/>
                      <w:szCs w:val="21"/>
                      <w:lang w:eastAsia="zh-CN"/>
                    </w:rPr>
                    <w:t>优化施工设备和工艺，</w:t>
                  </w:r>
                  <w:r>
                    <w:rPr>
                      <w:rFonts w:hint="eastAsia" w:cs="Times New Roman"/>
                      <w:bCs/>
                      <w:sz w:val="21"/>
                      <w:szCs w:val="21"/>
                      <w:lang w:val="en-US" w:eastAsia="zh-CN"/>
                    </w:rPr>
                    <w:t>采用选用对水质影响小的施工船舶和施工方式，</w:t>
                  </w:r>
                </w:p>
              </w:tc>
              <w:tc>
                <w:tcPr>
                  <w:tcW w:w="755" w:type="pct"/>
                  <w:vMerge w:val="continue"/>
                  <w:tcBorders>
                    <w:tl2br w:val="nil"/>
                    <w:tr2bl w:val="nil"/>
                  </w:tcBorders>
                  <w:vAlign w:val="center"/>
                </w:tcPr>
                <w:p w14:paraId="741AAADA">
                  <w:pPr>
                    <w:jc w:val="center"/>
                    <w:rPr>
                      <w:rFonts w:hint="default" w:ascii="Times New Roman" w:hAnsi="Times New Roman" w:eastAsia="宋体" w:cs="Times New Roman"/>
                      <w:sz w:val="21"/>
                      <w:szCs w:val="21"/>
                    </w:rPr>
                  </w:pPr>
                </w:p>
              </w:tc>
            </w:tr>
            <w:tr w14:paraId="4AC14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tcMar>
                    <w:left w:w="0" w:type="dxa"/>
                    <w:right w:w="0" w:type="dxa"/>
                  </w:tcMar>
                  <w:vAlign w:val="center"/>
                </w:tcPr>
                <w:p w14:paraId="19C387E5">
                  <w:pPr>
                    <w:jc w:val="center"/>
                    <w:rPr>
                      <w:rFonts w:hint="default" w:ascii="Times New Roman" w:hAnsi="Times New Roman" w:eastAsia="宋体" w:cs="Times New Roman"/>
                      <w:sz w:val="21"/>
                      <w:szCs w:val="21"/>
                    </w:rPr>
                  </w:pPr>
                </w:p>
              </w:tc>
              <w:tc>
                <w:tcPr>
                  <w:tcW w:w="461" w:type="pct"/>
                  <w:vMerge w:val="continue"/>
                  <w:tcBorders>
                    <w:tl2br w:val="nil"/>
                    <w:tr2bl w:val="nil"/>
                  </w:tcBorders>
                  <w:tcMar>
                    <w:left w:w="0" w:type="dxa"/>
                    <w:right w:w="0" w:type="dxa"/>
                  </w:tcMar>
                  <w:vAlign w:val="center"/>
                </w:tcPr>
                <w:p w14:paraId="444D92FD">
                  <w:pPr>
                    <w:autoSpaceDE w:val="0"/>
                    <w:autoSpaceDN w:val="0"/>
                    <w:adjustRightInd w:val="0"/>
                    <w:spacing w:line="320" w:lineRule="exact"/>
                    <w:jc w:val="center"/>
                    <w:rPr>
                      <w:rFonts w:hint="default" w:ascii="Times New Roman" w:hAnsi="Times New Roman" w:eastAsia="宋体" w:cs="Times New Roman"/>
                      <w:sz w:val="21"/>
                      <w:szCs w:val="21"/>
                    </w:rPr>
                  </w:pPr>
                </w:p>
              </w:tc>
              <w:tc>
                <w:tcPr>
                  <w:tcW w:w="1013" w:type="pct"/>
                  <w:tcBorders>
                    <w:tl2br w:val="nil"/>
                    <w:tr2bl w:val="nil"/>
                  </w:tcBorders>
                  <w:tcMar>
                    <w:left w:w="0" w:type="dxa"/>
                    <w:right w:w="0" w:type="dxa"/>
                  </w:tcMar>
                  <w:vAlign w:val="center"/>
                </w:tcPr>
                <w:p w14:paraId="5B8C1B39">
                  <w:pPr>
                    <w:autoSpaceDE w:val="0"/>
                    <w:autoSpaceDN w:val="0"/>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eastAsia" w:ascii="仿宋_GB2312" w:hAnsi="宋体" w:cs="宋体"/>
                      <w:color w:val="auto"/>
                      <w:kern w:val="0"/>
                      <w:sz w:val="21"/>
                      <w:szCs w:val="21"/>
                      <w:lang w:val="en-US" w:eastAsia="zh-CN"/>
                    </w:rPr>
                    <w:t>陆域生活污水</w:t>
                  </w:r>
                </w:p>
              </w:tc>
              <w:tc>
                <w:tcPr>
                  <w:tcW w:w="2343" w:type="pct"/>
                  <w:tcBorders>
                    <w:tl2br w:val="nil"/>
                    <w:tr2bl w:val="nil"/>
                  </w:tcBorders>
                  <w:vAlign w:val="center"/>
                </w:tcPr>
                <w:p w14:paraId="7ADAB2F8">
                  <w:pPr>
                    <w:autoSpaceDE w:val="0"/>
                    <w:autoSpaceDN w:val="0"/>
                    <w:adjustRightInd w:val="0"/>
                    <w:spacing w:line="320" w:lineRule="exact"/>
                    <w:jc w:val="center"/>
                    <w:rPr>
                      <w:rFonts w:hint="default" w:ascii="Times New Roman" w:hAnsi="Times New Roman" w:eastAsia="宋体" w:cs="Times New Roman"/>
                      <w:sz w:val="21"/>
                      <w:szCs w:val="21"/>
                      <w:lang w:eastAsia="zh-CN"/>
                    </w:rPr>
                  </w:pPr>
                  <w:r>
                    <w:rPr>
                      <w:rFonts w:hint="eastAsia" w:ascii="仿宋_GB2312" w:hAnsi="宋体" w:cs="宋体"/>
                      <w:color w:val="auto"/>
                      <w:kern w:val="0"/>
                      <w:sz w:val="21"/>
                      <w:szCs w:val="21"/>
                      <w:lang w:val="en-US" w:eastAsia="zh-CN"/>
                    </w:rPr>
                    <w:t>陆域施工人员生活依托当地居民设施，陆域生活污水接管市政污水管网</w:t>
                  </w:r>
                </w:p>
              </w:tc>
              <w:tc>
                <w:tcPr>
                  <w:tcW w:w="755" w:type="pct"/>
                  <w:vMerge w:val="continue"/>
                  <w:tcBorders>
                    <w:tl2br w:val="nil"/>
                    <w:tr2bl w:val="nil"/>
                  </w:tcBorders>
                  <w:vAlign w:val="center"/>
                </w:tcPr>
                <w:p w14:paraId="1B1033B2">
                  <w:pPr>
                    <w:autoSpaceDE w:val="0"/>
                    <w:autoSpaceDN w:val="0"/>
                    <w:adjustRightInd w:val="0"/>
                    <w:spacing w:line="320" w:lineRule="exact"/>
                    <w:jc w:val="center"/>
                    <w:rPr>
                      <w:rFonts w:hint="default" w:ascii="Times New Roman" w:hAnsi="Times New Roman" w:eastAsia="宋体" w:cs="Times New Roman"/>
                      <w:sz w:val="21"/>
                      <w:szCs w:val="21"/>
                    </w:rPr>
                  </w:pPr>
                </w:p>
              </w:tc>
            </w:tr>
            <w:tr w14:paraId="54109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tcMar>
                    <w:left w:w="0" w:type="dxa"/>
                    <w:right w:w="0" w:type="dxa"/>
                  </w:tcMar>
                  <w:vAlign w:val="center"/>
                </w:tcPr>
                <w:p w14:paraId="6B38D39F">
                  <w:pPr>
                    <w:jc w:val="center"/>
                    <w:rPr>
                      <w:rFonts w:hint="default" w:ascii="Times New Roman" w:hAnsi="Times New Roman" w:eastAsia="宋体" w:cs="Times New Roman"/>
                      <w:sz w:val="21"/>
                      <w:szCs w:val="21"/>
                    </w:rPr>
                  </w:pPr>
                </w:p>
              </w:tc>
              <w:tc>
                <w:tcPr>
                  <w:tcW w:w="461" w:type="pct"/>
                  <w:vMerge w:val="continue"/>
                  <w:tcBorders>
                    <w:tl2br w:val="nil"/>
                    <w:tr2bl w:val="nil"/>
                  </w:tcBorders>
                  <w:tcMar>
                    <w:left w:w="0" w:type="dxa"/>
                    <w:right w:w="0" w:type="dxa"/>
                  </w:tcMar>
                  <w:vAlign w:val="center"/>
                </w:tcPr>
                <w:p w14:paraId="6F884CF8">
                  <w:pPr>
                    <w:autoSpaceDE w:val="0"/>
                    <w:autoSpaceDN w:val="0"/>
                    <w:adjustRightInd w:val="0"/>
                    <w:spacing w:line="320" w:lineRule="exact"/>
                    <w:jc w:val="center"/>
                    <w:rPr>
                      <w:rFonts w:hint="default" w:ascii="Times New Roman" w:hAnsi="Times New Roman" w:eastAsia="宋体" w:cs="Times New Roman"/>
                      <w:sz w:val="21"/>
                      <w:szCs w:val="21"/>
                    </w:rPr>
                  </w:pPr>
                </w:p>
              </w:tc>
              <w:tc>
                <w:tcPr>
                  <w:tcW w:w="1013" w:type="pct"/>
                  <w:tcBorders>
                    <w:tl2br w:val="nil"/>
                    <w:tr2bl w:val="nil"/>
                  </w:tcBorders>
                  <w:tcMar>
                    <w:left w:w="0" w:type="dxa"/>
                    <w:right w:w="0" w:type="dxa"/>
                  </w:tcMar>
                  <w:vAlign w:val="center"/>
                </w:tcPr>
                <w:p w14:paraId="13FC67D1">
                  <w:pPr>
                    <w:autoSpaceDE w:val="0"/>
                    <w:autoSpaceDN w:val="0"/>
                    <w:adjustRightInd w:val="0"/>
                    <w:spacing w:line="320" w:lineRule="exact"/>
                    <w:jc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 xml:space="preserve">淤泥干化排水 </w:t>
                  </w:r>
                </w:p>
              </w:tc>
              <w:tc>
                <w:tcPr>
                  <w:tcW w:w="2343" w:type="pct"/>
                  <w:tcBorders>
                    <w:tl2br w:val="nil"/>
                    <w:tr2bl w:val="nil"/>
                  </w:tcBorders>
                  <w:vAlign w:val="center"/>
                </w:tcPr>
                <w:p w14:paraId="7D09AA56">
                  <w:pPr>
                    <w:autoSpaceDE w:val="0"/>
                    <w:autoSpaceDN w:val="0"/>
                    <w:adjustRightInd w:val="0"/>
                    <w:spacing w:line="320" w:lineRule="exact"/>
                    <w:jc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围堰、沉淀池</w:t>
                  </w:r>
                </w:p>
              </w:tc>
              <w:tc>
                <w:tcPr>
                  <w:tcW w:w="755" w:type="pct"/>
                  <w:vMerge w:val="continue"/>
                  <w:tcBorders>
                    <w:tl2br w:val="nil"/>
                    <w:tr2bl w:val="nil"/>
                  </w:tcBorders>
                  <w:vAlign w:val="center"/>
                </w:tcPr>
                <w:p w14:paraId="3F1F9EA5">
                  <w:pPr>
                    <w:autoSpaceDE w:val="0"/>
                    <w:autoSpaceDN w:val="0"/>
                    <w:adjustRightInd w:val="0"/>
                    <w:spacing w:line="320" w:lineRule="exact"/>
                    <w:jc w:val="center"/>
                    <w:rPr>
                      <w:rFonts w:hint="default" w:ascii="Times New Roman" w:hAnsi="Times New Roman" w:eastAsia="宋体" w:cs="Times New Roman"/>
                      <w:sz w:val="21"/>
                      <w:szCs w:val="21"/>
                    </w:rPr>
                  </w:pPr>
                </w:p>
              </w:tc>
            </w:tr>
            <w:tr w14:paraId="51D86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tcMar>
                    <w:left w:w="0" w:type="dxa"/>
                    <w:right w:w="0" w:type="dxa"/>
                  </w:tcMar>
                  <w:vAlign w:val="center"/>
                </w:tcPr>
                <w:p w14:paraId="15AEA0B5">
                  <w:pPr>
                    <w:jc w:val="center"/>
                    <w:rPr>
                      <w:rFonts w:hint="default" w:ascii="Times New Roman" w:hAnsi="Times New Roman" w:eastAsia="宋体" w:cs="Times New Roman"/>
                      <w:sz w:val="21"/>
                      <w:szCs w:val="21"/>
                    </w:rPr>
                  </w:pPr>
                </w:p>
              </w:tc>
              <w:tc>
                <w:tcPr>
                  <w:tcW w:w="461" w:type="pct"/>
                  <w:vMerge w:val="restart"/>
                  <w:tcBorders>
                    <w:tl2br w:val="nil"/>
                    <w:tr2bl w:val="nil"/>
                  </w:tcBorders>
                  <w:tcMar>
                    <w:left w:w="0" w:type="dxa"/>
                    <w:right w:w="0" w:type="dxa"/>
                  </w:tcMar>
                  <w:vAlign w:val="center"/>
                </w:tcPr>
                <w:p w14:paraId="3D83BA51">
                  <w:pPr>
                    <w:autoSpaceDE w:val="0"/>
                    <w:autoSpaceDN w:val="0"/>
                    <w:adjustRightInd w:val="0"/>
                    <w:spacing w:line="320" w:lineRule="exact"/>
                    <w:jc w:val="center"/>
                    <w:rPr>
                      <w:rFonts w:hint="default" w:ascii="Times New Roman" w:hAnsi="Times New Roman" w:eastAsia="宋体" w:cs="Times New Roman"/>
                      <w:sz w:val="21"/>
                      <w:szCs w:val="21"/>
                    </w:rPr>
                  </w:pPr>
                  <w:r>
                    <w:rPr>
                      <w:rFonts w:hint="eastAsia" w:cs="Times New Roman"/>
                      <w:sz w:val="21"/>
                      <w:szCs w:val="21"/>
                      <w:lang w:val="en-US" w:eastAsia="zh-CN"/>
                    </w:rPr>
                    <w:t>运营期</w:t>
                  </w:r>
                </w:p>
              </w:tc>
              <w:tc>
                <w:tcPr>
                  <w:tcW w:w="1013" w:type="pct"/>
                  <w:tcBorders>
                    <w:tl2br w:val="nil"/>
                    <w:tr2bl w:val="nil"/>
                  </w:tcBorders>
                  <w:tcMar>
                    <w:left w:w="0" w:type="dxa"/>
                    <w:right w:w="0" w:type="dxa"/>
                  </w:tcMar>
                  <w:vAlign w:val="center"/>
                </w:tcPr>
                <w:p w14:paraId="489BB8E5">
                  <w:pPr>
                    <w:autoSpaceDE w:val="0"/>
                    <w:autoSpaceDN w:val="0"/>
                    <w:adjustRightInd w:val="0"/>
                    <w:spacing w:line="320" w:lineRule="exact"/>
                    <w:jc w:val="center"/>
                    <w:rPr>
                      <w:rFonts w:hint="eastAsia" w:ascii="仿宋_GB2312" w:hAnsi="宋体" w:cs="宋体"/>
                      <w:color w:val="auto"/>
                      <w:kern w:val="0"/>
                      <w:sz w:val="21"/>
                      <w:szCs w:val="21"/>
                      <w:lang w:val="en-US" w:eastAsia="zh-CN"/>
                    </w:rPr>
                  </w:pPr>
                  <w:r>
                    <w:rPr>
                      <w:rFonts w:hint="eastAsia" w:cs="Times New Roman"/>
                      <w:bCs/>
                      <w:sz w:val="21"/>
                      <w:szCs w:val="21"/>
                      <w:lang w:val="en-US" w:eastAsia="zh-CN"/>
                    </w:rPr>
                    <w:t>船舶生活污水</w:t>
                  </w:r>
                </w:p>
              </w:tc>
              <w:tc>
                <w:tcPr>
                  <w:tcW w:w="2343" w:type="pct"/>
                  <w:tcBorders>
                    <w:tl2br w:val="nil"/>
                    <w:tr2bl w:val="nil"/>
                  </w:tcBorders>
                  <w:vAlign w:val="center"/>
                </w:tcPr>
                <w:p w14:paraId="57D699E6">
                  <w:pPr>
                    <w:autoSpaceDE w:val="0"/>
                    <w:autoSpaceDN w:val="0"/>
                    <w:adjustRightInd w:val="0"/>
                    <w:spacing w:line="320" w:lineRule="exact"/>
                    <w:jc w:val="center"/>
                    <w:rPr>
                      <w:rFonts w:hint="eastAsia" w:ascii="仿宋_GB2312" w:hAnsi="宋体" w:cs="宋体"/>
                      <w:color w:val="auto"/>
                      <w:kern w:val="0"/>
                      <w:sz w:val="21"/>
                      <w:szCs w:val="21"/>
                      <w:lang w:val="en-US" w:eastAsia="zh-CN"/>
                    </w:rPr>
                  </w:pPr>
                  <w:r>
                    <w:rPr>
                      <w:rFonts w:hint="eastAsia" w:cs="Times New Roman"/>
                      <w:bCs/>
                      <w:sz w:val="21"/>
                      <w:szCs w:val="21"/>
                      <w:lang w:val="en-US" w:eastAsia="zh-CN"/>
                    </w:rPr>
                    <w:t>经</w:t>
                  </w:r>
                  <w:r>
                    <w:rPr>
                      <w:rFonts w:ascii="CIDFont" w:hAnsi="CIDFont" w:eastAsia="CIDFont" w:cs="CIDFont"/>
                      <w:color w:val="000000"/>
                      <w:kern w:val="0"/>
                      <w:sz w:val="21"/>
                      <w:szCs w:val="21"/>
                      <w:lang w:val="en-US" w:eastAsia="zh-CN" w:bidi="ar"/>
                    </w:rPr>
                    <w:t>锚地后沿</w:t>
                  </w:r>
                  <w:r>
                    <w:rPr>
                      <w:rFonts w:hint="eastAsia" w:ascii="CIDFont" w:hAnsi="CIDFont" w:eastAsia="CIDFont" w:cs="CIDFont"/>
                      <w:color w:val="000000"/>
                      <w:kern w:val="0"/>
                      <w:sz w:val="21"/>
                      <w:szCs w:val="21"/>
                      <w:lang w:val="en-US" w:eastAsia="zh-CN" w:bidi="ar"/>
                    </w:rPr>
                    <w:t>污水箱收集后定期外运处理</w:t>
                  </w:r>
                </w:p>
              </w:tc>
              <w:tc>
                <w:tcPr>
                  <w:tcW w:w="755" w:type="pct"/>
                  <w:vMerge w:val="restart"/>
                  <w:tcBorders>
                    <w:tl2br w:val="nil"/>
                    <w:tr2bl w:val="nil"/>
                  </w:tcBorders>
                  <w:vAlign w:val="center"/>
                </w:tcPr>
                <w:p w14:paraId="1B581388">
                  <w:pPr>
                    <w:autoSpaceDE w:val="0"/>
                    <w:autoSpaceDN w:val="0"/>
                    <w:adjustRightInd w:val="0"/>
                    <w:spacing w:line="32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60</w:t>
                  </w:r>
                </w:p>
              </w:tc>
            </w:tr>
            <w:tr w14:paraId="0267D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tcMar>
                    <w:left w:w="0" w:type="dxa"/>
                    <w:right w:w="0" w:type="dxa"/>
                  </w:tcMar>
                  <w:vAlign w:val="center"/>
                </w:tcPr>
                <w:p w14:paraId="394D4ECE">
                  <w:pPr>
                    <w:jc w:val="center"/>
                    <w:rPr>
                      <w:rFonts w:hint="default" w:ascii="Times New Roman" w:hAnsi="Times New Roman" w:eastAsia="宋体" w:cs="Times New Roman"/>
                      <w:sz w:val="21"/>
                      <w:szCs w:val="21"/>
                    </w:rPr>
                  </w:pPr>
                </w:p>
              </w:tc>
              <w:tc>
                <w:tcPr>
                  <w:tcW w:w="461" w:type="pct"/>
                  <w:vMerge w:val="continue"/>
                  <w:tcBorders>
                    <w:tl2br w:val="nil"/>
                    <w:tr2bl w:val="nil"/>
                  </w:tcBorders>
                  <w:tcMar>
                    <w:left w:w="0" w:type="dxa"/>
                    <w:right w:w="0" w:type="dxa"/>
                  </w:tcMar>
                  <w:vAlign w:val="center"/>
                </w:tcPr>
                <w:p w14:paraId="4B0E73F3">
                  <w:pPr>
                    <w:autoSpaceDE w:val="0"/>
                    <w:autoSpaceDN w:val="0"/>
                    <w:adjustRightInd w:val="0"/>
                    <w:spacing w:line="320" w:lineRule="exact"/>
                    <w:jc w:val="center"/>
                    <w:rPr>
                      <w:rFonts w:hint="default" w:ascii="Times New Roman" w:hAnsi="Times New Roman" w:eastAsia="宋体" w:cs="Times New Roman"/>
                      <w:sz w:val="21"/>
                      <w:szCs w:val="21"/>
                    </w:rPr>
                  </w:pPr>
                </w:p>
              </w:tc>
              <w:tc>
                <w:tcPr>
                  <w:tcW w:w="1013" w:type="pct"/>
                  <w:tcBorders>
                    <w:tl2br w:val="nil"/>
                    <w:tr2bl w:val="nil"/>
                  </w:tcBorders>
                  <w:tcMar>
                    <w:left w:w="0" w:type="dxa"/>
                    <w:right w:w="0" w:type="dxa"/>
                  </w:tcMar>
                  <w:vAlign w:val="center"/>
                </w:tcPr>
                <w:p w14:paraId="05236F29">
                  <w:pPr>
                    <w:autoSpaceDE w:val="0"/>
                    <w:autoSpaceDN w:val="0"/>
                    <w:adjustRightInd w:val="0"/>
                    <w:spacing w:line="320" w:lineRule="exact"/>
                    <w:jc w:val="center"/>
                    <w:rPr>
                      <w:rFonts w:hint="eastAsia" w:ascii="仿宋_GB2312" w:hAnsi="宋体" w:cs="宋体"/>
                      <w:color w:val="auto"/>
                      <w:kern w:val="0"/>
                      <w:sz w:val="21"/>
                      <w:szCs w:val="21"/>
                      <w:lang w:val="en-US" w:eastAsia="zh-CN"/>
                    </w:rPr>
                  </w:pPr>
                  <w:r>
                    <w:rPr>
                      <w:rFonts w:hint="eastAsia" w:ascii="仿宋_GB2312" w:hAnsi="宋体" w:cs="宋体"/>
                      <w:color w:val="auto"/>
                      <w:kern w:val="0"/>
                      <w:sz w:val="21"/>
                      <w:szCs w:val="21"/>
                      <w:lang w:val="en-US" w:eastAsia="zh-CN"/>
                    </w:rPr>
                    <w:t>船舶含油污水</w:t>
                  </w:r>
                </w:p>
              </w:tc>
              <w:tc>
                <w:tcPr>
                  <w:tcW w:w="2343" w:type="pct"/>
                  <w:tcBorders>
                    <w:tl2br w:val="nil"/>
                    <w:tr2bl w:val="nil"/>
                  </w:tcBorders>
                  <w:vAlign w:val="center"/>
                </w:tcPr>
                <w:p w14:paraId="5F502A05">
                  <w:pPr>
                    <w:autoSpaceDE w:val="0"/>
                    <w:autoSpaceDN w:val="0"/>
                    <w:adjustRightInd w:val="0"/>
                    <w:spacing w:line="320" w:lineRule="exact"/>
                    <w:jc w:val="center"/>
                    <w:rPr>
                      <w:rFonts w:hint="eastAsia" w:ascii="仿宋_GB2312" w:hAnsi="宋体" w:cs="宋体"/>
                      <w:color w:val="auto"/>
                      <w:kern w:val="0"/>
                      <w:sz w:val="21"/>
                      <w:szCs w:val="21"/>
                      <w:lang w:val="en-US" w:eastAsia="zh-CN"/>
                    </w:rPr>
                  </w:pPr>
                  <w:r>
                    <w:rPr>
                      <w:rFonts w:hint="eastAsia"/>
                      <w:color w:val="auto"/>
                      <w:kern w:val="0"/>
                      <w:sz w:val="21"/>
                      <w:szCs w:val="21"/>
                    </w:rPr>
                    <w:t>由当地交通运输部门认可的有资质的</w:t>
                  </w:r>
                  <w:r>
                    <w:rPr>
                      <w:rFonts w:hint="eastAsia"/>
                      <w:color w:val="auto"/>
                      <w:kern w:val="0"/>
                      <w:sz w:val="21"/>
                      <w:szCs w:val="21"/>
                      <w:lang w:val="en-US" w:eastAsia="zh-CN"/>
                    </w:rPr>
                    <w:t>单位</w:t>
                  </w:r>
                  <w:r>
                    <w:rPr>
                      <w:rFonts w:hint="eastAsia"/>
                      <w:color w:val="auto"/>
                      <w:kern w:val="0"/>
                      <w:sz w:val="21"/>
                      <w:szCs w:val="21"/>
                    </w:rPr>
                    <w:t>接收处理</w:t>
                  </w:r>
                </w:p>
              </w:tc>
              <w:tc>
                <w:tcPr>
                  <w:tcW w:w="755" w:type="pct"/>
                  <w:vMerge w:val="continue"/>
                  <w:tcBorders>
                    <w:tl2br w:val="nil"/>
                    <w:tr2bl w:val="nil"/>
                  </w:tcBorders>
                  <w:vAlign w:val="center"/>
                </w:tcPr>
                <w:p w14:paraId="3EF4B168">
                  <w:pPr>
                    <w:autoSpaceDE w:val="0"/>
                    <w:autoSpaceDN w:val="0"/>
                    <w:adjustRightInd w:val="0"/>
                    <w:spacing w:line="320" w:lineRule="exact"/>
                    <w:jc w:val="center"/>
                    <w:rPr>
                      <w:rFonts w:hint="default" w:ascii="Times New Roman" w:hAnsi="Times New Roman" w:eastAsia="宋体" w:cs="Times New Roman"/>
                      <w:sz w:val="21"/>
                      <w:szCs w:val="21"/>
                    </w:rPr>
                  </w:pPr>
                </w:p>
              </w:tc>
            </w:tr>
            <w:tr w14:paraId="2B599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tcMar>
                    <w:left w:w="0" w:type="dxa"/>
                    <w:right w:w="0" w:type="dxa"/>
                  </w:tcMar>
                  <w:vAlign w:val="center"/>
                </w:tcPr>
                <w:p w14:paraId="038C456C">
                  <w:pPr>
                    <w:jc w:val="center"/>
                    <w:rPr>
                      <w:rFonts w:hint="default" w:ascii="Times New Roman" w:hAnsi="Times New Roman" w:eastAsia="宋体" w:cs="Times New Roman"/>
                      <w:sz w:val="21"/>
                      <w:szCs w:val="21"/>
                    </w:rPr>
                  </w:pPr>
                </w:p>
              </w:tc>
              <w:tc>
                <w:tcPr>
                  <w:tcW w:w="461" w:type="pct"/>
                  <w:vMerge w:val="continue"/>
                  <w:tcBorders>
                    <w:tl2br w:val="nil"/>
                    <w:tr2bl w:val="nil"/>
                  </w:tcBorders>
                  <w:tcMar>
                    <w:left w:w="0" w:type="dxa"/>
                    <w:right w:w="0" w:type="dxa"/>
                  </w:tcMar>
                  <w:vAlign w:val="center"/>
                </w:tcPr>
                <w:p w14:paraId="6A7371B4">
                  <w:pPr>
                    <w:autoSpaceDE w:val="0"/>
                    <w:autoSpaceDN w:val="0"/>
                    <w:adjustRightInd w:val="0"/>
                    <w:spacing w:line="320" w:lineRule="exact"/>
                    <w:jc w:val="center"/>
                    <w:rPr>
                      <w:rFonts w:hint="default" w:ascii="Times New Roman" w:hAnsi="Times New Roman" w:eastAsia="宋体" w:cs="Times New Roman"/>
                      <w:sz w:val="21"/>
                      <w:szCs w:val="21"/>
                    </w:rPr>
                  </w:pPr>
                </w:p>
              </w:tc>
              <w:tc>
                <w:tcPr>
                  <w:tcW w:w="1013" w:type="pct"/>
                  <w:tcBorders>
                    <w:tl2br w:val="nil"/>
                    <w:tr2bl w:val="nil"/>
                  </w:tcBorders>
                  <w:tcMar>
                    <w:left w:w="0" w:type="dxa"/>
                    <w:right w:w="0" w:type="dxa"/>
                  </w:tcMar>
                  <w:vAlign w:val="center"/>
                </w:tcPr>
                <w:p w14:paraId="47883A89">
                  <w:pPr>
                    <w:autoSpaceDE w:val="0"/>
                    <w:autoSpaceDN w:val="0"/>
                    <w:adjustRightInd w:val="0"/>
                    <w:spacing w:line="320" w:lineRule="exact"/>
                    <w:jc w:val="center"/>
                    <w:rPr>
                      <w:rFonts w:hint="eastAsia" w:ascii="仿宋_GB2312" w:hAnsi="宋体" w:cs="宋体"/>
                      <w:color w:val="auto"/>
                      <w:kern w:val="0"/>
                      <w:sz w:val="21"/>
                      <w:szCs w:val="21"/>
                      <w:lang w:val="en-US" w:eastAsia="zh-CN"/>
                    </w:rPr>
                  </w:pPr>
                  <w:r>
                    <w:rPr>
                      <w:rFonts w:hint="eastAsia" w:cs="Times New Roman"/>
                      <w:bCs/>
                      <w:sz w:val="21"/>
                      <w:szCs w:val="21"/>
                      <w:lang w:val="en-US" w:eastAsia="zh-CN"/>
                    </w:rPr>
                    <w:t>初期雨水</w:t>
                  </w:r>
                </w:p>
              </w:tc>
              <w:tc>
                <w:tcPr>
                  <w:tcW w:w="2343" w:type="pct"/>
                  <w:tcBorders>
                    <w:tl2br w:val="nil"/>
                    <w:tr2bl w:val="nil"/>
                  </w:tcBorders>
                  <w:vAlign w:val="center"/>
                </w:tcPr>
                <w:p w14:paraId="6FFAC70E">
                  <w:pPr>
                    <w:autoSpaceDE w:val="0"/>
                    <w:autoSpaceDN w:val="0"/>
                    <w:adjustRightInd w:val="0"/>
                    <w:spacing w:line="320" w:lineRule="exact"/>
                    <w:jc w:val="center"/>
                    <w:rPr>
                      <w:rFonts w:hint="eastAsia"/>
                      <w:color w:val="auto"/>
                      <w:kern w:val="0"/>
                      <w:sz w:val="21"/>
                      <w:szCs w:val="21"/>
                    </w:rPr>
                  </w:pPr>
                  <w:r>
                    <w:rPr>
                      <w:rFonts w:hint="eastAsia" w:cs="Times New Roman"/>
                      <w:bCs/>
                      <w:sz w:val="21"/>
                      <w:szCs w:val="21"/>
                      <w:lang w:val="en-US" w:eastAsia="zh-CN"/>
                    </w:rPr>
                    <w:t>经初期雨水池收集后外运处理</w:t>
                  </w:r>
                </w:p>
              </w:tc>
              <w:tc>
                <w:tcPr>
                  <w:tcW w:w="755" w:type="pct"/>
                  <w:vMerge w:val="continue"/>
                  <w:tcBorders>
                    <w:tl2br w:val="nil"/>
                    <w:tr2bl w:val="nil"/>
                  </w:tcBorders>
                  <w:vAlign w:val="center"/>
                </w:tcPr>
                <w:p w14:paraId="550EEE9A">
                  <w:pPr>
                    <w:autoSpaceDE w:val="0"/>
                    <w:autoSpaceDN w:val="0"/>
                    <w:adjustRightInd w:val="0"/>
                    <w:spacing w:line="320" w:lineRule="exact"/>
                    <w:jc w:val="center"/>
                    <w:rPr>
                      <w:rFonts w:hint="default" w:ascii="Times New Roman" w:hAnsi="Times New Roman" w:eastAsia="宋体" w:cs="Times New Roman"/>
                      <w:sz w:val="21"/>
                      <w:szCs w:val="21"/>
                    </w:rPr>
                  </w:pPr>
                </w:p>
              </w:tc>
            </w:tr>
            <w:tr w14:paraId="6995A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6" w:type="pct"/>
                  <w:vMerge w:val="restart"/>
                  <w:tcBorders>
                    <w:tl2br w:val="nil"/>
                    <w:tr2bl w:val="nil"/>
                  </w:tcBorders>
                  <w:tcMar>
                    <w:left w:w="0" w:type="dxa"/>
                    <w:right w:w="0" w:type="dxa"/>
                  </w:tcMar>
                  <w:vAlign w:val="center"/>
                </w:tcPr>
                <w:p w14:paraId="729EA2F1">
                  <w:pPr>
                    <w:autoSpaceDE w:val="0"/>
                    <w:autoSpaceDN w:val="0"/>
                    <w:adjustRightIn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固废</w:t>
                  </w:r>
                </w:p>
              </w:tc>
              <w:tc>
                <w:tcPr>
                  <w:tcW w:w="461" w:type="pct"/>
                  <w:vMerge w:val="restart"/>
                  <w:tcBorders>
                    <w:tl2br w:val="nil"/>
                    <w:tr2bl w:val="nil"/>
                  </w:tcBorders>
                  <w:tcMar>
                    <w:left w:w="0" w:type="dxa"/>
                    <w:right w:w="0" w:type="dxa"/>
                  </w:tcMar>
                  <w:vAlign w:val="center"/>
                </w:tcPr>
                <w:p w14:paraId="11DAE190">
                  <w:pPr>
                    <w:autoSpaceDE w:val="0"/>
                    <w:autoSpaceDN w:val="0"/>
                    <w:adjustRightInd w:val="0"/>
                    <w:spacing w:line="32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施工期</w:t>
                  </w:r>
                </w:p>
              </w:tc>
              <w:tc>
                <w:tcPr>
                  <w:tcW w:w="1013" w:type="pct"/>
                  <w:tcBorders>
                    <w:tl2br w:val="nil"/>
                    <w:tr2bl w:val="nil"/>
                  </w:tcBorders>
                  <w:tcMar>
                    <w:left w:w="0" w:type="dxa"/>
                    <w:right w:w="0" w:type="dxa"/>
                  </w:tcMar>
                  <w:vAlign w:val="center"/>
                </w:tcPr>
                <w:p w14:paraId="19C1F8AE">
                  <w:pPr>
                    <w:autoSpaceDE w:val="0"/>
                    <w:autoSpaceDN w:val="0"/>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eastAsia" w:ascii="CIDFont" w:hAnsi="CIDFont" w:eastAsia="CIDFont" w:cs="CIDFont"/>
                      <w:b w:val="0"/>
                      <w:bCs w:val="0"/>
                      <w:color w:val="000000"/>
                      <w:kern w:val="0"/>
                      <w:sz w:val="21"/>
                      <w:szCs w:val="21"/>
                      <w:lang w:val="en-US" w:eastAsia="zh-CN" w:bidi="ar"/>
                    </w:rPr>
                    <w:t>船舶</w:t>
                  </w:r>
                  <w:r>
                    <w:rPr>
                      <w:rFonts w:hint="default" w:ascii="CIDFont" w:hAnsi="CIDFont" w:eastAsia="CIDFont" w:cs="CIDFont"/>
                      <w:b w:val="0"/>
                      <w:bCs w:val="0"/>
                      <w:color w:val="000000"/>
                      <w:kern w:val="0"/>
                      <w:sz w:val="21"/>
                      <w:szCs w:val="21"/>
                      <w:lang w:val="en-US" w:eastAsia="zh-CN" w:bidi="ar"/>
                    </w:rPr>
                    <w:t>生活</w:t>
                  </w:r>
                  <w:r>
                    <w:rPr>
                      <w:rFonts w:hint="default" w:ascii="CIDFont" w:hAnsi="CIDFont" w:eastAsia="CIDFont" w:cs="CIDFont"/>
                      <w:color w:val="000000"/>
                      <w:kern w:val="0"/>
                      <w:sz w:val="21"/>
                      <w:szCs w:val="21"/>
                      <w:lang w:val="en-US" w:eastAsia="zh-CN" w:bidi="ar"/>
                    </w:rPr>
                    <w:t>垃圾</w:t>
                  </w:r>
                  <w:r>
                    <w:rPr>
                      <w:rFonts w:hint="eastAsia" w:ascii="CIDFont" w:hAnsi="CIDFont" w:eastAsia="CIDFont" w:cs="CIDFont"/>
                      <w:color w:val="000000"/>
                      <w:kern w:val="0"/>
                      <w:sz w:val="21"/>
                      <w:szCs w:val="21"/>
                      <w:lang w:val="en-US" w:eastAsia="zh-CN" w:bidi="ar"/>
                    </w:rPr>
                    <w:t>和陆域生活垃圾</w:t>
                  </w:r>
                </w:p>
              </w:tc>
              <w:tc>
                <w:tcPr>
                  <w:tcW w:w="2343" w:type="pct"/>
                  <w:tcBorders>
                    <w:tl2br w:val="nil"/>
                    <w:tr2bl w:val="nil"/>
                  </w:tcBorders>
                  <w:vAlign w:val="center"/>
                </w:tcPr>
                <w:p w14:paraId="0F24FCE0">
                  <w:pPr>
                    <w:autoSpaceDE w:val="0"/>
                    <w:autoSpaceDN w:val="0"/>
                    <w:adjustRightInd w:val="0"/>
                    <w:spacing w:line="320" w:lineRule="exact"/>
                    <w:jc w:val="center"/>
                    <w:rPr>
                      <w:rFonts w:hint="default" w:ascii="Times New Roman" w:hAnsi="Times New Roman" w:eastAsia="宋体" w:cs="Times New Roman"/>
                      <w:sz w:val="21"/>
                      <w:szCs w:val="21"/>
                      <w:lang w:eastAsia="zh-CN"/>
                    </w:rPr>
                  </w:pPr>
                  <w:r>
                    <w:rPr>
                      <w:rFonts w:hint="default" w:ascii="CIDFont" w:hAnsi="CIDFont" w:eastAsia="CIDFont" w:cs="CIDFont"/>
                      <w:color w:val="000000"/>
                      <w:kern w:val="0"/>
                      <w:sz w:val="21"/>
                      <w:szCs w:val="21"/>
                      <w:lang w:val="en-US" w:eastAsia="zh-CN" w:bidi="ar"/>
                    </w:rPr>
                    <w:t>收集后</w:t>
                  </w:r>
                  <w:r>
                    <w:rPr>
                      <w:rFonts w:hint="eastAsia"/>
                      <w:color w:val="auto"/>
                      <w:kern w:val="0"/>
                      <w:szCs w:val="28"/>
                    </w:rPr>
                    <w:t>交由当地环卫部</w:t>
                  </w:r>
                  <w:r>
                    <w:rPr>
                      <w:rFonts w:hint="eastAsia" w:ascii="CIDFont" w:hAnsi="CIDFont" w:eastAsia="CIDFont" w:cs="CIDFont"/>
                      <w:color w:val="000000"/>
                      <w:kern w:val="0"/>
                      <w:sz w:val="21"/>
                      <w:szCs w:val="21"/>
                      <w:lang w:val="en-US" w:eastAsia="zh-CN" w:bidi="ar"/>
                    </w:rPr>
                    <w:t>门接收处理</w:t>
                  </w:r>
                </w:p>
              </w:tc>
              <w:tc>
                <w:tcPr>
                  <w:tcW w:w="755" w:type="pct"/>
                  <w:vMerge w:val="restart"/>
                  <w:tcBorders>
                    <w:tl2br w:val="nil"/>
                    <w:tr2bl w:val="nil"/>
                  </w:tcBorders>
                  <w:vAlign w:val="center"/>
                </w:tcPr>
                <w:p w14:paraId="19B2DF69">
                  <w:pPr>
                    <w:autoSpaceDE w:val="0"/>
                    <w:autoSpaceDN w:val="0"/>
                    <w:adjustRightInd w:val="0"/>
                    <w:spacing w:line="32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100</w:t>
                  </w:r>
                </w:p>
              </w:tc>
            </w:tr>
            <w:tr w14:paraId="261B3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6" w:type="pct"/>
                  <w:vMerge w:val="continue"/>
                  <w:tcBorders>
                    <w:tl2br w:val="nil"/>
                    <w:tr2bl w:val="nil"/>
                  </w:tcBorders>
                  <w:tcMar>
                    <w:left w:w="0" w:type="dxa"/>
                    <w:right w:w="0" w:type="dxa"/>
                  </w:tcMar>
                  <w:vAlign w:val="center"/>
                </w:tcPr>
                <w:p w14:paraId="4A64DB28">
                  <w:pPr>
                    <w:autoSpaceDE w:val="0"/>
                    <w:autoSpaceDN w:val="0"/>
                    <w:adjustRightInd w:val="0"/>
                    <w:spacing w:line="320" w:lineRule="exact"/>
                    <w:jc w:val="center"/>
                    <w:rPr>
                      <w:rFonts w:hint="default" w:ascii="Times New Roman" w:hAnsi="Times New Roman" w:eastAsia="宋体" w:cs="Times New Roman"/>
                      <w:sz w:val="21"/>
                      <w:szCs w:val="21"/>
                      <w:lang w:bidi="ar"/>
                    </w:rPr>
                  </w:pPr>
                </w:p>
              </w:tc>
              <w:tc>
                <w:tcPr>
                  <w:tcW w:w="461" w:type="pct"/>
                  <w:vMerge w:val="continue"/>
                  <w:tcBorders>
                    <w:tl2br w:val="nil"/>
                    <w:tr2bl w:val="nil"/>
                  </w:tcBorders>
                  <w:tcMar>
                    <w:left w:w="0" w:type="dxa"/>
                    <w:right w:w="0" w:type="dxa"/>
                  </w:tcMar>
                  <w:vAlign w:val="center"/>
                </w:tcPr>
                <w:p w14:paraId="581ABDAC">
                  <w:pPr>
                    <w:autoSpaceDE w:val="0"/>
                    <w:autoSpaceDN w:val="0"/>
                    <w:adjustRightInd w:val="0"/>
                    <w:spacing w:line="320" w:lineRule="exact"/>
                    <w:jc w:val="center"/>
                    <w:rPr>
                      <w:rFonts w:hint="default" w:ascii="Times New Roman" w:hAnsi="Times New Roman" w:eastAsia="宋体" w:cs="Times New Roman"/>
                      <w:sz w:val="21"/>
                      <w:szCs w:val="21"/>
                      <w:lang w:val="en-US" w:eastAsia="zh-CN" w:bidi="ar"/>
                    </w:rPr>
                  </w:pPr>
                </w:p>
              </w:tc>
              <w:tc>
                <w:tcPr>
                  <w:tcW w:w="1013" w:type="pct"/>
                  <w:tcBorders>
                    <w:tl2br w:val="nil"/>
                    <w:tr2bl w:val="nil"/>
                  </w:tcBorders>
                  <w:tcMar>
                    <w:left w:w="0" w:type="dxa"/>
                    <w:right w:w="0" w:type="dxa"/>
                  </w:tcMar>
                  <w:vAlign w:val="center"/>
                </w:tcPr>
                <w:p w14:paraId="033636F7">
                  <w:pPr>
                    <w:autoSpaceDE w:val="0"/>
                    <w:autoSpaceDN w:val="0"/>
                    <w:adjustRightInd w:val="0"/>
                    <w:spacing w:line="320" w:lineRule="exact"/>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疏浚</w:t>
                  </w:r>
                  <w:r>
                    <w:rPr>
                      <w:rFonts w:hint="eastAsia" w:ascii="CIDFont" w:hAnsi="CIDFont" w:eastAsia="CIDFont" w:cs="CIDFont"/>
                      <w:color w:val="000000"/>
                      <w:kern w:val="0"/>
                      <w:sz w:val="21"/>
                      <w:szCs w:val="21"/>
                      <w:lang w:val="en-US" w:eastAsia="zh-CN" w:bidi="ar"/>
                    </w:rPr>
                    <w:t>淤泥</w:t>
                  </w:r>
                </w:p>
              </w:tc>
              <w:tc>
                <w:tcPr>
                  <w:tcW w:w="2343" w:type="pct"/>
                  <w:tcBorders>
                    <w:tl2br w:val="nil"/>
                    <w:tr2bl w:val="nil"/>
                  </w:tcBorders>
                  <w:vAlign w:val="center"/>
                </w:tcPr>
                <w:p w14:paraId="1C998B89">
                  <w:pPr>
                    <w:autoSpaceDE w:val="0"/>
                    <w:autoSpaceDN w:val="0"/>
                    <w:adjustRightInd w:val="0"/>
                    <w:spacing w:line="320" w:lineRule="exact"/>
                    <w:jc w:val="center"/>
                    <w:rPr>
                      <w:rFonts w:hint="default" w:ascii="Times New Roman" w:hAnsi="Times New Roman" w:eastAsia="宋体" w:cs="Times New Roman"/>
                      <w:sz w:val="21"/>
                      <w:szCs w:val="21"/>
                      <w:lang w:val="en-US" w:eastAsia="zh-CN" w:bidi="ar"/>
                    </w:rPr>
                  </w:pPr>
                  <w:r>
                    <w:rPr>
                      <w:rFonts w:hint="eastAsia" w:ascii="CIDFont" w:hAnsi="CIDFont" w:eastAsia="CIDFont" w:cs="CIDFont"/>
                      <w:color w:val="000000"/>
                      <w:kern w:val="0"/>
                      <w:sz w:val="21"/>
                      <w:szCs w:val="21"/>
                      <w:lang w:val="en-US" w:eastAsia="zh-CN" w:bidi="ar"/>
                    </w:rPr>
                    <w:t>疏浚产生的淤泥配泥驳转运至拟定污泥干化场</w:t>
                  </w:r>
                </w:p>
              </w:tc>
              <w:tc>
                <w:tcPr>
                  <w:tcW w:w="755" w:type="pct"/>
                  <w:vMerge w:val="continue"/>
                  <w:tcBorders>
                    <w:tl2br w:val="nil"/>
                    <w:tr2bl w:val="nil"/>
                  </w:tcBorders>
                  <w:vAlign w:val="center"/>
                </w:tcPr>
                <w:p w14:paraId="23546E14">
                  <w:pPr>
                    <w:autoSpaceDE w:val="0"/>
                    <w:autoSpaceDN w:val="0"/>
                    <w:adjustRightInd w:val="0"/>
                    <w:spacing w:line="320" w:lineRule="exact"/>
                    <w:jc w:val="center"/>
                    <w:rPr>
                      <w:rFonts w:hint="default" w:ascii="Times New Roman" w:hAnsi="Times New Roman" w:eastAsia="宋体" w:cs="Times New Roman"/>
                      <w:sz w:val="21"/>
                      <w:szCs w:val="21"/>
                      <w:lang w:bidi="ar"/>
                    </w:rPr>
                  </w:pPr>
                </w:p>
              </w:tc>
            </w:tr>
            <w:tr w14:paraId="164F3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6" w:type="pct"/>
                  <w:vMerge w:val="continue"/>
                  <w:tcBorders>
                    <w:tl2br w:val="nil"/>
                    <w:tr2bl w:val="nil"/>
                  </w:tcBorders>
                  <w:tcMar>
                    <w:left w:w="0" w:type="dxa"/>
                    <w:right w:w="0" w:type="dxa"/>
                  </w:tcMar>
                  <w:vAlign w:val="center"/>
                </w:tcPr>
                <w:p w14:paraId="54FCEC96">
                  <w:pPr>
                    <w:autoSpaceDE w:val="0"/>
                    <w:autoSpaceDN w:val="0"/>
                    <w:adjustRightInd w:val="0"/>
                    <w:spacing w:line="320" w:lineRule="exact"/>
                    <w:jc w:val="center"/>
                    <w:rPr>
                      <w:rFonts w:hint="default" w:ascii="Times New Roman" w:hAnsi="Times New Roman" w:eastAsia="宋体" w:cs="Times New Roman"/>
                      <w:sz w:val="21"/>
                      <w:szCs w:val="21"/>
                      <w:lang w:bidi="ar"/>
                    </w:rPr>
                  </w:pPr>
                </w:p>
              </w:tc>
              <w:tc>
                <w:tcPr>
                  <w:tcW w:w="461" w:type="pct"/>
                  <w:vMerge w:val="restart"/>
                  <w:tcBorders>
                    <w:tl2br w:val="nil"/>
                    <w:tr2bl w:val="nil"/>
                  </w:tcBorders>
                  <w:tcMar>
                    <w:left w:w="0" w:type="dxa"/>
                    <w:right w:w="0" w:type="dxa"/>
                  </w:tcMar>
                  <w:vAlign w:val="center"/>
                </w:tcPr>
                <w:p w14:paraId="0FCAC9E0">
                  <w:pPr>
                    <w:autoSpaceDE w:val="0"/>
                    <w:autoSpaceDN w:val="0"/>
                    <w:adjustRightInd w:val="0"/>
                    <w:spacing w:line="320" w:lineRule="exact"/>
                    <w:jc w:val="center"/>
                    <w:rPr>
                      <w:rFonts w:hint="default" w:ascii="Times New Roman" w:hAnsi="Times New Roman" w:eastAsia="宋体" w:cs="Times New Roman"/>
                      <w:sz w:val="21"/>
                      <w:szCs w:val="21"/>
                      <w:lang w:val="en-US" w:eastAsia="zh-CN" w:bidi="ar"/>
                    </w:rPr>
                  </w:pPr>
                  <w:r>
                    <w:rPr>
                      <w:rFonts w:hint="eastAsia" w:cs="Times New Roman"/>
                      <w:sz w:val="21"/>
                      <w:szCs w:val="21"/>
                      <w:lang w:val="en-US" w:eastAsia="zh-CN"/>
                    </w:rPr>
                    <w:t>运营期</w:t>
                  </w:r>
                </w:p>
              </w:tc>
              <w:tc>
                <w:tcPr>
                  <w:tcW w:w="1013" w:type="pct"/>
                  <w:tcBorders>
                    <w:tl2br w:val="nil"/>
                    <w:tr2bl w:val="nil"/>
                  </w:tcBorders>
                  <w:tcMar>
                    <w:left w:w="0" w:type="dxa"/>
                    <w:right w:w="0" w:type="dxa"/>
                  </w:tcMar>
                  <w:vAlign w:val="center"/>
                </w:tcPr>
                <w:p w14:paraId="79F94EDA">
                  <w:pPr>
                    <w:autoSpaceDE w:val="0"/>
                    <w:autoSpaceDN w:val="0"/>
                    <w:adjustRightInd w:val="0"/>
                    <w:spacing w:line="320" w:lineRule="exact"/>
                    <w:jc w:val="center"/>
                    <w:rPr>
                      <w:rFonts w:hint="default" w:ascii="Times New Roman" w:hAnsi="Times New Roman" w:eastAsia="宋体" w:cs="Times New Roman"/>
                      <w:sz w:val="21"/>
                      <w:szCs w:val="21"/>
                      <w:lang w:val="en-US" w:eastAsia="zh-CN" w:bidi="ar"/>
                    </w:rPr>
                  </w:pPr>
                  <w:r>
                    <w:rPr>
                      <w:rFonts w:hint="eastAsia" w:ascii="CIDFont" w:hAnsi="CIDFont" w:eastAsia="CIDFont" w:cs="CIDFont"/>
                      <w:b w:val="0"/>
                      <w:bCs w:val="0"/>
                      <w:color w:val="000000"/>
                      <w:kern w:val="0"/>
                      <w:sz w:val="21"/>
                      <w:szCs w:val="21"/>
                      <w:lang w:val="en-US" w:eastAsia="zh-CN" w:bidi="ar"/>
                    </w:rPr>
                    <w:t>船舶</w:t>
                  </w:r>
                  <w:r>
                    <w:rPr>
                      <w:rFonts w:hint="default" w:ascii="CIDFont" w:hAnsi="CIDFont" w:eastAsia="CIDFont" w:cs="CIDFont"/>
                      <w:b w:val="0"/>
                      <w:bCs w:val="0"/>
                      <w:color w:val="000000"/>
                      <w:kern w:val="0"/>
                      <w:sz w:val="21"/>
                      <w:szCs w:val="21"/>
                      <w:lang w:val="en-US" w:eastAsia="zh-CN" w:bidi="ar"/>
                    </w:rPr>
                    <w:t>生活</w:t>
                  </w:r>
                  <w:r>
                    <w:rPr>
                      <w:rFonts w:hint="default" w:ascii="CIDFont" w:hAnsi="CIDFont" w:eastAsia="CIDFont" w:cs="CIDFont"/>
                      <w:color w:val="000000"/>
                      <w:kern w:val="0"/>
                      <w:sz w:val="21"/>
                      <w:szCs w:val="21"/>
                      <w:lang w:val="en-US" w:eastAsia="zh-CN" w:bidi="ar"/>
                    </w:rPr>
                    <w:t>垃圾</w:t>
                  </w:r>
                </w:p>
              </w:tc>
              <w:tc>
                <w:tcPr>
                  <w:tcW w:w="4135" w:type="dxa"/>
                  <w:tcBorders>
                    <w:tl2br w:val="nil"/>
                    <w:tr2bl w:val="nil"/>
                  </w:tcBorders>
                  <w:vAlign w:val="center"/>
                </w:tcPr>
                <w:p w14:paraId="14F3D081">
                  <w:pPr>
                    <w:autoSpaceDE w:val="0"/>
                    <w:autoSpaceDN w:val="0"/>
                    <w:adjustRightInd w:val="0"/>
                    <w:spacing w:line="320" w:lineRule="exact"/>
                    <w:jc w:val="center"/>
                    <w:rPr>
                      <w:rFonts w:hint="default" w:ascii="CIDFont" w:hAnsi="CIDFont" w:eastAsia="CIDFont" w:cs="CIDFont"/>
                      <w:color w:val="000000"/>
                      <w:kern w:val="0"/>
                      <w:sz w:val="21"/>
                      <w:szCs w:val="21"/>
                      <w:lang w:val="en-US" w:eastAsia="zh-CN" w:bidi="ar"/>
                    </w:rPr>
                  </w:pPr>
                  <w:r>
                    <w:rPr>
                      <w:rFonts w:hint="default" w:ascii="CIDFont" w:hAnsi="CIDFont" w:eastAsia="CIDFont" w:cs="CIDFont"/>
                      <w:color w:val="000000"/>
                      <w:kern w:val="0"/>
                      <w:sz w:val="21"/>
                      <w:szCs w:val="21"/>
                      <w:lang w:val="en-US" w:eastAsia="zh-CN" w:bidi="ar"/>
                    </w:rPr>
                    <w:t>收集后</w:t>
                  </w:r>
                  <w:r>
                    <w:rPr>
                      <w:rFonts w:hint="eastAsia"/>
                      <w:color w:val="auto"/>
                      <w:kern w:val="0"/>
                      <w:szCs w:val="28"/>
                    </w:rPr>
                    <w:t>交由当地环卫部</w:t>
                  </w:r>
                  <w:r>
                    <w:rPr>
                      <w:rFonts w:hint="eastAsia" w:ascii="CIDFont" w:hAnsi="CIDFont" w:eastAsia="CIDFont" w:cs="CIDFont"/>
                      <w:color w:val="000000"/>
                      <w:kern w:val="0"/>
                      <w:sz w:val="21"/>
                      <w:szCs w:val="21"/>
                      <w:lang w:val="en-US" w:eastAsia="zh-CN" w:bidi="ar"/>
                    </w:rPr>
                    <w:t>门接收处理</w:t>
                  </w:r>
                </w:p>
              </w:tc>
              <w:tc>
                <w:tcPr>
                  <w:tcW w:w="755" w:type="pct"/>
                  <w:tcBorders>
                    <w:tl2br w:val="nil"/>
                    <w:tr2bl w:val="nil"/>
                  </w:tcBorders>
                  <w:vAlign w:val="center"/>
                </w:tcPr>
                <w:p w14:paraId="44FF7773">
                  <w:pPr>
                    <w:autoSpaceDE w:val="0"/>
                    <w:autoSpaceDN w:val="0"/>
                    <w:adjustRightInd w:val="0"/>
                    <w:spacing w:line="320" w:lineRule="exact"/>
                    <w:jc w:val="center"/>
                    <w:rPr>
                      <w:rFonts w:hint="eastAsia" w:ascii="Times New Roman" w:hAnsi="Times New Roman" w:eastAsia="宋体" w:cs="Times New Roman"/>
                      <w:sz w:val="21"/>
                      <w:szCs w:val="21"/>
                      <w:lang w:val="en-US" w:eastAsia="zh-CN" w:bidi="ar"/>
                    </w:rPr>
                  </w:pPr>
                  <w:r>
                    <w:rPr>
                      <w:rFonts w:hint="eastAsia" w:cs="Times New Roman"/>
                      <w:sz w:val="21"/>
                      <w:szCs w:val="21"/>
                      <w:lang w:val="en-US" w:eastAsia="zh-CN" w:bidi="ar"/>
                    </w:rPr>
                    <w:t>/</w:t>
                  </w:r>
                </w:p>
              </w:tc>
            </w:tr>
            <w:tr w14:paraId="7D257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6" w:type="pct"/>
                  <w:vMerge w:val="continue"/>
                  <w:tcBorders>
                    <w:tl2br w:val="nil"/>
                    <w:tr2bl w:val="nil"/>
                  </w:tcBorders>
                  <w:tcMar>
                    <w:left w:w="0" w:type="dxa"/>
                    <w:right w:w="0" w:type="dxa"/>
                  </w:tcMar>
                  <w:vAlign w:val="center"/>
                </w:tcPr>
                <w:p w14:paraId="064F7E83">
                  <w:pPr>
                    <w:autoSpaceDE w:val="0"/>
                    <w:autoSpaceDN w:val="0"/>
                    <w:adjustRightInd w:val="0"/>
                    <w:spacing w:line="320" w:lineRule="exact"/>
                    <w:jc w:val="center"/>
                    <w:rPr>
                      <w:rFonts w:hint="default" w:ascii="Times New Roman" w:hAnsi="Times New Roman" w:eastAsia="宋体" w:cs="Times New Roman"/>
                      <w:sz w:val="21"/>
                      <w:szCs w:val="21"/>
                      <w:lang w:bidi="ar"/>
                    </w:rPr>
                  </w:pPr>
                </w:p>
              </w:tc>
              <w:tc>
                <w:tcPr>
                  <w:tcW w:w="461" w:type="pct"/>
                  <w:vMerge w:val="continue"/>
                  <w:tcBorders>
                    <w:tl2br w:val="nil"/>
                    <w:tr2bl w:val="nil"/>
                  </w:tcBorders>
                  <w:tcMar>
                    <w:left w:w="0" w:type="dxa"/>
                    <w:right w:w="0" w:type="dxa"/>
                  </w:tcMar>
                  <w:vAlign w:val="center"/>
                </w:tcPr>
                <w:p w14:paraId="7721D623">
                  <w:pPr>
                    <w:autoSpaceDE w:val="0"/>
                    <w:autoSpaceDN w:val="0"/>
                    <w:adjustRightInd w:val="0"/>
                    <w:spacing w:line="320" w:lineRule="exact"/>
                    <w:jc w:val="center"/>
                    <w:rPr>
                      <w:rFonts w:hint="default" w:ascii="Times New Roman" w:hAnsi="Times New Roman" w:eastAsia="宋体" w:cs="Times New Roman"/>
                      <w:sz w:val="21"/>
                      <w:szCs w:val="21"/>
                      <w:lang w:val="en-US" w:eastAsia="zh-CN" w:bidi="ar"/>
                    </w:rPr>
                  </w:pPr>
                </w:p>
              </w:tc>
              <w:tc>
                <w:tcPr>
                  <w:tcW w:w="1013" w:type="pct"/>
                  <w:tcBorders>
                    <w:tl2br w:val="nil"/>
                    <w:tr2bl w:val="nil"/>
                  </w:tcBorders>
                  <w:tcMar>
                    <w:left w:w="0" w:type="dxa"/>
                    <w:right w:w="0" w:type="dxa"/>
                  </w:tcMar>
                  <w:vAlign w:val="center"/>
                </w:tcPr>
                <w:p w14:paraId="39AE5EE0">
                  <w:pPr>
                    <w:autoSpaceDE w:val="0"/>
                    <w:autoSpaceDN w:val="0"/>
                    <w:adjustRightInd w:val="0"/>
                    <w:spacing w:line="320" w:lineRule="exact"/>
                    <w:jc w:val="center"/>
                    <w:rPr>
                      <w:rFonts w:hint="default" w:ascii="Times New Roman" w:hAnsi="Times New Roman" w:eastAsia="宋体" w:cs="Times New Roman"/>
                      <w:sz w:val="21"/>
                      <w:szCs w:val="21"/>
                      <w:lang w:val="en-US" w:eastAsia="zh-CN" w:bidi="ar"/>
                    </w:rPr>
                  </w:pPr>
                  <w:r>
                    <w:rPr>
                      <w:rFonts w:hint="default" w:ascii="CIDFont" w:hAnsi="CIDFont" w:eastAsia="CIDFont" w:cs="CIDFont"/>
                      <w:color w:val="000000"/>
                      <w:kern w:val="0"/>
                      <w:sz w:val="21"/>
                      <w:szCs w:val="21"/>
                      <w:lang w:val="en-US" w:eastAsia="zh-CN" w:bidi="ar"/>
                    </w:rPr>
                    <w:t>船舶保养产生的固体废物</w:t>
                  </w:r>
                </w:p>
              </w:tc>
              <w:tc>
                <w:tcPr>
                  <w:tcW w:w="4135" w:type="dxa"/>
                  <w:tcBorders>
                    <w:tl2br w:val="nil"/>
                    <w:tr2bl w:val="nil"/>
                  </w:tcBorders>
                  <w:vAlign w:val="center"/>
                </w:tcPr>
                <w:p w14:paraId="5B271F08">
                  <w:pPr>
                    <w:autoSpaceDE w:val="0"/>
                    <w:autoSpaceDN w:val="0"/>
                    <w:adjustRightInd w:val="0"/>
                    <w:spacing w:line="320" w:lineRule="exact"/>
                    <w:jc w:val="center"/>
                    <w:rPr>
                      <w:rFonts w:hint="default" w:ascii="CIDFont" w:hAnsi="CIDFont" w:eastAsia="CIDFont" w:cs="CIDFont"/>
                      <w:color w:val="000000"/>
                      <w:kern w:val="0"/>
                      <w:sz w:val="21"/>
                      <w:szCs w:val="21"/>
                      <w:lang w:val="en-US" w:eastAsia="zh-CN" w:bidi="ar"/>
                    </w:rPr>
                  </w:pPr>
                  <w:r>
                    <w:rPr>
                      <w:rFonts w:hint="default" w:ascii="CIDFont" w:hAnsi="CIDFont" w:eastAsia="CIDFont" w:cs="CIDFont"/>
                      <w:color w:val="000000"/>
                      <w:kern w:val="0"/>
                      <w:sz w:val="21"/>
                      <w:szCs w:val="21"/>
                      <w:lang w:val="en-US" w:eastAsia="zh-CN" w:bidi="ar"/>
                    </w:rPr>
                    <w:t>属于</w:t>
                  </w:r>
                  <w:r>
                    <w:rPr>
                      <w:rFonts w:hint="default" w:ascii="Times New Roman" w:hAnsi="Times New Roman" w:eastAsia="宋体" w:cs="Times New Roman"/>
                      <w:bCs/>
                      <w:sz w:val="21"/>
                      <w:szCs w:val="21"/>
                      <w:lang w:val="en-US" w:eastAsia="zh-CN"/>
                    </w:rPr>
                    <w:t>HW08类（代码900-214-08）</w:t>
                  </w:r>
                  <w:r>
                    <w:rPr>
                      <w:rFonts w:hint="default" w:ascii="CIDFont" w:hAnsi="CIDFont" w:eastAsia="CIDFont" w:cs="CIDFont"/>
                      <w:color w:val="000000"/>
                      <w:kern w:val="0"/>
                      <w:sz w:val="21"/>
                      <w:szCs w:val="21"/>
                      <w:lang w:val="en-US" w:eastAsia="zh-CN" w:bidi="ar"/>
                    </w:rPr>
                    <w:t>，交由海事部门指定有资质单位接收处理</w:t>
                  </w:r>
                </w:p>
              </w:tc>
              <w:tc>
                <w:tcPr>
                  <w:tcW w:w="755" w:type="pct"/>
                  <w:tcBorders>
                    <w:tl2br w:val="nil"/>
                    <w:tr2bl w:val="nil"/>
                  </w:tcBorders>
                  <w:vAlign w:val="center"/>
                </w:tcPr>
                <w:p w14:paraId="22CD1B30">
                  <w:pPr>
                    <w:autoSpaceDE w:val="0"/>
                    <w:autoSpaceDN w:val="0"/>
                    <w:adjustRightInd w:val="0"/>
                    <w:spacing w:line="320" w:lineRule="exact"/>
                    <w:jc w:val="center"/>
                    <w:rPr>
                      <w:rFonts w:hint="eastAsia" w:ascii="Times New Roman" w:hAnsi="Times New Roman" w:eastAsia="宋体" w:cs="Times New Roman"/>
                      <w:sz w:val="21"/>
                      <w:szCs w:val="21"/>
                      <w:lang w:val="en-US" w:eastAsia="zh-CN" w:bidi="ar"/>
                    </w:rPr>
                  </w:pPr>
                  <w:r>
                    <w:rPr>
                      <w:rFonts w:hint="eastAsia" w:cs="Times New Roman"/>
                      <w:sz w:val="21"/>
                      <w:szCs w:val="21"/>
                      <w:lang w:val="en-US" w:eastAsia="zh-CN" w:bidi="ar"/>
                    </w:rPr>
                    <w:t>/</w:t>
                  </w:r>
                </w:p>
              </w:tc>
            </w:tr>
            <w:tr w14:paraId="2A431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tcBorders>
                    <w:tl2br w:val="nil"/>
                    <w:tr2bl w:val="nil"/>
                  </w:tcBorders>
                  <w:tcMar>
                    <w:left w:w="0" w:type="dxa"/>
                    <w:right w:w="0" w:type="dxa"/>
                  </w:tcMar>
                  <w:vAlign w:val="center"/>
                </w:tcPr>
                <w:p w14:paraId="0B92E15A">
                  <w:pPr>
                    <w:autoSpaceDE w:val="0"/>
                    <w:autoSpaceDN w:val="0"/>
                    <w:adjustRightIn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噪声</w:t>
                  </w:r>
                </w:p>
              </w:tc>
              <w:tc>
                <w:tcPr>
                  <w:tcW w:w="461" w:type="pct"/>
                  <w:tcBorders>
                    <w:tl2br w:val="nil"/>
                    <w:tr2bl w:val="nil"/>
                  </w:tcBorders>
                  <w:tcMar>
                    <w:left w:w="0" w:type="dxa"/>
                    <w:right w:w="0" w:type="dxa"/>
                  </w:tcMar>
                  <w:vAlign w:val="center"/>
                </w:tcPr>
                <w:p w14:paraId="6A822D2F">
                  <w:pPr>
                    <w:autoSpaceDE w:val="0"/>
                    <w:autoSpaceDN w:val="0"/>
                    <w:adjustRightInd w:val="0"/>
                    <w:spacing w:line="32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施工期</w:t>
                  </w:r>
                </w:p>
              </w:tc>
              <w:tc>
                <w:tcPr>
                  <w:tcW w:w="1013" w:type="pct"/>
                  <w:tcBorders>
                    <w:tl2br w:val="nil"/>
                    <w:tr2bl w:val="nil"/>
                  </w:tcBorders>
                  <w:tcMar>
                    <w:left w:w="0" w:type="dxa"/>
                    <w:right w:w="0" w:type="dxa"/>
                  </w:tcMar>
                  <w:vAlign w:val="center"/>
                </w:tcPr>
                <w:p w14:paraId="64C9E8F4">
                  <w:pPr>
                    <w:autoSpaceDE w:val="0"/>
                    <w:autoSpaceDN w:val="0"/>
                    <w:adjustRightInd w:val="0"/>
                    <w:spacing w:line="320" w:lineRule="exact"/>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bidi="ar"/>
                    </w:rPr>
                    <w:t>施工期噪声</w:t>
                  </w:r>
                </w:p>
              </w:tc>
              <w:tc>
                <w:tcPr>
                  <w:tcW w:w="2343" w:type="pct"/>
                  <w:tcBorders>
                    <w:tl2br w:val="nil"/>
                    <w:tr2bl w:val="nil"/>
                  </w:tcBorders>
                  <w:vAlign w:val="center"/>
                </w:tcPr>
                <w:p w14:paraId="16F94A8C">
                  <w:pPr>
                    <w:autoSpaceDE w:val="0"/>
                    <w:autoSpaceDN w:val="0"/>
                    <w:adjustRightIn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rPr>
                    <w:t>合理安排施工作业的时间</w:t>
                  </w:r>
                  <w:r>
                    <w:rPr>
                      <w:rFonts w:hint="eastAsia" w:cs="Times New Roman"/>
                      <w:kern w:val="0"/>
                      <w:sz w:val="21"/>
                      <w:szCs w:val="21"/>
                      <w:lang w:val="en-US" w:eastAsia="zh-CN"/>
                    </w:rPr>
                    <w:t>，</w:t>
                  </w:r>
                  <w:r>
                    <w:rPr>
                      <w:rFonts w:hint="default" w:ascii="Times New Roman" w:hAnsi="Times New Roman" w:eastAsia="宋体" w:cs="Times New Roman"/>
                      <w:kern w:val="0"/>
                      <w:sz w:val="21"/>
                      <w:szCs w:val="21"/>
                      <w:lang w:val="en-US" w:eastAsia="zh-CN"/>
                    </w:rPr>
                    <w:t>选用低噪声、低振动的施工机械和运输车辆</w:t>
                  </w:r>
                </w:p>
              </w:tc>
              <w:tc>
                <w:tcPr>
                  <w:tcW w:w="755" w:type="pct"/>
                  <w:tcBorders>
                    <w:tl2br w:val="nil"/>
                    <w:tr2bl w:val="nil"/>
                  </w:tcBorders>
                  <w:vAlign w:val="center"/>
                </w:tcPr>
                <w:p w14:paraId="6922C3A5">
                  <w:pPr>
                    <w:spacing w:line="320" w:lineRule="exact"/>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14:paraId="052F6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tcMar>
                    <w:left w:w="0" w:type="dxa"/>
                    <w:right w:w="0" w:type="dxa"/>
                  </w:tcMar>
                  <w:vAlign w:val="center"/>
                </w:tcPr>
                <w:p w14:paraId="35D3AE3A">
                  <w:pPr>
                    <w:autoSpaceDE w:val="0"/>
                    <w:autoSpaceDN w:val="0"/>
                    <w:adjustRightInd w:val="0"/>
                    <w:spacing w:line="320" w:lineRule="exact"/>
                    <w:jc w:val="center"/>
                    <w:rPr>
                      <w:rFonts w:hint="default" w:ascii="Times New Roman" w:hAnsi="Times New Roman" w:eastAsia="宋体" w:cs="Times New Roman"/>
                      <w:sz w:val="21"/>
                      <w:szCs w:val="21"/>
                      <w:lang w:bidi="ar"/>
                    </w:rPr>
                  </w:pPr>
                </w:p>
              </w:tc>
              <w:tc>
                <w:tcPr>
                  <w:tcW w:w="461" w:type="pct"/>
                  <w:tcBorders>
                    <w:tl2br w:val="nil"/>
                    <w:tr2bl w:val="nil"/>
                  </w:tcBorders>
                  <w:tcMar>
                    <w:left w:w="0" w:type="dxa"/>
                    <w:right w:w="0" w:type="dxa"/>
                  </w:tcMar>
                  <w:vAlign w:val="center"/>
                </w:tcPr>
                <w:p w14:paraId="6D255A7A">
                  <w:pPr>
                    <w:autoSpaceDE w:val="0"/>
                    <w:autoSpaceDN w:val="0"/>
                    <w:adjustRightInd w:val="0"/>
                    <w:spacing w:line="320" w:lineRule="exact"/>
                    <w:jc w:val="center"/>
                    <w:rPr>
                      <w:rFonts w:hint="default" w:cs="Times New Roman"/>
                      <w:sz w:val="21"/>
                      <w:szCs w:val="21"/>
                      <w:lang w:val="en-US" w:eastAsia="zh-CN" w:bidi="ar"/>
                    </w:rPr>
                  </w:pPr>
                  <w:r>
                    <w:rPr>
                      <w:rFonts w:hint="eastAsia" w:cs="Times New Roman"/>
                      <w:sz w:val="21"/>
                      <w:szCs w:val="21"/>
                      <w:lang w:val="en-US" w:eastAsia="zh-CN"/>
                    </w:rPr>
                    <w:t>运营期</w:t>
                  </w:r>
                </w:p>
              </w:tc>
              <w:tc>
                <w:tcPr>
                  <w:tcW w:w="1013" w:type="pct"/>
                  <w:tcBorders>
                    <w:tl2br w:val="nil"/>
                    <w:tr2bl w:val="nil"/>
                  </w:tcBorders>
                  <w:tcMar>
                    <w:left w:w="0" w:type="dxa"/>
                    <w:right w:w="0" w:type="dxa"/>
                  </w:tcMar>
                  <w:vAlign w:val="center"/>
                </w:tcPr>
                <w:p w14:paraId="16AED082">
                  <w:pPr>
                    <w:autoSpaceDE w:val="0"/>
                    <w:autoSpaceDN w:val="0"/>
                    <w:adjustRightInd w:val="0"/>
                    <w:spacing w:line="320" w:lineRule="exact"/>
                    <w:jc w:val="center"/>
                    <w:rPr>
                      <w:rFonts w:hint="eastAsia" w:ascii="Times New Roman" w:hAnsi="Times New Roman" w:eastAsia="宋体" w:cs="Times New Roman"/>
                      <w:kern w:val="2"/>
                      <w:sz w:val="21"/>
                      <w:szCs w:val="21"/>
                      <w:lang w:val="en-US" w:eastAsia="zh-CN" w:bidi="ar"/>
                    </w:rPr>
                  </w:pPr>
                  <w:r>
                    <w:rPr>
                      <w:rFonts w:hint="eastAsia" w:cs="Times New Roman"/>
                      <w:sz w:val="21"/>
                      <w:szCs w:val="21"/>
                      <w:lang w:val="en-US" w:eastAsia="zh-CN" w:bidi="ar"/>
                    </w:rPr>
                    <w:t>运营期噪声</w:t>
                  </w:r>
                </w:p>
              </w:tc>
              <w:tc>
                <w:tcPr>
                  <w:tcW w:w="2343" w:type="pct"/>
                  <w:tcBorders>
                    <w:tl2br w:val="nil"/>
                    <w:tr2bl w:val="nil"/>
                  </w:tcBorders>
                  <w:vAlign w:val="center"/>
                </w:tcPr>
                <w:p w14:paraId="104D7502">
                  <w:pPr>
                    <w:autoSpaceDE w:val="0"/>
                    <w:autoSpaceDN w:val="0"/>
                    <w:adjustRightInd w:val="0"/>
                    <w:spacing w:line="320" w:lineRule="exact"/>
                    <w:jc w:val="center"/>
                    <w:rPr>
                      <w:rFonts w:hint="eastAsia"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bidi="ar"/>
                    </w:rPr>
                    <w:t>加强对船舶的管理</w:t>
                  </w:r>
                  <w:r>
                    <w:rPr>
                      <w:rFonts w:hint="eastAsia" w:cs="Times New Roman"/>
                      <w:sz w:val="21"/>
                      <w:szCs w:val="21"/>
                      <w:lang w:eastAsia="zh-CN" w:bidi="ar"/>
                    </w:rPr>
                    <w:t>，</w:t>
                  </w:r>
                  <w:r>
                    <w:rPr>
                      <w:rFonts w:hint="default" w:ascii="Times New Roman" w:hAnsi="Times New Roman" w:eastAsia="宋体" w:cs="Times New Roman"/>
                      <w:b w:val="0"/>
                      <w:bCs/>
                      <w:kern w:val="0"/>
                      <w:sz w:val="21"/>
                      <w:szCs w:val="21"/>
                    </w:rPr>
                    <w:t>合理使用鸣笛设备，尽量控制船的鸣笛次数和时间</w:t>
                  </w:r>
                </w:p>
              </w:tc>
              <w:tc>
                <w:tcPr>
                  <w:tcW w:w="755" w:type="pct"/>
                  <w:tcBorders>
                    <w:tl2br w:val="nil"/>
                    <w:tr2bl w:val="nil"/>
                  </w:tcBorders>
                  <w:vAlign w:val="center"/>
                </w:tcPr>
                <w:p w14:paraId="5A54E46B">
                  <w:pPr>
                    <w:spacing w:line="320" w:lineRule="exact"/>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14:paraId="62366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gridSpan w:val="2"/>
                  <w:tcBorders>
                    <w:tl2br w:val="nil"/>
                    <w:tr2bl w:val="nil"/>
                  </w:tcBorders>
                  <w:tcMar>
                    <w:left w:w="0" w:type="dxa"/>
                    <w:right w:w="0" w:type="dxa"/>
                  </w:tcMar>
                  <w:vAlign w:val="center"/>
                </w:tcPr>
                <w:p w14:paraId="5640D2DF">
                  <w:pPr>
                    <w:autoSpaceDE w:val="0"/>
                    <w:autoSpaceDN w:val="0"/>
                    <w:adjustRightInd w:val="0"/>
                    <w:spacing w:line="320" w:lineRule="exact"/>
                    <w:jc w:val="center"/>
                    <w:rPr>
                      <w:rFonts w:hint="default" w:ascii="Times New Roman" w:hAnsi="Times New Roman" w:eastAsia="宋体" w:cs="Times New Roman"/>
                      <w:sz w:val="21"/>
                      <w:szCs w:val="21"/>
                      <w:lang w:bidi="ar"/>
                    </w:rPr>
                  </w:pPr>
                  <w:r>
                    <w:rPr>
                      <w:rFonts w:hint="eastAsia" w:cs="Times New Roman"/>
                      <w:sz w:val="21"/>
                      <w:szCs w:val="21"/>
                      <w:lang w:val="en-US" w:eastAsia="zh-CN" w:bidi="ar"/>
                    </w:rPr>
                    <w:t>环境风险</w:t>
                  </w:r>
                </w:p>
              </w:tc>
              <w:tc>
                <w:tcPr>
                  <w:tcW w:w="1013" w:type="pct"/>
                  <w:tcBorders>
                    <w:tl2br w:val="nil"/>
                    <w:tr2bl w:val="nil"/>
                  </w:tcBorders>
                  <w:tcMar>
                    <w:left w:w="0" w:type="dxa"/>
                    <w:right w:w="0" w:type="dxa"/>
                  </w:tcMar>
                  <w:vAlign w:val="center"/>
                </w:tcPr>
                <w:p w14:paraId="1F6DD8E1">
                  <w:pPr>
                    <w:autoSpaceDE w:val="0"/>
                    <w:autoSpaceDN w:val="0"/>
                    <w:adjustRightInd w:val="0"/>
                    <w:spacing w:line="320" w:lineRule="exact"/>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应急物资</w:t>
                  </w:r>
                </w:p>
              </w:tc>
              <w:tc>
                <w:tcPr>
                  <w:tcW w:w="2343" w:type="pct"/>
                  <w:tcBorders>
                    <w:tl2br w:val="nil"/>
                    <w:tr2bl w:val="nil"/>
                  </w:tcBorders>
                  <w:vAlign w:val="center"/>
                </w:tcPr>
                <w:p w14:paraId="06BA8026">
                  <w:pPr>
                    <w:autoSpaceDE w:val="0"/>
                    <w:autoSpaceDN w:val="0"/>
                    <w:adjustRightInd w:val="0"/>
                    <w:spacing w:line="320" w:lineRule="exact"/>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val="en-US" w:eastAsia="zh-CN" w:bidi="ar"/>
                    </w:rPr>
                    <w:t>围油栏、吸油毡、吸附材料、溢油分散剂等应急物</w:t>
                  </w:r>
                  <w:r>
                    <w:rPr>
                      <w:rFonts w:hint="default" w:ascii="Times New Roman" w:hAnsi="Times New Roman" w:eastAsia="宋体" w:cs="Times New Roman"/>
                      <w:sz w:val="21"/>
                      <w:szCs w:val="21"/>
                      <w:lang w:bidi="ar"/>
                    </w:rPr>
                    <w:t>资</w:t>
                  </w:r>
                  <w:r>
                    <w:rPr>
                      <w:rFonts w:hint="default" w:ascii="Times New Roman" w:hAnsi="Times New Roman" w:eastAsia="宋体" w:cs="Times New Roman"/>
                      <w:sz w:val="21"/>
                      <w:szCs w:val="21"/>
                      <w:lang w:val="en-US" w:eastAsia="zh-CN" w:bidi="ar"/>
                    </w:rPr>
                    <w:t>储备</w:t>
                  </w:r>
                </w:p>
              </w:tc>
              <w:tc>
                <w:tcPr>
                  <w:tcW w:w="755" w:type="pct"/>
                  <w:tcBorders>
                    <w:tl2br w:val="nil"/>
                    <w:tr2bl w:val="nil"/>
                  </w:tcBorders>
                  <w:vAlign w:val="center"/>
                </w:tcPr>
                <w:p w14:paraId="74F80236">
                  <w:pPr>
                    <w:spacing w:line="320" w:lineRule="exact"/>
                    <w:jc w:val="center"/>
                    <w:rPr>
                      <w:rFonts w:hint="default" w:ascii="Times New Roman" w:hAnsi="Times New Roman" w:eastAsia="宋体" w:cs="Times New Roman"/>
                      <w:sz w:val="21"/>
                      <w:szCs w:val="21"/>
                      <w:lang w:val="en-US" w:eastAsia="zh-CN" w:bidi="ar"/>
                    </w:rPr>
                  </w:pPr>
                  <w:r>
                    <w:rPr>
                      <w:rFonts w:hint="eastAsia" w:cs="Times New Roman"/>
                      <w:sz w:val="21"/>
                      <w:szCs w:val="21"/>
                      <w:lang w:val="en-US" w:eastAsia="zh-CN" w:bidi="ar"/>
                    </w:rPr>
                    <w:t>30</w:t>
                  </w:r>
                </w:p>
              </w:tc>
            </w:tr>
            <w:tr w14:paraId="774B3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gridSpan w:val="2"/>
                  <w:tcBorders>
                    <w:tl2br w:val="nil"/>
                    <w:tr2bl w:val="nil"/>
                  </w:tcBorders>
                  <w:tcMar>
                    <w:left w:w="0" w:type="dxa"/>
                    <w:right w:w="0" w:type="dxa"/>
                  </w:tcMar>
                  <w:vAlign w:val="center"/>
                </w:tcPr>
                <w:p w14:paraId="6CF5DB55">
                  <w:pPr>
                    <w:autoSpaceDE w:val="0"/>
                    <w:autoSpaceDN w:val="0"/>
                    <w:adjustRightInd w:val="0"/>
                    <w:spacing w:line="320" w:lineRule="exact"/>
                    <w:jc w:val="center"/>
                    <w:rPr>
                      <w:rFonts w:hint="default" w:ascii="Times New Roman" w:hAnsi="Times New Roman" w:eastAsia="宋体" w:cs="Times New Roman"/>
                      <w:sz w:val="21"/>
                      <w:szCs w:val="21"/>
                      <w:lang w:bidi="ar"/>
                    </w:rPr>
                  </w:pPr>
                  <w:r>
                    <w:rPr>
                      <w:rFonts w:hint="eastAsia" w:cs="Times New Roman"/>
                      <w:sz w:val="21"/>
                      <w:szCs w:val="21"/>
                      <w:lang w:val="en-US" w:eastAsia="zh-CN" w:bidi="ar"/>
                    </w:rPr>
                    <w:t>环境管理与监测</w:t>
                  </w:r>
                </w:p>
              </w:tc>
              <w:tc>
                <w:tcPr>
                  <w:tcW w:w="1013" w:type="pct"/>
                  <w:tcBorders>
                    <w:tl2br w:val="nil"/>
                    <w:tr2bl w:val="nil"/>
                  </w:tcBorders>
                  <w:tcMar>
                    <w:left w:w="0" w:type="dxa"/>
                    <w:right w:w="0" w:type="dxa"/>
                  </w:tcMar>
                  <w:vAlign w:val="center"/>
                </w:tcPr>
                <w:p w14:paraId="3995E222">
                  <w:pPr>
                    <w:autoSpaceDE w:val="0"/>
                    <w:autoSpaceDN w:val="0"/>
                    <w:adjustRightInd w:val="0"/>
                    <w:spacing w:line="320" w:lineRule="exact"/>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施工环境管理、环境监测</w:t>
                  </w:r>
                </w:p>
              </w:tc>
              <w:tc>
                <w:tcPr>
                  <w:tcW w:w="2343" w:type="pct"/>
                  <w:tcBorders>
                    <w:tl2br w:val="nil"/>
                    <w:tr2bl w:val="nil"/>
                  </w:tcBorders>
                  <w:vAlign w:val="center"/>
                </w:tcPr>
                <w:p w14:paraId="7F524F74">
                  <w:pPr>
                    <w:autoSpaceDE w:val="0"/>
                    <w:autoSpaceDN w:val="0"/>
                    <w:adjustRightInd w:val="0"/>
                    <w:spacing w:line="320" w:lineRule="exact"/>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施工环境管理、环境监测</w:t>
                  </w:r>
                </w:p>
              </w:tc>
              <w:tc>
                <w:tcPr>
                  <w:tcW w:w="755" w:type="pct"/>
                  <w:tcBorders>
                    <w:tl2br w:val="nil"/>
                    <w:tr2bl w:val="nil"/>
                  </w:tcBorders>
                  <w:vAlign w:val="center"/>
                </w:tcPr>
                <w:p w14:paraId="0B6956B2">
                  <w:pPr>
                    <w:spacing w:line="320" w:lineRule="exact"/>
                    <w:jc w:val="center"/>
                    <w:rPr>
                      <w:rFonts w:hint="eastAsia" w:ascii="Times New Roman" w:hAnsi="Times New Roman" w:eastAsia="宋体" w:cs="Times New Roman"/>
                      <w:sz w:val="21"/>
                      <w:szCs w:val="21"/>
                      <w:lang w:val="en-US" w:eastAsia="zh-CN" w:bidi="ar"/>
                    </w:rPr>
                  </w:pPr>
                  <w:r>
                    <w:rPr>
                      <w:rFonts w:hint="eastAsia" w:cs="Times New Roman"/>
                      <w:sz w:val="21"/>
                      <w:szCs w:val="21"/>
                      <w:lang w:val="en-US" w:eastAsia="zh-CN" w:bidi="ar"/>
                    </w:rPr>
                    <w:t>5</w:t>
                  </w:r>
                </w:p>
              </w:tc>
            </w:tr>
            <w:tr w14:paraId="2967A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gridSpan w:val="2"/>
                  <w:tcBorders>
                    <w:tl2br w:val="nil"/>
                    <w:tr2bl w:val="nil"/>
                  </w:tcBorders>
                  <w:tcMar>
                    <w:left w:w="0" w:type="dxa"/>
                    <w:right w:w="0" w:type="dxa"/>
                  </w:tcMar>
                  <w:vAlign w:val="center"/>
                </w:tcPr>
                <w:p w14:paraId="43AC8A3E">
                  <w:pPr>
                    <w:keepNext w:val="0"/>
                    <w:keepLines w:val="0"/>
                    <w:widowControl/>
                    <w:suppressLineNumbers w:val="0"/>
                    <w:jc w:val="center"/>
                    <w:rPr>
                      <w:rFonts w:hint="default" w:ascii="Times New Roman" w:hAnsi="Times New Roman" w:eastAsia="宋体" w:cs="Times New Roman"/>
                      <w:sz w:val="21"/>
                      <w:szCs w:val="21"/>
                      <w:lang w:bidi="ar"/>
                    </w:rPr>
                  </w:pPr>
                  <w:r>
                    <w:rPr>
                      <w:rFonts w:hint="eastAsia" w:ascii="宋体" w:hAnsi="宋体" w:eastAsia="宋体" w:cs="宋体"/>
                      <w:color w:val="000000"/>
                      <w:kern w:val="0"/>
                      <w:sz w:val="21"/>
                      <w:szCs w:val="21"/>
                      <w:lang w:val="en-US" w:eastAsia="zh-CN" w:bidi="ar"/>
                    </w:rPr>
                    <w:t>生态</w:t>
                  </w:r>
                </w:p>
              </w:tc>
              <w:tc>
                <w:tcPr>
                  <w:tcW w:w="1013" w:type="pct"/>
                  <w:tcBorders>
                    <w:tl2br w:val="nil"/>
                    <w:tr2bl w:val="nil"/>
                  </w:tcBorders>
                  <w:tcMar>
                    <w:left w:w="0" w:type="dxa"/>
                    <w:right w:w="0" w:type="dxa"/>
                  </w:tcMar>
                  <w:vAlign w:val="center"/>
                </w:tcPr>
                <w:p w14:paraId="2B39DA8D">
                  <w:pPr>
                    <w:keepNext w:val="0"/>
                    <w:keepLines w:val="0"/>
                    <w:widowControl/>
                    <w:suppressLineNumbers w:val="0"/>
                    <w:jc w:val="center"/>
                    <w:rPr>
                      <w:rFonts w:hint="eastAsia" w:ascii="Times New Roman" w:hAnsi="Times New Roman" w:eastAsia="宋体" w:cs="Times New Roman"/>
                      <w:kern w:val="2"/>
                      <w:sz w:val="21"/>
                      <w:szCs w:val="21"/>
                      <w:lang w:val="en-US" w:eastAsia="zh-CN" w:bidi="ar"/>
                    </w:rPr>
                  </w:pPr>
                  <w:r>
                    <w:rPr>
                      <w:rFonts w:hint="eastAsia" w:ascii="宋体" w:hAnsi="宋体" w:eastAsia="宋体" w:cs="宋体"/>
                      <w:color w:val="000000"/>
                      <w:kern w:val="0"/>
                      <w:sz w:val="21"/>
                      <w:szCs w:val="21"/>
                      <w:lang w:val="en-US" w:eastAsia="zh-CN" w:bidi="ar"/>
                    </w:rPr>
                    <w:t>生态</w:t>
                  </w:r>
                  <w:r>
                    <w:rPr>
                      <w:rFonts w:hint="eastAsia" w:ascii="宋体" w:hAnsi="宋体" w:cs="宋体"/>
                      <w:color w:val="000000"/>
                      <w:kern w:val="0"/>
                      <w:sz w:val="21"/>
                      <w:szCs w:val="21"/>
                      <w:lang w:val="en-US" w:eastAsia="zh-CN" w:bidi="ar"/>
                    </w:rPr>
                    <w:t>补偿</w:t>
                  </w:r>
                </w:p>
              </w:tc>
              <w:tc>
                <w:tcPr>
                  <w:tcW w:w="2343" w:type="pct"/>
                  <w:tcBorders>
                    <w:tl2br w:val="nil"/>
                    <w:tr2bl w:val="nil"/>
                  </w:tcBorders>
                  <w:vAlign w:val="center"/>
                </w:tcPr>
                <w:p w14:paraId="797072FC">
                  <w:pPr>
                    <w:keepNext w:val="0"/>
                    <w:keepLines w:val="0"/>
                    <w:widowControl/>
                    <w:suppressLineNumbers w:val="0"/>
                    <w:jc w:val="left"/>
                    <w:rPr>
                      <w:rFonts w:hint="default" w:ascii="Times New Roman" w:hAnsi="Times New Roman" w:eastAsia="宋体" w:cs="Times New Roman"/>
                      <w:sz w:val="21"/>
                      <w:szCs w:val="21"/>
                      <w:lang w:eastAsia="zh-CN" w:bidi="ar"/>
                    </w:rPr>
                  </w:pPr>
                  <w:r>
                    <w:rPr>
                      <w:rFonts w:hint="eastAsia" w:ascii="仿宋_GB2312" w:hAnsi="宋体" w:cs="宋体"/>
                      <w:color w:val="auto"/>
                      <w:kern w:val="0"/>
                      <w:sz w:val="21"/>
                      <w:szCs w:val="21"/>
                      <w:lang w:val="en-US" w:eastAsia="zh-CN"/>
                    </w:rPr>
                    <w:t>施工前编制对水生生物影响较小的施工方案，加强施工管理，控制水域施工</w:t>
                  </w:r>
                  <w:r>
                    <w:rPr>
                      <w:rFonts w:hint="default" w:ascii="仿宋_GB2312" w:hAnsi="宋体" w:cs="宋体"/>
                      <w:color w:val="auto"/>
                      <w:kern w:val="0"/>
                      <w:sz w:val="21"/>
                      <w:szCs w:val="21"/>
                      <w:lang w:val="en-US" w:eastAsia="zh-CN"/>
                    </w:rPr>
                    <w:t>作业范围</w:t>
                  </w:r>
                  <w:r>
                    <w:rPr>
                      <w:rFonts w:hint="eastAsia" w:ascii="仿宋_GB2312" w:hAnsi="宋体" w:cs="宋体"/>
                      <w:color w:val="auto"/>
                      <w:kern w:val="0"/>
                      <w:sz w:val="21"/>
                      <w:szCs w:val="21"/>
                      <w:lang w:val="en-US" w:eastAsia="zh-CN"/>
                    </w:rPr>
                    <w:t>；合理安排工期；对施工造成的影响尽可能地恢复或采取生态补偿</w:t>
                  </w:r>
                  <w:r>
                    <w:rPr>
                      <w:rFonts w:hint="default" w:ascii="仿宋_GB2312" w:hAnsi="宋体" w:cs="宋体"/>
                      <w:color w:val="auto"/>
                      <w:kern w:val="0"/>
                      <w:sz w:val="21"/>
                      <w:szCs w:val="21"/>
                    </w:rPr>
                    <w:t>等</w:t>
                  </w:r>
                </w:p>
              </w:tc>
              <w:tc>
                <w:tcPr>
                  <w:tcW w:w="755" w:type="pct"/>
                  <w:tcBorders>
                    <w:tl2br w:val="nil"/>
                    <w:tr2bl w:val="nil"/>
                  </w:tcBorders>
                  <w:vAlign w:val="center"/>
                </w:tcPr>
                <w:p w14:paraId="6FD8FD0E">
                  <w:pPr>
                    <w:spacing w:line="320" w:lineRule="exact"/>
                    <w:jc w:val="center"/>
                    <w:rPr>
                      <w:rFonts w:hint="default" w:ascii="Times New Roman" w:hAnsi="Times New Roman" w:eastAsia="宋体" w:cs="Times New Roman"/>
                      <w:sz w:val="21"/>
                      <w:szCs w:val="21"/>
                      <w:lang w:val="en-US" w:eastAsia="zh-CN" w:bidi="ar"/>
                    </w:rPr>
                  </w:pPr>
                  <w:r>
                    <w:rPr>
                      <w:rFonts w:hint="eastAsia" w:cs="Times New Roman"/>
                      <w:sz w:val="21"/>
                      <w:szCs w:val="21"/>
                      <w:lang w:val="en-US" w:eastAsia="zh-CN" w:bidi="ar"/>
                    </w:rPr>
                    <w:t>20</w:t>
                  </w:r>
                </w:p>
              </w:tc>
            </w:tr>
            <w:tr w14:paraId="56454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4" w:type="pct"/>
                  <w:gridSpan w:val="4"/>
                  <w:tcBorders>
                    <w:tl2br w:val="nil"/>
                    <w:tr2bl w:val="nil"/>
                  </w:tcBorders>
                  <w:tcMar>
                    <w:left w:w="0" w:type="dxa"/>
                    <w:right w:w="0" w:type="dxa"/>
                  </w:tcMar>
                  <w:vAlign w:val="center"/>
                </w:tcPr>
                <w:p w14:paraId="788CE8C7">
                  <w:pPr>
                    <w:autoSpaceDE w:val="0"/>
                    <w:autoSpaceDN w:val="0"/>
                    <w:adjustRightIn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合计</w:t>
                  </w:r>
                </w:p>
              </w:tc>
              <w:tc>
                <w:tcPr>
                  <w:tcW w:w="755" w:type="pct"/>
                  <w:tcBorders>
                    <w:tl2br w:val="nil"/>
                    <w:tr2bl w:val="nil"/>
                  </w:tcBorders>
                  <w:vAlign w:val="center"/>
                </w:tcPr>
                <w:p w14:paraId="20653834">
                  <w:pPr>
                    <w:autoSpaceDE w:val="0"/>
                    <w:autoSpaceDN w:val="0"/>
                    <w:adjustRightInd w:val="0"/>
                    <w:spacing w:line="320" w:lineRule="exact"/>
                    <w:jc w:val="center"/>
                    <w:rPr>
                      <w:rFonts w:hint="default" w:ascii="Times New Roman" w:hAnsi="Times New Roman" w:eastAsia="宋体" w:cs="Times New Roman"/>
                      <w:sz w:val="21"/>
                      <w:szCs w:val="21"/>
                      <w:lang w:val="en-US" w:eastAsia="zh-CN"/>
                    </w:rPr>
                  </w:pPr>
                  <w:r>
                    <w:rPr>
                      <w:rFonts w:hint="eastAsia" w:cs="Times New Roman"/>
                      <w:b/>
                      <w:bCs/>
                      <w:sz w:val="21"/>
                      <w:szCs w:val="21"/>
                      <w:lang w:val="en-US" w:eastAsia="zh-CN"/>
                    </w:rPr>
                    <w:t>450</w:t>
                  </w:r>
                </w:p>
              </w:tc>
            </w:tr>
          </w:tbl>
          <w:p w14:paraId="31CCBB79">
            <w:pPr>
              <w:adjustRightInd w:val="0"/>
              <w:snapToGrid w:val="0"/>
              <w:spacing w:line="500" w:lineRule="exact"/>
              <w:rPr>
                <w:rFonts w:hint="default" w:ascii="Times New Roman" w:hAnsi="Times New Roman" w:eastAsia="宋体" w:cs="Times New Roman"/>
                <w:bCs/>
                <w:spacing w:val="-10"/>
                <w:sz w:val="24"/>
                <w:szCs w:val="24"/>
              </w:rPr>
            </w:pPr>
          </w:p>
        </w:tc>
      </w:tr>
    </w:tbl>
    <w:p w14:paraId="21A8E806">
      <w:pPr>
        <w:rPr>
          <w:rFonts w:hint="default" w:ascii="Times New Roman" w:hAnsi="Times New Roman" w:eastAsia="宋体" w:cs="Times New Roman"/>
          <w:szCs w:val="21"/>
        </w:rPr>
        <w:sectPr>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pPr>
    </w:p>
    <w:p w14:paraId="71E137E8">
      <w:pPr>
        <w:pStyle w:val="82"/>
        <w:jc w:val="center"/>
        <w:outlineLvl w:val="0"/>
        <w:rPr>
          <w:rFonts w:hint="default" w:ascii="Times New Roman" w:hAnsi="Times New Roman" w:eastAsia="宋体" w:cs="Times New Roman"/>
          <w:b/>
          <w:snapToGrid w:val="0"/>
          <w:sz w:val="30"/>
          <w:szCs w:val="30"/>
        </w:rPr>
      </w:pPr>
      <w:bookmarkStart w:id="12" w:name="_Toc22201"/>
      <w:r>
        <w:rPr>
          <w:rFonts w:hint="default" w:ascii="Times New Roman" w:hAnsi="Times New Roman" w:eastAsia="宋体" w:cs="Times New Roman"/>
          <w:b/>
          <w:snapToGrid w:val="0"/>
          <w:sz w:val="30"/>
          <w:szCs w:val="30"/>
        </w:rPr>
        <w:t>六、生态环境保护措施监督检查清单</w:t>
      </w:r>
      <w:bookmarkEnd w:id="12"/>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2595"/>
        <w:gridCol w:w="1710"/>
        <w:gridCol w:w="2235"/>
        <w:gridCol w:w="1467"/>
      </w:tblGrid>
      <w:tr w14:paraId="49414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78" w:type="pct"/>
            <w:vMerge w:val="restart"/>
            <w:tcBorders>
              <w:tl2br w:val="single" w:color="auto" w:sz="4" w:space="0"/>
            </w:tcBorders>
          </w:tcPr>
          <w:p w14:paraId="1358758A">
            <w:pPr>
              <w:pStyle w:val="82"/>
              <w:adjustRightInd w:val="0"/>
              <w:snapToGrid w:val="0"/>
              <w:spacing w:before="93" w:beforeLines="30" w:beforeAutospacing="0" w:after="0" w:afterAutospacing="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 xml:space="preserve">       </w:t>
            </w:r>
          </w:p>
          <w:p w14:paraId="579D6B6C">
            <w:pPr>
              <w:pStyle w:val="82"/>
              <w:adjustRightInd w:val="0"/>
              <w:snapToGrid w:val="0"/>
              <w:spacing w:before="93" w:beforeLines="30" w:beforeAutospacing="0" w:after="0" w:afterAutospacing="0"/>
              <w:jc w:val="center"/>
              <w:outlineLvl w:val="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 xml:space="preserve">         </w:t>
            </w:r>
            <w:bookmarkStart w:id="13" w:name="_Toc10796"/>
            <w:bookmarkStart w:id="14" w:name="_Toc28936"/>
            <w:bookmarkStart w:id="15" w:name="_Toc22435"/>
            <w:r>
              <w:rPr>
                <w:rFonts w:hint="default" w:ascii="Times New Roman" w:hAnsi="Times New Roman" w:eastAsia="宋体" w:cs="Times New Roman"/>
                <w:b/>
                <w:sz w:val="24"/>
                <w:szCs w:val="24"/>
              </w:rPr>
              <w:t>内容</w:t>
            </w:r>
            <w:bookmarkEnd w:id="13"/>
            <w:bookmarkEnd w:id="14"/>
            <w:bookmarkEnd w:id="15"/>
          </w:p>
          <w:p w14:paraId="371A7057">
            <w:pPr>
              <w:pStyle w:val="82"/>
              <w:adjustRightInd w:val="0"/>
              <w:snapToGrid w:val="0"/>
              <w:spacing w:before="0" w:beforeAutospacing="0" w:after="0" w:afterAutospacing="0" w:line="14"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 xml:space="preserve">  </w:t>
            </w:r>
          </w:p>
          <w:p w14:paraId="40FB7962">
            <w:pPr>
              <w:pStyle w:val="82"/>
              <w:adjustRightInd w:val="0"/>
              <w:snapToGrid w:val="0"/>
              <w:spacing w:before="0" w:beforeAutospacing="0" w:after="0" w:afterAutospacing="0"/>
              <w:outlineLvl w:val="0"/>
              <w:rPr>
                <w:rFonts w:hint="default" w:ascii="Times New Roman" w:hAnsi="Times New Roman" w:eastAsia="宋体" w:cs="Times New Roman"/>
                <w:b/>
                <w:sz w:val="24"/>
                <w:szCs w:val="24"/>
              </w:rPr>
            </w:pPr>
            <w:bookmarkStart w:id="16" w:name="_Toc17604"/>
            <w:bookmarkStart w:id="17" w:name="_Toc727"/>
            <w:bookmarkStart w:id="18" w:name="_Toc8904"/>
            <w:r>
              <w:rPr>
                <w:rFonts w:hint="default" w:ascii="Times New Roman" w:hAnsi="Times New Roman" w:eastAsia="宋体" w:cs="Times New Roman"/>
                <w:b/>
                <w:sz w:val="24"/>
                <w:szCs w:val="24"/>
              </w:rPr>
              <w:t>要素</w:t>
            </w:r>
            <w:bookmarkEnd w:id="16"/>
            <w:bookmarkEnd w:id="17"/>
            <w:bookmarkEnd w:id="18"/>
          </w:p>
        </w:tc>
        <w:tc>
          <w:tcPr>
            <w:tcW w:w="2162" w:type="pct"/>
            <w:gridSpan w:val="2"/>
            <w:vAlign w:val="center"/>
          </w:tcPr>
          <w:p w14:paraId="59ED627D">
            <w:pPr>
              <w:pStyle w:val="82"/>
              <w:adjustRightInd w:val="0"/>
              <w:snapToGrid w:val="0"/>
              <w:spacing w:before="0" w:beforeAutospacing="0" w:after="0" w:afterAutospacing="0"/>
              <w:jc w:val="center"/>
              <w:outlineLvl w:val="0"/>
              <w:rPr>
                <w:rFonts w:hint="default" w:ascii="Times New Roman" w:hAnsi="Times New Roman" w:eastAsia="宋体" w:cs="Times New Roman"/>
                <w:b/>
                <w:sz w:val="24"/>
                <w:szCs w:val="24"/>
              </w:rPr>
            </w:pPr>
            <w:bookmarkStart w:id="19" w:name="_Toc13527"/>
            <w:bookmarkStart w:id="20" w:name="_Toc26905"/>
            <w:bookmarkStart w:id="21" w:name="_Toc20709"/>
            <w:r>
              <w:rPr>
                <w:rFonts w:hint="default" w:ascii="Times New Roman" w:hAnsi="Times New Roman" w:eastAsia="宋体" w:cs="Times New Roman"/>
                <w:b/>
                <w:sz w:val="24"/>
                <w:szCs w:val="24"/>
              </w:rPr>
              <w:t>施工期</w:t>
            </w:r>
            <w:bookmarkEnd w:id="19"/>
            <w:bookmarkEnd w:id="20"/>
            <w:bookmarkEnd w:id="21"/>
          </w:p>
        </w:tc>
        <w:tc>
          <w:tcPr>
            <w:tcW w:w="1859" w:type="pct"/>
            <w:gridSpan w:val="2"/>
            <w:vAlign w:val="center"/>
          </w:tcPr>
          <w:p w14:paraId="48E93938">
            <w:pPr>
              <w:pStyle w:val="82"/>
              <w:adjustRightInd w:val="0"/>
              <w:snapToGrid w:val="0"/>
              <w:spacing w:before="0" w:beforeAutospacing="0" w:after="0" w:afterAutospacing="0"/>
              <w:jc w:val="center"/>
              <w:outlineLvl w:val="0"/>
              <w:rPr>
                <w:rFonts w:hint="default" w:ascii="Times New Roman" w:hAnsi="Times New Roman" w:eastAsia="宋体" w:cs="Times New Roman"/>
                <w:b/>
                <w:sz w:val="24"/>
                <w:szCs w:val="24"/>
              </w:rPr>
            </w:pPr>
            <w:bookmarkStart w:id="22" w:name="_Toc27049"/>
            <w:bookmarkStart w:id="23" w:name="_Toc7735"/>
            <w:bookmarkStart w:id="24" w:name="_Toc28781"/>
            <w:r>
              <w:rPr>
                <w:rFonts w:hint="default" w:ascii="Times New Roman" w:hAnsi="Times New Roman" w:eastAsia="宋体" w:cs="Times New Roman"/>
                <w:b/>
                <w:sz w:val="24"/>
                <w:szCs w:val="24"/>
              </w:rPr>
              <w:t>运营期</w:t>
            </w:r>
            <w:bookmarkEnd w:id="22"/>
            <w:bookmarkEnd w:id="23"/>
            <w:bookmarkEnd w:id="24"/>
          </w:p>
        </w:tc>
      </w:tr>
      <w:tr w14:paraId="7C55A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8" w:type="pct"/>
            <w:vMerge w:val="continue"/>
          </w:tcPr>
          <w:p w14:paraId="1A76CEF4">
            <w:pPr>
              <w:pStyle w:val="82"/>
              <w:adjustRightInd w:val="0"/>
              <w:snapToGrid w:val="0"/>
              <w:spacing w:before="0" w:beforeAutospacing="0" w:after="0" w:afterAutospacing="0"/>
              <w:ind w:firstLine="840"/>
              <w:jc w:val="center"/>
              <w:rPr>
                <w:rFonts w:hint="default" w:ascii="Times New Roman" w:hAnsi="Times New Roman" w:eastAsia="宋体" w:cs="Times New Roman"/>
                <w:b/>
                <w:sz w:val="24"/>
                <w:szCs w:val="24"/>
              </w:rPr>
            </w:pPr>
          </w:p>
        </w:tc>
        <w:tc>
          <w:tcPr>
            <w:tcW w:w="1303" w:type="pct"/>
            <w:vAlign w:val="center"/>
          </w:tcPr>
          <w:p w14:paraId="5CB2E5B3">
            <w:pPr>
              <w:pStyle w:val="82"/>
              <w:adjustRightInd w:val="0"/>
              <w:snapToGrid w:val="0"/>
              <w:spacing w:before="0" w:beforeAutospacing="0" w:after="0" w:afterAutospacing="0"/>
              <w:jc w:val="center"/>
              <w:outlineLvl w:val="0"/>
              <w:rPr>
                <w:rFonts w:hint="default" w:ascii="Times New Roman" w:hAnsi="Times New Roman" w:eastAsia="宋体" w:cs="Times New Roman"/>
                <w:b/>
                <w:sz w:val="24"/>
                <w:szCs w:val="24"/>
              </w:rPr>
            </w:pPr>
            <w:bookmarkStart w:id="25" w:name="_Toc32554"/>
            <w:bookmarkStart w:id="26" w:name="_Toc766"/>
            <w:bookmarkStart w:id="27" w:name="_Toc19750"/>
            <w:r>
              <w:rPr>
                <w:rFonts w:hint="default" w:ascii="Times New Roman" w:hAnsi="Times New Roman" w:eastAsia="宋体" w:cs="Times New Roman"/>
                <w:b/>
                <w:sz w:val="24"/>
                <w:szCs w:val="24"/>
              </w:rPr>
              <w:t>环境保护措施</w:t>
            </w:r>
            <w:bookmarkEnd w:id="25"/>
            <w:bookmarkEnd w:id="26"/>
            <w:bookmarkEnd w:id="27"/>
          </w:p>
        </w:tc>
        <w:tc>
          <w:tcPr>
            <w:tcW w:w="858" w:type="pct"/>
            <w:vAlign w:val="center"/>
          </w:tcPr>
          <w:p w14:paraId="081829C3">
            <w:pPr>
              <w:pStyle w:val="82"/>
              <w:adjustRightInd w:val="0"/>
              <w:snapToGrid w:val="0"/>
              <w:spacing w:before="0" w:beforeAutospacing="0" w:after="0" w:afterAutospacing="0"/>
              <w:jc w:val="center"/>
              <w:outlineLvl w:val="0"/>
              <w:rPr>
                <w:rFonts w:hint="default" w:ascii="Times New Roman" w:hAnsi="Times New Roman" w:eastAsia="宋体" w:cs="Times New Roman"/>
                <w:b/>
                <w:sz w:val="24"/>
                <w:szCs w:val="24"/>
              </w:rPr>
            </w:pPr>
            <w:bookmarkStart w:id="28" w:name="_Toc18655"/>
            <w:bookmarkStart w:id="29" w:name="_Toc13718"/>
            <w:bookmarkStart w:id="30" w:name="_Toc2594"/>
            <w:r>
              <w:rPr>
                <w:rFonts w:hint="default" w:ascii="Times New Roman" w:hAnsi="Times New Roman" w:eastAsia="宋体" w:cs="Times New Roman"/>
                <w:b/>
                <w:sz w:val="24"/>
                <w:szCs w:val="24"/>
              </w:rPr>
              <w:t>验收要求</w:t>
            </w:r>
            <w:bookmarkEnd w:id="28"/>
            <w:bookmarkEnd w:id="29"/>
            <w:bookmarkEnd w:id="30"/>
          </w:p>
        </w:tc>
        <w:tc>
          <w:tcPr>
            <w:tcW w:w="1122" w:type="pct"/>
            <w:vAlign w:val="center"/>
          </w:tcPr>
          <w:p w14:paraId="4F7B478C">
            <w:pPr>
              <w:pStyle w:val="82"/>
              <w:adjustRightInd w:val="0"/>
              <w:snapToGrid w:val="0"/>
              <w:spacing w:before="0" w:beforeAutospacing="0" w:after="0" w:afterAutospacing="0"/>
              <w:jc w:val="center"/>
              <w:outlineLvl w:val="0"/>
              <w:rPr>
                <w:rFonts w:hint="default" w:ascii="Times New Roman" w:hAnsi="Times New Roman" w:eastAsia="宋体" w:cs="Times New Roman"/>
                <w:b/>
                <w:sz w:val="24"/>
                <w:szCs w:val="24"/>
              </w:rPr>
            </w:pPr>
            <w:bookmarkStart w:id="31" w:name="_Toc21964"/>
            <w:bookmarkStart w:id="32" w:name="_Toc1570"/>
            <w:bookmarkStart w:id="33" w:name="_Toc15426"/>
            <w:r>
              <w:rPr>
                <w:rFonts w:hint="default" w:ascii="Times New Roman" w:hAnsi="Times New Roman" w:eastAsia="宋体" w:cs="Times New Roman"/>
                <w:b/>
                <w:sz w:val="24"/>
                <w:szCs w:val="24"/>
              </w:rPr>
              <w:t>环境保护措施</w:t>
            </w:r>
            <w:bookmarkEnd w:id="31"/>
            <w:bookmarkEnd w:id="32"/>
            <w:bookmarkEnd w:id="33"/>
          </w:p>
        </w:tc>
        <w:tc>
          <w:tcPr>
            <w:tcW w:w="736" w:type="pct"/>
            <w:vAlign w:val="center"/>
          </w:tcPr>
          <w:p w14:paraId="70039F37">
            <w:pPr>
              <w:pStyle w:val="82"/>
              <w:adjustRightInd w:val="0"/>
              <w:snapToGrid w:val="0"/>
              <w:spacing w:before="0" w:beforeAutospacing="0" w:after="0" w:afterAutospacing="0"/>
              <w:jc w:val="center"/>
              <w:outlineLvl w:val="0"/>
              <w:rPr>
                <w:rFonts w:hint="default" w:ascii="Times New Roman" w:hAnsi="Times New Roman" w:eastAsia="宋体" w:cs="Times New Roman"/>
                <w:b/>
                <w:sz w:val="24"/>
                <w:szCs w:val="24"/>
              </w:rPr>
            </w:pPr>
            <w:bookmarkStart w:id="34" w:name="_Toc8643"/>
            <w:bookmarkStart w:id="35" w:name="_Toc13341"/>
            <w:bookmarkStart w:id="36" w:name="_Toc15926"/>
            <w:r>
              <w:rPr>
                <w:rFonts w:hint="default" w:ascii="Times New Roman" w:hAnsi="Times New Roman" w:eastAsia="宋体" w:cs="Times New Roman"/>
                <w:b/>
                <w:sz w:val="24"/>
                <w:szCs w:val="24"/>
              </w:rPr>
              <w:t>验收要求</w:t>
            </w:r>
            <w:bookmarkEnd w:id="34"/>
            <w:bookmarkEnd w:id="35"/>
            <w:bookmarkEnd w:id="36"/>
          </w:p>
        </w:tc>
      </w:tr>
      <w:tr w14:paraId="3A399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8" w:type="pct"/>
            <w:vAlign w:val="center"/>
          </w:tcPr>
          <w:p w14:paraId="1BFBDF8A">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陆生生态</w:t>
            </w:r>
          </w:p>
        </w:tc>
        <w:tc>
          <w:tcPr>
            <w:tcW w:w="1303" w:type="pct"/>
            <w:vAlign w:val="center"/>
          </w:tcPr>
          <w:p w14:paraId="383370C3">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加强人员管理，控制施工范围，不超范围施工</w:t>
            </w:r>
          </w:p>
        </w:tc>
        <w:tc>
          <w:tcPr>
            <w:tcW w:w="858" w:type="pct"/>
            <w:vAlign w:val="center"/>
          </w:tcPr>
          <w:p w14:paraId="178A563A">
            <w:pPr>
              <w:adjustRightInd w:val="0"/>
              <w:snapToGrid w:val="0"/>
              <w:jc w:val="center"/>
              <w:rPr>
                <w:rFonts w:hint="default" w:ascii="Times New Roman" w:hAnsi="Times New Roman" w:eastAsia="宋体" w:cs="Times New Roman"/>
                <w:sz w:val="24"/>
                <w:szCs w:val="24"/>
              </w:rPr>
            </w:pPr>
            <w:r>
              <w:rPr>
                <w:rFonts w:hint="eastAsia" w:cs="Times New Roman"/>
                <w:sz w:val="24"/>
                <w:szCs w:val="24"/>
                <w:lang w:val="en-US" w:eastAsia="zh-CN"/>
              </w:rPr>
              <w:t>未超</w:t>
            </w:r>
            <w:r>
              <w:rPr>
                <w:rFonts w:hint="default" w:ascii="Times New Roman" w:hAnsi="Times New Roman" w:eastAsia="宋体" w:cs="Times New Roman"/>
                <w:sz w:val="24"/>
                <w:szCs w:val="24"/>
              </w:rPr>
              <w:t>施工范围</w:t>
            </w:r>
          </w:p>
        </w:tc>
        <w:tc>
          <w:tcPr>
            <w:tcW w:w="1122" w:type="pct"/>
            <w:vAlign w:val="center"/>
          </w:tcPr>
          <w:p w14:paraId="41F14933">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736" w:type="pct"/>
            <w:vAlign w:val="center"/>
          </w:tcPr>
          <w:p w14:paraId="473A93EC">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14:paraId="6CCFFF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8" w:type="pct"/>
            <w:vAlign w:val="center"/>
          </w:tcPr>
          <w:p w14:paraId="5A6F3334">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水生生态</w:t>
            </w:r>
          </w:p>
        </w:tc>
        <w:tc>
          <w:tcPr>
            <w:tcW w:w="1303" w:type="pct"/>
            <w:vAlign w:val="center"/>
          </w:tcPr>
          <w:p w14:paraId="761F5B55">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kern w:val="0"/>
                <w:sz w:val="24"/>
                <w:szCs w:val="24"/>
                <w:lang w:val="en-US" w:eastAsia="zh-CN"/>
              </w:rPr>
              <w:t>①施工前编制对水生生物影响较小的施工方案，加强施工管理，控制水域施工作业范围；②合理安排工期，尽量避免在雨季进行大量动土和开挖工程；③对施工造成的影响尽可能地恢复或</w:t>
            </w:r>
            <w:r>
              <w:rPr>
                <w:rFonts w:hint="eastAsia" w:ascii="仿宋_GB2312" w:hAnsi="宋体" w:cs="宋体"/>
                <w:color w:val="auto"/>
                <w:kern w:val="0"/>
                <w:sz w:val="24"/>
                <w:szCs w:val="24"/>
                <w:lang w:val="en-US" w:eastAsia="zh-CN"/>
              </w:rPr>
              <w:t>采取生态补偿，比如水域范围内清理施工</w:t>
            </w:r>
            <w:r>
              <w:rPr>
                <w:rFonts w:hint="default" w:ascii="仿宋_GB2312" w:hAnsi="宋体" w:cs="宋体"/>
                <w:color w:val="auto"/>
                <w:kern w:val="0"/>
                <w:sz w:val="24"/>
                <w:szCs w:val="24"/>
                <w:lang w:val="en-US" w:eastAsia="zh-CN"/>
              </w:rPr>
              <w:t>期悬浮物造成的淤积</w:t>
            </w:r>
            <w:r>
              <w:rPr>
                <w:rFonts w:hint="default" w:ascii="仿宋_GB2312" w:hAnsi="宋体" w:cs="宋体"/>
                <w:color w:val="auto"/>
                <w:kern w:val="0"/>
                <w:sz w:val="24"/>
                <w:szCs w:val="24"/>
              </w:rPr>
              <w:t>等</w:t>
            </w:r>
            <w:r>
              <w:rPr>
                <w:rFonts w:hint="eastAsia" w:ascii="仿宋_GB2312" w:hAnsi="宋体" w:cs="宋体"/>
                <w:color w:val="auto"/>
                <w:kern w:val="0"/>
                <w:sz w:val="24"/>
                <w:szCs w:val="24"/>
                <w:lang w:eastAsia="zh-CN"/>
              </w:rPr>
              <w:t>。</w:t>
            </w:r>
          </w:p>
        </w:tc>
        <w:tc>
          <w:tcPr>
            <w:tcW w:w="858" w:type="pct"/>
            <w:vAlign w:val="center"/>
          </w:tcPr>
          <w:p w14:paraId="00B8B805">
            <w:pPr>
              <w:adjustRightInd w:val="0"/>
              <w:snapToGrid w:val="0"/>
              <w:jc w:val="center"/>
              <w:rPr>
                <w:rFonts w:hint="default" w:ascii="Times New Roman" w:hAnsi="Times New Roman" w:eastAsia="宋体" w:cs="Times New Roman"/>
                <w:sz w:val="24"/>
                <w:szCs w:val="24"/>
              </w:rPr>
            </w:pPr>
            <w:r>
              <w:rPr>
                <w:rFonts w:hint="eastAsia" w:cs="Times New Roman"/>
                <w:sz w:val="24"/>
                <w:szCs w:val="24"/>
                <w:lang w:val="en-US" w:eastAsia="zh-CN"/>
              </w:rPr>
              <w:t>相关措施落实，尽量控制了对周围水生生态不利影响。</w:t>
            </w:r>
          </w:p>
        </w:tc>
        <w:tc>
          <w:tcPr>
            <w:tcW w:w="1122" w:type="pct"/>
            <w:vAlign w:val="center"/>
          </w:tcPr>
          <w:p w14:paraId="47B021FA">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736" w:type="pct"/>
            <w:vAlign w:val="center"/>
          </w:tcPr>
          <w:p w14:paraId="71F93438">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14:paraId="1665E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978" w:type="pct"/>
            <w:vAlign w:val="center"/>
          </w:tcPr>
          <w:p w14:paraId="178294C2">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地表水环境</w:t>
            </w:r>
          </w:p>
        </w:tc>
        <w:tc>
          <w:tcPr>
            <w:tcW w:w="1303" w:type="pct"/>
            <w:vAlign w:val="center"/>
          </w:tcPr>
          <w:p w14:paraId="46FC812F">
            <w:pPr>
              <w:adjustRightInd w:val="0"/>
              <w:snapToGrid w:val="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color w:val="auto"/>
                <w:kern w:val="0"/>
                <w:sz w:val="24"/>
                <w:szCs w:val="24"/>
                <w:lang w:val="en-US" w:eastAsia="zh-CN"/>
              </w:rPr>
              <w:t>①</w:t>
            </w:r>
            <w:r>
              <w:rPr>
                <w:rFonts w:hint="eastAsia" w:cs="Times New Roman"/>
                <w:bCs/>
                <w:sz w:val="24"/>
                <w:szCs w:val="24"/>
                <w:lang w:val="en-US" w:eastAsia="zh-CN"/>
              </w:rPr>
              <w:t>涉及省考断面处施工设置防淤帘，</w:t>
            </w:r>
            <w:r>
              <w:rPr>
                <w:rFonts w:hint="eastAsia" w:cs="Times New Roman"/>
                <w:b w:val="0"/>
                <w:bCs/>
                <w:sz w:val="24"/>
                <w:szCs w:val="24"/>
                <w:lang w:eastAsia="zh-CN"/>
              </w:rPr>
              <w:t>优化施工设备和工艺，</w:t>
            </w:r>
            <w:r>
              <w:rPr>
                <w:rFonts w:hint="eastAsia" w:cs="Times New Roman"/>
                <w:bCs/>
                <w:sz w:val="24"/>
                <w:szCs w:val="24"/>
                <w:lang w:val="en-US" w:eastAsia="zh-CN"/>
              </w:rPr>
              <w:t>采用选用对水质影响小的施工船舶和施工方式</w:t>
            </w:r>
            <w:r>
              <w:rPr>
                <w:rFonts w:hint="eastAsia" w:cs="Times New Roman"/>
                <w:b w:val="0"/>
                <w:bCs/>
                <w:sz w:val="24"/>
                <w:szCs w:val="24"/>
                <w:lang w:val="en-US" w:eastAsia="zh-CN"/>
              </w:rPr>
              <w:t>；</w:t>
            </w:r>
            <w:r>
              <w:rPr>
                <w:rFonts w:hint="default" w:ascii="Times New Roman" w:hAnsi="Times New Roman" w:eastAsia="宋体" w:cs="Times New Roman"/>
                <w:color w:val="auto"/>
                <w:kern w:val="0"/>
                <w:sz w:val="24"/>
                <w:szCs w:val="24"/>
                <w:lang w:val="en-US" w:eastAsia="zh-CN"/>
              </w:rPr>
              <w:t>②</w:t>
            </w:r>
            <w:r>
              <w:rPr>
                <w:rFonts w:hint="eastAsia" w:cs="Times New Roman"/>
                <w:bCs/>
                <w:sz w:val="24"/>
                <w:szCs w:val="24"/>
                <w:lang w:val="en-US" w:eastAsia="zh-CN"/>
              </w:rPr>
              <w:t>船舶生活污水</w:t>
            </w:r>
            <w:r>
              <w:rPr>
                <w:rFonts w:hint="eastAsia" w:ascii="仿宋_GB2312" w:hAnsi="宋体" w:cs="宋体"/>
                <w:color w:val="auto"/>
                <w:kern w:val="0"/>
                <w:sz w:val="24"/>
                <w:szCs w:val="24"/>
              </w:rPr>
              <w:t>由具备相应作业资质的污水接收船接收处理，运送到岸上集中处理</w:t>
            </w:r>
            <w:r>
              <w:rPr>
                <w:rFonts w:hint="eastAsia" w:ascii="仿宋_GB2312" w:hAnsi="宋体" w:cs="宋体"/>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③</w:t>
            </w:r>
            <w:r>
              <w:rPr>
                <w:rFonts w:hint="eastAsia" w:ascii="仿宋_GB2312" w:hAnsi="宋体" w:cs="宋体"/>
                <w:color w:val="auto"/>
                <w:kern w:val="0"/>
                <w:sz w:val="24"/>
                <w:szCs w:val="24"/>
                <w:lang w:val="en-US" w:eastAsia="zh-CN"/>
              </w:rPr>
              <w:t>船舶含油污水</w:t>
            </w:r>
            <w:r>
              <w:rPr>
                <w:rFonts w:hint="eastAsia"/>
                <w:color w:val="auto"/>
                <w:kern w:val="0"/>
                <w:sz w:val="24"/>
                <w:szCs w:val="24"/>
              </w:rPr>
              <w:t>由当地交通运输部门认可的有资质的</w:t>
            </w:r>
            <w:r>
              <w:rPr>
                <w:rFonts w:hint="eastAsia"/>
                <w:color w:val="auto"/>
                <w:kern w:val="0"/>
                <w:sz w:val="24"/>
                <w:szCs w:val="24"/>
                <w:lang w:val="en-US" w:eastAsia="zh-CN"/>
              </w:rPr>
              <w:t>单位</w:t>
            </w:r>
            <w:r>
              <w:rPr>
                <w:rFonts w:hint="eastAsia" w:ascii="Times New Roman" w:hAnsi="Times New Roman" w:cs="Times New Roman"/>
                <w:bCs/>
                <w:sz w:val="24"/>
                <w:szCs w:val="24"/>
                <w:lang w:val="en-US" w:eastAsia="zh-CN"/>
              </w:rPr>
              <w:t>接收处理；</w:t>
            </w:r>
            <w:r>
              <w:rPr>
                <w:rFonts w:hint="eastAsia" w:ascii="Times New Roman" w:hAnsi="Times New Roman" w:cs="Times New Roman"/>
                <w:bCs/>
                <w:sz w:val="24"/>
                <w:szCs w:val="24"/>
                <w:lang w:val="en-US" w:eastAsia="zh-CN"/>
              </w:rPr>
              <w:fldChar w:fldCharType="begin"/>
            </w:r>
            <w:r>
              <w:rPr>
                <w:rFonts w:hint="eastAsia" w:ascii="Times New Roman" w:hAnsi="Times New Roman" w:cs="Times New Roman"/>
                <w:bCs/>
                <w:sz w:val="24"/>
                <w:szCs w:val="24"/>
                <w:lang w:val="en-US" w:eastAsia="zh-CN"/>
              </w:rPr>
              <w:instrText xml:space="preserve"> = 4 \* GB3 \* MERGEFORMAT </w:instrText>
            </w:r>
            <w:r>
              <w:rPr>
                <w:rFonts w:hint="eastAsia" w:ascii="Times New Roman" w:hAnsi="Times New Roman" w:cs="Times New Roman"/>
                <w:bCs/>
                <w:sz w:val="24"/>
                <w:szCs w:val="24"/>
                <w:lang w:val="en-US" w:eastAsia="zh-CN"/>
              </w:rPr>
              <w:fldChar w:fldCharType="separate"/>
            </w:r>
            <w:r>
              <w:rPr>
                <w:rFonts w:hint="eastAsia" w:ascii="Times New Roman" w:hAnsi="Times New Roman" w:cs="Times New Roman"/>
                <w:bCs/>
                <w:sz w:val="24"/>
                <w:szCs w:val="24"/>
                <w:lang w:val="en-US" w:eastAsia="zh-CN"/>
              </w:rPr>
              <w:t>④</w:t>
            </w:r>
            <w:r>
              <w:rPr>
                <w:rFonts w:hint="eastAsia" w:ascii="Times New Roman" w:hAnsi="Times New Roman" w:cs="Times New Roman"/>
                <w:bCs/>
                <w:sz w:val="24"/>
                <w:szCs w:val="24"/>
                <w:lang w:val="en-US" w:eastAsia="zh-CN"/>
              </w:rPr>
              <w:fldChar w:fldCharType="end"/>
            </w:r>
            <w:r>
              <w:rPr>
                <w:rFonts w:hint="eastAsia" w:ascii="Times New Roman" w:hAnsi="Times New Roman" w:cs="Times New Roman"/>
                <w:bCs/>
                <w:sz w:val="24"/>
                <w:szCs w:val="24"/>
                <w:lang w:val="en-US" w:eastAsia="zh-CN"/>
              </w:rPr>
              <w:t>陆域施工人员生活依托当地居民设施，陆域生活污水接管市政污水管网；</w:t>
            </w:r>
            <w:r>
              <w:rPr>
                <w:rFonts w:hint="eastAsia" w:ascii="Times New Roman" w:hAnsi="Times New Roman" w:cs="Times New Roman"/>
                <w:bCs/>
                <w:sz w:val="24"/>
                <w:szCs w:val="24"/>
                <w:lang w:val="en-US" w:eastAsia="zh-CN"/>
              </w:rPr>
              <w:fldChar w:fldCharType="begin"/>
            </w:r>
            <w:r>
              <w:rPr>
                <w:rFonts w:hint="eastAsia" w:ascii="Times New Roman" w:hAnsi="Times New Roman" w:cs="Times New Roman"/>
                <w:bCs/>
                <w:sz w:val="24"/>
                <w:szCs w:val="24"/>
                <w:lang w:val="en-US" w:eastAsia="zh-CN"/>
              </w:rPr>
              <w:instrText xml:space="preserve"> = 5 \* GB3 \* MERGEFORMAT </w:instrText>
            </w:r>
            <w:r>
              <w:rPr>
                <w:rFonts w:hint="eastAsia" w:ascii="Times New Roman" w:hAnsi="Times New Roman" w:cs="Times New Roman"/>
                <w:bCs/>
                <w:sz w:val="24"/>
                <w:szCs w:val="24"/>
                <w:lang w:val="en-US" w:eastAsia="zh-CN"/>
              </w:rPr>
              <w:fldChar w:fldCharType="separate"/>
            </w:r>
            <w:r>
              <w:rPr>
                <w:rFonts w:hint="eastAsia" w:ascii="Times New Roman" w:hAnsi="Times New Roman" w:cs="Times New Roman"/>
                <w:bCs/>
                <w:sz w:val="24"/>
                <w:szCs w:val="24"/>
                <w:lang w:val="en-US" w:eastAsia="zh-CN"/>
              </w:rPr>
              <w:t>⑤</w:t>
            </w:r>
            <w:r>
              <w:rPr>
                <w:rFonts w:hint="eastAsia" w:ascii="Times New Roman" w:hAnsi="Times New Roman" w:cs="Times New Roman"/>
                <w:bCs/>
                <w:sz w:val="24"/>
                <w:szCs w:val="24"/>
                <w:lang w:val="en-US" w:eastAsia="zh-CN"/>
              </w:rPr>
              <w:fldChar w:fldCharType="end"/>
            </w:r>
            <w:r>
              <w:rPr>
                <w:rFonts w:hint="eastAsia" w:ascii="Times New Roman" w:hAnsi="Times New Roman" w:cs="Times New Roman"/>
                <w:bCs/>
                <w:sz w:val="24"/>
                <w:szCs w:val="24"/>
                <w:lang w:val="en-US" w:eastAsia="zh-CN"/>
              </w:rPr>
              <w:t>淤泥干化排水采取围堰、沉淀池处理</w:t>
            </w:r>
          </w:p>
        </w:tc>
        <w:tc>
          <w:tcPr>
            <w:tcW w:w="858" w:type="pct"/>
            <w:vAlign w:val="center"/>
          </w:tcPr>
          <w:p w14:paraId="6DD852D6">
            <w:pPr>
              <w:keepNext w:val="0"/>
              <w:keepLines w:val="0"/>
              <w:widowControl/>
              <w:suppressLineNumbers w:val="0"/>
              <w:jc w:val="center"/>
              <w:rPr>
                <w:rFonts w:hint="default" w:ascii="Times New Roman" w:hAnsi="Times New Roman" w:eastAsia="宋体" w:cs="Times New Roman"/>
                <w:sz w:val="24"/>
                <w:szCs w:val="24"/>
              </w:rPr>
            </w:pPr>
            <w:r>
              <w:rPr>
                <w:rFonts w:hint="eastAsia" w:ascii="Times New Roman" w:hAnsi="Times New Roman" w:cs="Times New Roman"/>
                <w:b w:val="0"/>
                <w:bCs w:val="0"/>
                <w:snapToGrid/>
                <w:sz w:val="24"/>
                <w:szCs w:val="24"/>
                <w:lang w:val="en-US" w:eastAsia="zh-CN" w:bidi="ar-SA"/>
              </w:rPr>
              <w:t>严格落实</w:t>
            </w:r>
            <w:r>
              <w:rPr>
                <w:rFonts w:hint="default" w:ascii="Times New Roman" w:hAnsi="Times New Roman" w:eastAsia="宋体" w:cs="Times New Roman"/>
                <w:b w:val="0"/>
                <w:bCs w:val="0"/>
                <w:snapToGrid/>
                <w:sz w:val="24"/>
                <w:szCs w:val="24"/>
                <w:lang w:bidi="ar-SA"/>
              </w:rPr>
              <w:t>《省生态环境厅关于印发防范清淤疏浚工程对水质影响工作方案的通知》</w:t>
            </w:r>
            <w:r>
              <w:rPr>
                <w:rFonts w:hint="eastAsia" w:cs="Times New Roman"/>
                <w:b w:val="0"/>
                <w:bCs w:val="0"/>
                <w:snapToGrid/>
                <w:sz w:val="24"/>
                <w:szCs w:val="24"/>
                <w:lang w:eastAsia="zh-CN" w:bidi="ar-SA"/>
              </w:rPr>
              <w:t>（</w:t>
            </w:r>
            <w:r>
              <w:rPr>
                <w:rFonts w:hint="default" w:ascii="Times New Roman" w:hAnsi="Times New Roman" w:eastAsia="宋体" w:cs="Times New Roman"/>
                <w:b w:val="0"/>
                <w:bCs w:val="0"/>
                <w:snapToGrid/>
                <w:sz w:val="24"/>
                <w:szCs w:val="24"/>
                <w:lang w:bidi="ar-SA"/>
              </w:rPr>
              <w:t>苏环办</w:t>
            </w:r>
            <w:r>
              <w:rPr>
                <w:rFonts w:hint="eastAsia" w:cs="Times New Roman"/>
                <w:b w:val="0"/>
                <w:bCs w:val="0"/>
                <w:snapToGrid/>
                <w:sz w:val="24"/>
                <w:szCs w:val="24"/>
                <w:lang w:eastAsia="zh-CN" w:bidi="ar-SA"/>
              </w:rPr>
              <w:t>（</w:t>
            </w:r>
            <w:r>
              <w:rPr>
                <w:rFonts w:hint="default" w:ascii="Times New Roman" w:hAnsi="Times New Roman" w:eastAsia="宋体" w:cs="Times New Roman"/>
                <w:b w:val="0"/>
                <w:bCs w:val="0"/>
                <w:snapToGrid/>
                <w:sz w:val="24"/>
                <w:szCs w:val="24"/>
                <w:lang w:bidi="ar-SA"/>
              </w:rPr>
              <w:t>2021</w:t>
            </w:r>
            <w:r>
              <w:rPr>
                <w:rFonts w:hint="eastAsia" w:cs="Times New Roman"/>
                <w:b w:val="0"/>
                <w:bCs w:val="0"/>
                <w:snapToGrid/>
                <w:sz w:val="24"/>
                <w:szCs w:val="24"/>
                <w:lang w:eastAsia="zh-CN" w:bidi="ar-SA"/>
              </w:rPr>
              <w:t>）</w:t>
            </w:r>
            <w:r>
              <w:rPr>
                <w:rFonts w:hint="default" w:ascii="Times New Roman" w:hAnsi="Times New Roman" w:eastAsia="宋体" w:cs="Times New Roman"/>
                <w:b w:val="0"/>
                <w:bCs w:val="0"/>
                <w:snapToGrid/>
                <w:sz w:val="24"/>
                <w:szCs w:val="24"/>
                <w:lang w:bidi="ar-SA"/>
              </w:rPr>
              <w:t>185 号</w:t>
            </w:r>
            <w:r>
              <w:rPr>
                <w:rFonts w:hint="eastAsia" w:cs="Times New Roman"/>
                <w:b w:val="0"/>
                <w:bCs w:val="0"/>
                <w:snapToGrid/>
                <w:sz w:val="24"/>
                <w:szCs w:val="24"/>
                <w:lang w:eastAsia="zh-CN" w:bidi="ar-SA"/>
              </w:rPr>
              <w:t>）</w:t>
            </w:r>
            <w:r>
              <w:rPr>
                <w:rFonts w:hint="eastAsia" w:cs="Times New Roman"/>
                <w:b w:val="0"/>
                <w:bCs w:val="0"/>
                <w:snapToGrid/>
                <w:sz w:val="24"/>
                <w:szCs w:val="24"/>
                <w:lang w:val="en-US" w:eastAsia="zh-CN" w:bidi="ar-SA"/>
              </w:rPr>
              <w:t>中相关要求，</w:t>
            </w:r>
            <w:r>
              <w:rPr>
                <w:rFonts w:hint="eastAsia" w:ascii="宋体" w:hAnsi="宋体" w:eastAsia="宋体" w:cs="宋体"/>
                <w:color w:val="000000"/>
                <w:kern w:val="0"/>
                <w:sz w:val="24"/>
                <w:szCs w:val="24"/>
                <w:lang w:val="en-US" w:eastAsia="zh-CN" w:bidi="ar"/>
              </w:rPr>
              <w:t>对周边地表水环境未造成明显不利影响</w:t>
            </w:r>
          </w:p>
        </w:tc>
        <w:tc>
          <w:tcPr>
            <w:tcW w:w="1122" w:type="pct"/>
            <w:vAlign w:val="center"/>
          </w:tcPr>
          <w:p w14:paraId="6E03AD84">
            <w:pPr>
              <w:adjustRightInd w:val="0"/>
              <w:snapToGrid w:val="0"/>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kern w:val="0"/>
                <w:sz w:val="24"/>
                <w:szCs w:val="24"/>
                <w:lang w:val="en-US" w:eastAsia="zh-CN"/>
              </w:rPr>
              <w:t>①</w:t>
            </w:r>
            <w:r>
              <w:rPr>
                <w:rFonts w:hint="eastAsia" w:cs="Times New Roman"/>
                <w:bCs/>
                <w:sz w:val="24"/>
                <w:szCs w:val="24"/>
                <w:lang w:val="en-US" w:eastAsia="zh-CN"/>
              </w:rPr>
              <w:t>船舶生活污水经</w:t>
            </w:r>
            <w:r>
              <w:rPr>
                <w:rFonts w:ascii="CIDFont" w:hAnsi="CIDFont" w:eastAsia="CIDFont" w:cs="CIDFont"/>
                <w:color w:val="000000"/>
                <w:kern w:val="0"/>
                <w:sz w:val="24"/>
                <w:szCs w:val="24"/>
                <w:lang w:val="en-US" w:eastAsia="zh-CN" w:bidi="ar"/>
              </w:rPr>
              <w:t>锚地后沿</w:t>
            </w:r>
            <w:r>
              <w:rPr>
                <w:rFonts w:hint="eastAsia" w:ascii="CIDFont" w:hAnsi="CIDFont" w:eastAsia="CIDFont" w:cs="CIDFont"/>
                <w:color w:val="000000"/>
                <w:kern w:val="0"/>
                <w:sz w:val="24"/>
                <w:szCs w:val="24"/>
                <w:lang w:val="en-US" w:eastAsia="zh-CN" w:bidi="ar"/>
              </w:rPr>
              <w:t>污水箱（</w:t>
            </w:r>
            <w:r>
              <w:rPr>
                <w:rFonts w:hint="eastAsia" w:cs="Times New Roman"/>
                <w:sz w:val="24"/>
                <w:szCs w:val="24"/>
                <w:lang w:val="en-US" w:eastAsia="zh-CN"/>
              </w:rPr>
              <w:t>4</w:t>
            </w:r>
            <w:r>
              <w:rPr>
                <w:rFonts w:hint="default" w:ascii="Times New Roman" w:hAnsi="Times New Roman" w:eastAsia="宋体" w:cs="Times New Roman"/>
                <w:sz w:val="24"/>
                <w:szCs w:val="24"/>
                <w:lang w:val="en-US" w:eastAsia="zh-CN"/>
              </w:rPr>
              <w:t>座污水收集箱</w:t>
            </w:r>
            <w:r>
              <w:rPr>
                <w:rFonts w:hint="eastAsia" w:ascii="Times New Roman" w:hAnsi="Times New Roman" w:cs="Times New Roman"/>
                <w:sz w:val="24"/>
                <w:szCs w:val="24"/>
                <w:lang w:val="en-US" w:eastAsia="zh-CN"/>
              </w:rPr>
              <w:t>，</w:t>
            </w:r>
            <w:r>
              <w:rPr>
                <w:rFonts w:hint="eastAsia" w:cs="Times New Roman"/>
                <w:sz w:val="24"/>
                <w:szCs w:val="24"/>
                <w:lang w:val="en-US" w:eastAsia="zh-CN"/>
              </w:rPr>
              <w:t>单座有效容积20m</w:t>
            </w:r>
            <w:r>
              <w:rPr>
                <w:rFonts w:hint="eastAsia"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CIDFont" w:hAnsi="CIDFont" w:eastAsia="CIDFont" w:cs="CIDFont"/>
                <w:color w:val="000000"/>
                <w:kern w:val="0"/>
                <w:sz w:val="24"/>
                <w:szCs w:val="24"/>
                <w:lang w:val="en-US" w:eastAsia="zh-CN" w:bidi="ar"/>
              </w:rPr>
              <w:t>收集后定期外运处理</w:t>
            </w:r>
            <w:r>
              <w:rPr>
                <w:rFonts w:hint="eastAsia" w:ascii="仿宋_GB2312" w:hAnsi="宋体" w:cs="宋体"/>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②</w:t>
            </w:r>
            <w:r>
              <w:rPr>
                <w:rFonts w:hint="eastAsia" w:ascii="仿宋_GB2312" w:hAnsi="宋体" w:cs="宋体"/>
                <w:color w:val="auto"/>
                <w:kern w:val="0"/>
                <w:sz w:val="24"/>
                <w:szCs w:val="24"/>
                <w:lang w:val="en-US" w:eastAsia="zh-CN"/>
              </w:rPr>
              <w:t>船舶含油污水</w:t>
            </w:r>
            <w:r>
              <w:rPr>
                <w:rFonts w:hint="eastAsia"/>
                <w:color w:val="auto"/>
                <w:kern w:val="0"/>
                <w:sz w:val="24"/>
                <w:szCs w:val="24"/>
              </w:rPr>
              <w:t>由当地交通运输部门认可的有资质的</w:t>
            </w:r>
            <w:r>
              <w:rPr>
                <w:rFonts w:hint="eastAsia"/>
                <w:color w:val="auto"/>
                <w:kern w:val="0"/>
                <w:sz w:val="24"/>
                <w:szCs w:val="24"/>
                <w:lang w:val="en-US" w:eastAsia="zh-CN"/>
              </w:rPr>
              <w:t>单位</w:t>
            </w:r>
            <w:r>
              <w:rPr>
                <w:rFonts w:hint="eastAsia"/>
                <w:color w:val="auto"/>
                <w:kern w:val="0"/>
                <w:sz w:val="24"/>
                <w:szCs w:val="24"/>
              </w:rPr>
              <w:t>接收处理</w:t>
            </w:r>
            <w:r>
              <w:rPr>
                <w:rFonts w:hint="eastAsia" w:cs="Times New Roman"/>
                <w:bCs/>
                <w:sz w:val="24"/>
                <w:szCs w:val="24"/>
                <w:lang w:eastAsia="zh-CN"/>
              </w:rPr>
              <w:t>；</w:t>
            </w:r>
            <w:r>
              <w:rPr>
                <w:rFonts w:hint="default" w:ascii="Times New Roman" w:hAnsi="Times New Roman" w:eastAsia="宋体" w:cs="Times New Roman"/>
                <w:color w:val="auto"/>
                <w:kern w:val="0"/>
                <w:sz w:val="24"/>
                <w:szCs w:val="24"/>
                <w:lang w:val="en-US" w:eastAsia="zh-CN"/>
              </w:rPr>
              <w:t>③</w:t>
            </w:r>
            <w:r>
              <w:rPr>
                <w:rFonts w:hint="eastAsia" w:cs="Times New Roman"/>
                <w:bCs/>
                <w:sz w:val="24"/>
                <w:szCs w:val="24"/>
                <w:lang w:val="en-US" w:eastAsia="zh-CN"/>
              </w:rPr>
              <w:t>初期雨水经初期雨水池</w:t>
            </w:r>
            <w:r>
              <w:rPr>
                <w:rFonts w:hint="eastAsia" w:cs="Times New Roman"/>
                <w:sz w:val="21"/>
                <w:szCs w:val="21"/>
                <w:highlight w:val="none"/>
                <w:lang w:val="en-US" w:eastAsia="zh-CN"/>
              </w:rPr>
              <w:t>（</w:t>
            </w:r>
            <w:r>
              <w:rPr>
                <w:rFonts w:hint="eastAsia" w:cs="Times New Roman"/>
                <w:sz w:val="24"/>
                <w:szCs w:val="24"/>
                <w:highlight w:val="none"/>
                <w:lang w:val="en-US" w:eastAsia="zh-CN"/>
              </w:rPr>
              <w:t>1座初期雨水池容积90m</w:t>
            </w:r>
            <w:r>
              <w:rPr>
                <w:rFonts w:hint="eastAsia" w:cs="Times New Roman"/>
                <w:sz w:val="24"/>
                <w:szCs w:val="24"/>
                <w:highlight w:val="none"/>
                <w:vertAlign w:val="superscript"/>
                <w:lang w:val="en-US" w:eastAsia="zh-CN"/>
              </w:rPr>
              <w:t>3</w:t>
            </w:r>
            <w:r>
              <w:rPr>
                <w:rFonts w:hint="eastAsia" w:cs="Times New Roman"/>
                <w:sz w:val="21"/>
                <w:szCs w:val="21"/>
                <w:highlight w:val="none"/>
                <w:lang w:val="en-US" w:eastAsia="zh-CN"/>
              </w:rPr>
              <w:t>）</w:t>
            </w:r>
            <w:r>
              <w:rPr>
                <w:rFonts w:hint="eastAsia" w:cs="Times New Roman"/>
                <w:bCs/>
                <w:sz w:val="24"/>
                <w:szCs w:val="24"/>
                <w:lang w:val="en-US" w:eastAsia="zh-CN"/>
              </w:rPr>
              <w:t>收集后外运处理。</w:t>
            </w:r>
          </w:p>
        </w:tc>
        <w:tc>
          <w:tcPr>
            <w:tcW w:w="736" w:type="pct"/>
            <w:vAlign w:val="center"/>
          </w:tcPr>
          <w:p w14:paraId="6FAB5443">
            <w:pPr>
              <w:adjustRightInd w:val="0"/>
              <w:snapToGrid w:val="0"/>
              <w:spacing w:line="320" w:lineRule="exact"/>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相关措施落实，未在项目水域</w:t>
            </w:r>
            <w:r>
              <w:rPr>
                <w:rFonts w:hint="eastAsia" w:ascii="宋体" w:hAnsi="宋体" w:cs="宋体"/>
                <w:color w:val="000000"/>
                <w:kern w:val="0"/>
                <w:sz w:val="24"/>
                <w:szCs w:val="24"/>
                <w:lang w:val="en-US" w:eastAsia="zh-CN" w:bidi="ar"/>
              </w:rPr>
              <w:t>直接</w:t>
            </w:r>
            <w:r>
              <w:rPr>
                <w:rFonts w:hint="eastAsia" w:ascii="宋体" w:hAnsi="宋体" w:eastAsia="宋体" w:cs="宋体"/>
                <w:color w:val="000000"/>
                <w:kern w:val="0"/>
                <w:sz w:val="24"/>
                <w:szCs w:val="24"/>
                <w:lang w:val="en-US" w:eastAsia="zh-CN" w:bidi="ar"/>
              </w:rPr>
              <w:t>排放污水</w:t>
            </w:r>
          </w:p>
          <w:p w14:paraId="7138C296">
            <w:pPr>
              <w:adjustRightInd w:val="0"/>
              <w:snapToGrid w:val="0"/>
              <w:spacing w:line="320" w:lineRule="exact"/>
              <w:jc w:val="center"/>
              <w:rPr>
                <w:rFonts w:hint="default" w:ascii="Times New Roman" w:hAnsi="Times New Roman" w:eastAsia="宋体" w:cs="Times New Roman"/>
                <w:sz w:val="24"/>
                <w:szCs w:val="24"/>
              </w:rPr>
            </w:pPr>
          </w:p>
        </w:tc>
      </w:tr>
      <w:tr w14:paraId="0BFDC8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8" w:type="pct"/>
            <w:vAlign w:val="center"/>
          </w:tcPr>
          <w:p w14:paraId="4653C758">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地下水及土壤环境</w:t>
            </w:r>
          </w:p>
        </w:tc>
        <w:tc>
          <w:tcPr>
            <w:tcW w:w="1303" w:type="pct"/>
            <w:vAlign w:val="center"/>
          </w:tcPr>
          <w:p w14:paraId="398B88D2">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858" w:type="pct"/>
            <w:vAlign w:val="center"/>
          </w:tcPr>
          <w:p w14:paraId="651AB175">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1122" w:type="pct"/>
            <w:vAlign w:val="center"/>
          </w:tcPr>
          <w:p w14:paraId="319D0094">
            <w:pPr>
              <w:adjustRightInd w:val="0"/>
              <w:snapToGrid w:val="0"/>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736" w:type="pct"/>
            <w:vAlign w:val="center"/>
          </w:tcPr>
          <w:p w14:paraId="20142727">
            <w:pPr>
              <w:adjustRightInd w:val="0"/>
              <w:snapToGrid w:val="0"/>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14:paraId="635AA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78" w:type="pct"/>
            <w:vAlign w:val="center"/>
          </w:tcPr>
          <w:p w14:paraId="176D6B63">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声环境</w:t>
            </w:r>
          </w:p>
        </w:tc>
        <w:tc>
          <w:tcPr>
            <w:tcW w:w="1303" w:type="pct"/>
            <w:vAlign w:val="center"/>
          </w:tcPr>
          <w:p w14:paraId="03A34A39">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lang w:val="en-US" w:eastAsia="zh-CN"/>
              </w:rPr>
              <w:t>合理安排施工作业的时间</w:t>
            </w:r>
            <w:r>
              <w:rPr>
                <w:rFonts w:hint="eastAsia" w:cs="Times New Roman"/>
                <w:kern w:val="0"/>
                <w:sz w:val="24"/>
                <w:szCs w:val="24"/>
                <w:lang w:val="en-US" w:eastAsia="zh-CN"/>
              </w:rPr>
              <w:t>，</w:t>
            </w:r>
            <w:r>
              <w:rPr>
                <w:rFonts w:hint="default" w:ascii="Times New Roman" w:hAnsi="Times New Roman" w:eastAsia="宋体" w:cs="Times New Roman"/>
                <w:kern w:val="0"/>
                <w:sz w:val="24"/>
                <w:szCs w:val="24"/>
                <w:lang w:val="en-US" w:eastAsia="zh-CN"/>
              </w:rPr>
              <w:t>选用低噪声、低振动的施工机械和运输车辆</w:t>
            </w:r>
          </w:p>
        </w:tc>
        <w:tc>
          <w:tcPr>
            <w:tcW w:w="858" w:type="pct"/>
            <w:vAlign w:val="center"/>
          </w:tcPr>
          <w:p w14:paraId="59E9202D">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落实相关措施，满足《建筑施工场界 </w:t>
            </w:r>
          </w:p>
          <w:p w14:paraId="1E9CCCEB">
            <w:pPr>
              <w:keepNext w:val="0"/>
              <w:keepLines w:val="0"/>
              <w:widowControl/>
              <w:suppressLineNumbers w:val="0"/>
              <w:jc w:val="left"/>
              <w:rPr>
                <w:rFonts w:hint="default" w:ascii="Times New Roman" w:hAnsi="Times New Roman" w:eastAsia="宋体" w:cs="Times New Roman"/>
                <w:sz w:val="24"/>
                <w:szCs w:val="24"/>
              </w:rPr>
            </w:pPr>
            <w:r>
              <w:rPr>
                <w:rFonts w:hint="eastAsia" w:ascii="宋体" w:hAnsi="宋体" w:eastAsia="宋体" w:cs="宋体"/>
                <w:color w:val="000000"/>
                <w:kern w:val="0"/>
                <w:sz w:val="24"/>
                <w:szCs w:val="24"/>
                <w:lang w:val="en-US" w:eastAsia="zh-CN" w:bidi="ar"/>
              </w:rPr>
              <w:t>环境噪声排放标准</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GB12523-2011</w:t>
            </w:r>
            <w:r>
              <w:rPr>
                <w:rFonts w:hint="eastAsia" w:ascii="宋体" w:hAnsi="宋体" w:eastAsia="宋体" w:cs="宋体"/>
                <w:color w:val="000000"/>
                <w:kern w:val="0"/>
                <w:sz w:val="24"/>
                <w:szCs w:val="24"/>
                <w:lang w:val="en-US" w:eastAsia="zh-CN" w:bidi="ar"/>
              </w:rPr>
              <w:t>）</w:t>
            </w:r>
          </w:p>
        </w:tc>
        <w:tc>
          <w:tcPr>
            <w:tcW w:w="1122" w:type="pct"/>
            <w:vAlign w:val="center"/>
          </w:tcPr>
          <w:p w14:paraId="4961B5F0">
            <w:pPr>
              <w:adjustRightInd w:val="0"/>
              <w:snapToGrid w:val="0"/>
              <w:spacing w:line="320" w:lineRule="exact"/>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加强船舶管理</w:t>
            </w:r>
          </w:p>
        </w:tc>
        <w:tc>
          <w:tcPr>
            <w:tcW w:w="736" w:type="pct"/>
            <w:vAlign w:val="center"/>
          </w:tcPr>
          <w:p w14:paraId="1451A268">
            <w:pPr>
              <w:adjustRightInd w:val="0"/>
              <w:snapToGrid w:val="0"/>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b w:val="0"/>
                <w:bCs/>
                <w:kern w:val="0"/>
                <w:sz w:val="24"/>
                <w:szCs w:val="24"/>
              </w:rPr>
              <w:t>合理使用鸣笛设备，尽量控制船的鸣笛次数和时间</w:t>
            </w:r>
          </w:p>
        </w:tc>
      </w:tr>
      <w:tr w14:paraId="3D8BD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pct"/>
            <w:vAlign w:val="center"/>
          </w:tcPr>
          <w:p w14:paraId="02000740">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振动</w:t>
            </w:r>
          </w:p>
        </w:tc>
        <w:tc>
          <w:tcPr>
            <w:tcW w:w="1303" w:type="pct"/>
            <w:vAlign w:val="center"/>
          </w:tcPr>
          <w:p w14:paraId="76519D01">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858" w:type="pct"/>
            <w:vAlign w:val="center"/>
          </w:tcPr>
          <w:p w14:paraId="6F2AA27A">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1122" w:type="pct"/>
            <w:vAlign w:val="center"/>
          </w:tcPr>
          <w:p w14:paraId="723AD1E2">
            <w:pPr>
              <w:adjustRightInd w:val="0"/>
              <w:snapToGrid w:val="0"/>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736" w:type="pct"/>
            <w:vAlign w:val="center"/>
          </w:tcPr>
          <w:p w14:paraId="7604D245">
            <w:pPr>
              <w:adjustRightInd w:val="0"/>
              <w:snapToGrid w:val="0"/>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14:paraId="0F0D5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8" w:type="pct"/>
            <w:vAlign w:val="center"/>
          </w:tcPr>
          <w:p w14:paraId="27C2AF58">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大气环境</w:t>
            </w:r>
          </w:p>
        </w:tc>
        <w:tc>
          <w:tcPr>
            <w:tcW w:w="1303" w:type="pct"/>
            <w:vAlign w:val="center"/>
          </w:tcPr>
          <w:p w14:paraId="50C59CF6">
            <w:pPr>
              <w:autoSpaceDE w:val="0"/>
              <w:autoSpaceDN w:val="0"/>
              <w:adjustRightInd w:val="0"/>
              <w:spacing w:line="320" w:lineRule="exact"/>
              <w:jc w:val="center"/>
              <w:rPr>
                <w:rFonts w:hint="default" w:ascii="Times New Roman" w:hAnsi="Times New Roman" w:cs="Times New Roman"/>
                <w:bCs/>
                <w:sz w:val="24"/>
                <w:szCs w:val="24"/>
                <w:lang w:val="en-US" w:eastAsia="zh-CN"/>
              </w:rPr>
            </w:pPr>
            <w:r>
              <w:rPr>
                <w:rFonts w:hint="default" w:ascii="Times New Roman" w:hAnsi="Times New Roman" w:eastAsia="宋体" w:cs="Times New Roman"/>
                <w:color w:val="auto"/>
                <w:kern w:val="0"/>
                <w:sz w:val="24"/>
                <w:szCs w:val="24"/>
                <w:lang w:val="en-US" w:eastAsia="zh-CN"/>
              </w:rPr>
              <w:t>①</w:t>
            </w:r>
            <w:r>
              <w:rPr>
                <w:rFonts w:hint="eastAsia" w:cs="Times New Roman"/>
                <w:bCs/>
                <w:sz w:val="24"/>
                <w:szCs w:val="24"/>
                <w:lang w:val="en-US" w:eastAsia="zh-CN"/>
              </w:rPr>
              <w:t>施工扬尘进行湿式作业，必要时洒水降尘；</w:t>
            </w:r>
            <w:r>
              <w:rPr>
                <w:rFonts w:hint="default" w:ascii="Times New Roman" w:hAnsi="Times New Roman" w:eastAsia="宋体" w:cs="Times New Roman"/>
                <w:color w:val="auto"/>
                <w:kern w:val="0"/>
                <w:sz w:val="24"/>
                <w:szCs w:val="24"/>
                <w:lang w:val="en-US" w:eastAsia="zh-CN"/>
              </w:rPr>
              <w:t>②</w:t>
            </w:r>
            <w:r>
              <w:rPr>
                <w:rFonts w:hint="eastAsia"/>
                <w:color w:val="auto"/>
                <w:kern w:val="0"/>
                <w:sz w:val="24"/>
                <w:szCs w:val="24"/>
              </w:rPr>
              <w:t>施工机械设备废气、运输车辆尾气和施工船舶废气</w:t>
            </w:r>
            <w:r>
              <w:rPr>
                <w:rFonts w:hint="default" w:ascii="Times New Roman" w:hAnsi="Times New Roman" w:eastAsia="宋体" w:cs="Times New Roman"/>
                <w:bCs/>
                <w:sz w:val="24"/>
                <w:szCs w:val="24"/>
              </w:rPr>
              <w:t>选用符合环保要求的施工船舶</w:t>
            </w:r>
            <w:r>
              <w:rPr>
                <w:rFonts w:hint="eastAsia" w:cs="Times New Roman"/>
                <w:bCs/>
                <w:sz w:val="24"/>
                <w:szCs w:val="24"/>
                <w:lang w:eastAsia="zh-CN"/>
              </w:rPr>
              <w:t>、</w:t>
            </w:r>
            <w:r>
              <w:rPr>
                <w:rFonts w:hint="eastAsia"/>
                <w:color w:val="auto"/>
                <w:kern w:val="0"/>
                <w:sz w:val="24"/>
                <w:szCs w:val="24"/>
              </w:rPr>
              <w:t>机械设备</w:t>
            </w:r>
            <w:r>
              <w:rPr>
                <w:rFonts w:hint="eastAsia" w:ascii="Times New Roman" w:hAnsi="Times New Roman" w:cs="Times New Roman"/>
                <w:bCs/>
                <w:sz w:val="24"/>
                <w:szCs w:val="24"/>
                <w:lang w:val="en-US" w:eastAsia="zh-CN"/>
              </w:rPr>
              <w:t>、运输车辆</w:t>
            </w:r>
            <w:r>
              <w:rPr>
                <w:rFonts w:hint="default" w:ascii="Times New Roman" w:hAnsi="Times New Roman" w:cs="Times New Roman"/>
                <w:bCs/>
                <w:sz w:val="24"/>
                <w:szCs w:val="24"/>
                <w:lang w:val="en-US" w:eastAsia="zh-CN"/>
              </w:rPr>
              <w:t>和燃料</w:t>
            </w:r>
            <w:r>
              <w:rPr>
                <w:rFonts w:hint="eastAsia" w:ascii="Times New Roman" w:hAnsi="Times New Roman" w:cs="Times New Roman"/>
                <w:bCs/>
                <w:sz w:val="24"/>
                <w:szCs w:val="24"/>
                <w:lang w:val="en-US" w:eastAsia="zh-CN"/>
              </w:rPr>
              <w:t>；</w:t>
            </w:r>
            <w:r>
              <w:rPr>
                <w:rFonts w:hint="default" w:ascii="Times New Roman" w:hAnsi="Times New Roman" w:cs="Times New Roman"/>
                <w:bCs/>
                <w:sz w:val="24"/>
                <w:szCs w:val="24"/>
                <w:lang w:val="en-US" w:eastAsia="zh-CN"/>
              </w:rPr>
              <w:t>③</w:t>
            </w:r>
            <w:r>
              <w:rPr>
                <w:rFonts w:hint="eastAsia" w:ascii="Times New Roman" w:hAnsi="Times New Roman" w:cs="Times New Roman"/>
                <w:bCs/>
                <w:sz w:val="24"/>
                <w:szCs w:val="24"/>
                <w:lang w:val="en-US" w:eastAsia="zh-CN"/>
              </w:rPr>
              <w:t xml:space="preserve">污泥干化 </w:t>
            </w:r>
          </w:p>
          <w:p w14:paraId="0BD0BA13">
            <w:pPr>
              <w:autoSpaceDE w:val="0"/>
              <w:autoSpaceDN w:val="0"/>
              <w:adjustRightInd w:val="0"/>
              <w:spacing w:line="320" w:lineRule="exact"/>
              <w:jc w:val="center"/>
              <w:rPr>
                <w:rFonts w:hint="default" w:ascii="Times New Roman" w:hAnsi="Times New Roman" w:eastAsia="宋体" w:cs="Times New Roman"/>
                <w:sz w:val="24"/>
                <w:szCs w:val="24"/>
              </w:rPr>
            </w:pPr>
            <w:r>
              <w:rPr>
                <w:rFonts w:hint="eastAsia" w:ascii="Times New Roman" w:hAnsi="Times New Roman" w:cs="Times New Roman"/>
                <w:bCs/>
                <w:sz w:val="24"/>
                <w:szCs w:val="24"/>
                <w:lang w:val="en-US" w:eastAsia="zh-CN"/>
              </w:rPr>
              <w:t>场</w:t>
            </w:r>
            <w:r>
              <w:rPr>
                <w:rFonts w:hint="eastAsia" w:cs="Times New Roman"/>
                <w:bCs/>
                <w:sz w:val="24"/>
                <w:szCs w:val="24"/>
                <w:lang w:val="en-US" w:eastAsia="zh-CN"/>
              </w:rPr>
              <w:t>恶臭</w:t>
            </w:r>
            <w:r>
              <w:rPr>
                <w:rFonts w:hint="eastAsia" w:ascii="Times New Roman" w:hAnsi="Times New Roman" w:cs="Times New Roman"/>
                <w:bCs/>
                <w:sz w:val="24"/>
                <w:szCs w:val="24"/>
                <w:lang w:val="en-US" w:eastAsia="zh-CN"/>
              </w:rPr>
              <w:t>区围堰或围挡、淤泥干化场表面铺设塑料薄膜镂空覆盖，喷洒除臭药剂的方法来抑制恶臭产生量；加强挖泥船和泥驳 船作业管理，加快底泥干化作业。</w:t>
            </w:r>
          </w:p>
        </w:tc>
        <w:tc>
          <w:tcPr>
            <w:tcW w:w="858" w:type="pct"/>
            <w:vAlign w:val="center"/>
          </w:tcPr>
          <w:p w14:paraId="66BC43D5">
            <w:pPr>
              <w:keepNext w:val="0"/>
              <w:keepLines w:val="0"/>
              <w:widowControl/>
              <w:suppressLineNumbers w:val="0"/>
              <w:jc w:val="center"/>
              <w:rPr>
                <w:sz w:val="24"/>
                <w:szCs w:val="24"/>
              </w:rPr>
            </w:pPr>
            <w:r>
              <w:rPr>
                <w:rFonts w:hint="eastAsia" w:ascii="宋体" w:hAnsi="宋体" w:eastAsia="宋体" w:cs="宋体"/>
                <w:color w:val="000000"/>
                <w:kern w:val="0"/>
                <w:sz w:val="24"/>
                <w:szCs w:val="24"/>
                <w:lang w:val="en-US" w:eastAsia="zh-CN" w:bidi="ar"/>
              </w:rPr>
              <w:t>按要求进行施工，未对周边大气环境</w:t>
            </w:r>
          </w:p>
          <w:p w14:paraId="347EDB66">
            <w:pPr>
              <w:keepNext w:val="0"/>
              <w:keepLines w:val="0"/>
              <w:widowControl/>
              <w:suppressLineNumbers w:val="0"/>
              <w:jc w:val="center"/>
              <w:rPr>
                <w:sz w:val="24"/>
                <w:szCs w:val="24"/>
              </w:rPr>
            </w:pPr>
            <w:r>
              <w:rPr>
                <w:rFonts w:hint="eastAsia" w:ascii="宋体" w:hAnsi="宋体" w:eastAsia="宋体" w:cs="宋体"/>
                <w:color w:val="000000"/>
                <w:kern w:val="0"/>
                <w:sz w:val="24"/>
                <w:szCs w:val="24"/>
                <w:lang w:val="en-US" w:eastAsia="zh-CN" w:bidi="ar"/>
              </w:rPr>
              <w:t>造成不利影响</w:t>
            </w:r>
          </w:p>
          <w:p w14:paraId="11E57CB1">
            <w:pPr>
              <w:adjustRightInd w:val="0"/>
              <w:snapToGrid w:val="0"/>
              <w:jc w:val="center"/>
              <w:rPr>
                <w:rFonts w:hint="default" w:ascii="Times New Roman" w:hAnsi="Times New Roman" w:eastAsia="宋体" w:cs="Times New Roman"/>
                <w:sz w:val="24"/>
                <w:szCs w:val="24"/>
              </w:rPr>
            </w:pPr>
          </w:p>
        </w:tc>
        <w:tc>
          <w:tcPr>
            <w:tcW w:w="1122" w:type="pct"/>
            <w:vAlign w:val="center"/>
          </w:tcPr>
          <w:p w14:paraId="54838A57">
            <w:pPr>
              <w:adjustRightInd w:val="0"/>
              <w:snapToGrid w:val="0"/>
              <w:spacing w:line="320" w:lineRule="exact"/>
              <w:jc w:val="center"/>
              <w:rPr>
                <w:rFonts w:hint="default" w:ascii="Times New Roman" w:hAnsi="Times New Roman" w:eastAsia="宋体" w:cs="Times New Roman"/>
                <w:sz w:val="24"/>
                <w:szCs w:val="24"/>
              </w:rPr>
            </w:pPr>
            <w:r>
              <w:rPr>
                <w:rFonts w:hint="eastAsia" w:cs="Times New Roman"/>
                <w:b w:val="0"/>
                <w:bCs/>
                <w:sz w:val="24"/>
                <w:szCs w:val="24"/>
                <w:lang w:val="en-US" w:eastAsia="zh-CN"/>
              </w:rPr>
              <w:t>进港船舶</w:t>
            </w:r>
            <w:r>
              <w:rPr>
                <w:rFonts w:hint="default" w:ascii="Times New Roman" w:hAnsi="Times New Roman" w:eastAsia="宋体" w:cs="Times New Roman"/>
                <w:bCs/>
                <w:sz w:val="24"/>
                <w:szCs w:val="24"/>
              </w:rPr>
              <w:t>选用符合环保要求的燃料</w:t>
            </w:r>
            <w:r>
              <w:rPr>
                <w:rFonts w:hint="eastAsia" w:cs="Times New Roman"/>
                <w:bCs/>
                <w:sz w:val="24"/>
                <w:szCs w:val="24"/>
                <w:lang w:eastAsia="zh-CN"/>
              </w:rPr>
              <w:t>，</w:t>
            </w:r>
            <w:r>
              <w:rPr>
                <w:rFonts w:hint="eastAsia" w:cs="Times New Roman"/>
                <w:bCs/>
                <w:sz w:val="24"/>
                <w:szCs w:val="24"/>
                <w:lang w:val="en-US" w:eastAsia="zh-CN"/>
              </w:rPr>
              <w:t>优先使用岸电</w:t>
            </w:r>
          </w:p>
        </w:tc>
        <w:tc>
          <w:tcPr>
            <w:tcW w:w="736" w:type="pct"/>
            <w:vAlign w:val="center"/>
          </w:tcPr>
          <w:p w14:paraId="24B8F912">
            <w:pPr>
              <w:adjustRightInd w:val="0"/>
              <w:snapToGrid w:val="0"/>
              <w:spacing w:line="320" w:lineRule="exact"/>
              <w:jc w:val="center"/>
              <w:rPr>
                <w:rFonts w:hint="default" w:ascii="Times New Roman" w:hAnsi="Times New Roman" w:eastAsia="宋体" w:cs="Times New Roman"/>
                <w:sz w:val="24"/>
                <w:szCs w:val="24"/>
              </w:rPr>
            </w:pPr>
            <w:r>
              <w:rPr>
                <w:rFonts w:hint="eastAsia" w:ascii="宋体" w:hAnsi="宋体" w:eastAsia="宋体" w:cs="宋体"/>
                <w:color w:val="000000"/>
                <w:kern w:val="0"/>
                <w:sz w:val="24"/>
                <w:szCs w:val="24"/>
                <w:lang w:val="en-US" w:eastAsia="zh-CN" w:bidi="ar"/>
              </w:rPr>
              <w:t>相关措施落实</w:t>
            </w:r>
          </w:p>
        </w:tc>
      </w:tr>
      <w:tr w14:paraId="1E9E5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8" w:type="pct"/>
            <w:vAlign w:val="center"/>
          </w:tcPr>
          <w:p w14:paraId="6B77369E">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1303" w:type="pct"/>
            <w:vAlign w:val="center"/>
          </w:tcPr>
          <w:p w14:paraId="52328B90">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kern w:val="0"/>
                <w:sz w:val="24"/>
                <w:szCs w:val="24"/>
                <w:lang w:val="en-US" w:eastAsia="zh-CN"/>
              </w:rPr>
              <w:t>①</w:t>
            </w:r>
            <w:r>
              <w:rPr>
                <w:rFonts w:hint="eastAsia" w:ascii="CIDFont" w:hAnsi="CIDFont" w:eastAsia="CIDFont" w:cs="CIDFont"/>
                <w:b w:val="0"/>
                <w:bCs w:val="0"/>
                <w:color w:val="000000"/>
                <w:kern w:val="0"/>
                <w:sz w:val="24"/>
                <w:szCs w:val="24"/>
                <w:lang w:val="en-US" w:eastAsia="zh-CN" w:bidi="ar"/>
              </w:rPr>
              <w:t>船舶</w:t>
            </w:r>
            <w:r>
              <w:rPr>
                <w:rFonts w:hint="default" w:ascii="CIDFont" w:hAnsi="CIDFont" w:eastAsia="CIDFont" w:cs="CIDFont"/>
                <w:b w:val="0"/>
                <w:bCs w:val="0"/>
                <w:color w:val="000000"/>
                <w:kern w:val="0"/>
                <w:sz w:val="24"/>
                <w:szCs w:val="24"/>
                <w:lang w:val="en-US" w:eastAsia="zh-CN" w:bidi="ar"/>
              </w:rPr>
              <w:t>生活</w:t>
            </w:r>
            <w:r>
              <w:rPr>
                <w:rFonts w:hint="default" w:ascii="CIDFont" w:hAnsi="CIDFont" w:eastAsia="CIDFont" w:cs="CIDFont"/>
                <w:color w:val="000000"/>
                <w:kern w:val="0"/>
                <w:sz w:val="24"/>
                <w:szCs w:val="24"/>
                <w:lang w:val="en-US" w:eastAsia="zh-CN" w:bidi="ar"/>
              </w:rPr>
              <w:t>垃圾</w:t>
            </w:r>
            <w:r>
              <w:rPr>
                <w:rFonts w:hint="eastAsia" w:ascii="CIDFont" w:hAnsi="CIDFont" w:eastAsia="CIDFont" w:cs="CIDFont"/>
                <w:color w:val="000000"/>
                <w:kern w:val="0"/>
                <w:sz w:val="24"/>
                <w:szCs w:val="24"/>
                <w:lang w:val="en-US" w:eastAsia="zh-CN" w:bidi="ar"/>
              </w:rPr>
              <w:t>和陆域生活垃圾</w:t>
            </w:r>
            <w:r>
              <w:rPr>
                <w:rFonts w:hint="default" w:ascii="CIDFont" w:hAnsi="CIDFont" w:eastAsia="CIDFont" w:cs="CIDFont"/>
                <w:color w:val="000000"/>
                <w:kern w:val="0"/>
                <w:sz w:val="24"/>
                <w:szCs w:val="24"/>
                <w:lang w:val="en-US" w:eastAsia="zh-CN" w:bidi="ar"/>
              </w:rPr>
              <w:t>收集后</w:t>
            </w:r>
            <w:r>
              <w:rPr>
                <w:rFonts w:hint="eastAsia"/>
                <w:color w:val="auto"/>
                <w:kern w:val="0"/>
                <w:sz w:val="24"/>
                <w:szCs w:val="24"/>
              </w:rPr>
              <w:t>交由当地环卫部</w:t>
            </w:r>
            <w:r>
              <w:rPr>
                <w:rFonts w:hint="eastAsia" w:ascii="CIDFont" w:hAnsi="CIDFont" w:eastAsia="CIDFont" w:cs="CIDFont"/>
                <w:color w:val="000000"/>
                <w:kern w:val="0"/>
                <w:sz w:val="24"/>
                <w:szCs w:val="24"/>
                <w:lang w:val="en-US" w:eastAsia="zh-CN" w:bidi="ar"/>
              </w:rPr>
              <w:t>门接收处理；</w:t>
            </w:r>
            <w:r>
              <w:rPr>
                <w:rFonts w:hint="default" w:ascii="Times New Roman" w:hAnsi="Times New Roman" w:eastAsia="宋体" w:cs="Times New Roman"/>
                <w:color w:val="auto"/>
                <w:kern w:val="0"/>
                <w:sz w:val="24"/>
                <w:szCs w:val="24"/>
                <w:lang w:val="en-US" w:eastAsia="zh-CN"/>
              </w:rPr>
              <w:t>②</w:t>
            </w:r>
            <w:r>
              <w:rPr>
                <w:rFonts w:hint="eastAsia" w:ascii="CIDFont" w:hAnsi="CIDFont" w:eastAsia="CIDFont" w:cs="CIDFont"/>
                <w:color w:val="000000"/>
                <w:kern w:val="0"/>
                <w:sz w:val="24"/>
                <w:szCs w:val="24"/>
                <w:lang w:val="en-US" w:eastAsia="zh-CN" w:bidi="ar"/>
              </w:rPr>
              <w:t>疏浚产生的淤泥配泥驳转运至拟定污泥干化场</w:t>
            </w:r>
            <w:r>
              <w:rPr>
                <w:rFonts w:hint="default" w:ascii="CIDFont" w:hAnsi="CIDFont" w:eastAsia="CIDFont" w:cs="CIDFont"/>
                <w:color w:val="000000"/>
                <w:kern w:val="0"/>
                <w:sz w:val="24"/>
                <w:szCs w:val="24"/>
                <w:lang w:val="en-US" w:eastAsia="zh-CN" w:bidi="ar"/>
              </w:rPr>
              <w:t>。</w:t>
            </w:r>
          </w:p>
        </w:tc>
        <w:tc>
          <w:tcPr>
            <w:tcW w:w="858" w:type="pct"/>
            <w:vAlign w:val="center"/>
          </w:tcPr>
          <w:p w14:paraId="783C9137">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固废妥善处置</w:t>
            </w:r>
          </w:p>
        </w:tc>
        <w:tc>
          <w:tcPr>
            <w:tcW w:w="1122" w:type="pct"/>
            <w:vAlign w:val="center"/>
          </w:tcPr>
          <w:p w14:paraId="6B6E411C">
            <w:pPr>
              <w:adjustRightInd w:val="0"/>
              <w:snapToGrid w:val="0"/>
              <w:spacing w:line="320" w:lineRule="exact"/>
              <w:jc w:val="center"/>
              <w:rPr>
                <w:rFonts w:hint="default" w:ascii="Times New Roman" w:hAnsi="Times New Roman" w:eastAsia="宋体" w:cs="Times New Roman"/>
                <w:sz w:val="24"/>
                <w:szCs w:val="24"/>
                <w:lang w:val="en-US" w:eastAsia="zh-CN"/>
              </w:rPr>
            </w:pPr>
            <w:r>
              <w:rPr>
                <w:rFonts w:hint="eastAsia" w:ascii="CIDFont" w:hAnsi="CIDFont" w:eastAsia="CIDFont" w:cs="CIDFont"/>
                <w:b w:val="0"/>
                <w:bCs w:val="0"/>
                <w:color w:val="000000"/>
                <w:kern w:val="0"/>
                <w:sz w:val="24"/>
                <w:szCs w:val="24"/>
                <w:lang w:val="en-US" w:eastAsia="zh-CN" w:bidi="ar"/>
              </w:rPr>
              <w:t>船舶</w:t>
            </w:r>
            <w:r>
              <w:rPr>
                <w:rFonts w:hint="default" w:ascii="CIDFont" w:hAnsi="CIDFont" w:eastAsia="CIDFont" w:cs="CIDFont"/>
                <w:b w:val="0"/>
                <w:bCs w:val="0"/>
                <w:color w:val="000000"/>
                <w:kern w:val="0"/>
                <w:sz w:val="24"/>
                <w:szCs w:val="24"/>
                <w:lang w:val="en-US" w:eastAsia="zh-CN" w:bidi="ar"/>
              </w:rPr>
              <w:t>生活</w:t>
            </w:r>
            <w:r>
              <w:rPr>
                <w:rFonts w:hint="default" w:ascii="CIDFont" w:hAnsi="CIDFont" w:eastAsia="CIDFont" w:cs="CIDFont"/>
                <w:color w:val="000000"/>
                <w:kern w:val="0"/>
                <w:sz w:val="24"/>
                <w:szCs w:val="24"/>
                <w:lang w:val="en-US" w:eastAsia="zh-CN" w:bidi="ar"/>
              </w:rPr>
              <w:t>垃圾收集后</w:t>
            </w:r>
            <w:r>
              <w:rPr>
                <w:rFonts w:hint="eastAsia"/>
                <w:color w:val="auto"/>
                <w:kern w:val="0"/>
                <w:sz w:val="24"/>
                <w:szCs w:val="24"/>
              </w:rPr>
              <w:t>交由当地环卫部</w:t>
            </w:r>
            <w:r>
              <w:rPr>
                <w:rFonts w:hint="eastAsia" w:ascii="CIDFont" w:hAnsi="CIDFont" w:eastAsia="CIDFont" w:cs="CIDFont"/>
                <w:color w:val="000000"/>
                <w:kern w:val="0"/>
                <w:sz w:val="24"/>
                <w:szCs w:val="24"/>
                <w:lang w:val="en-US" w:eastAsia="zh-CN" w:bidi="ar"/>
              </w:rPr>
              <w:t>门接收处理；</w:t>
            </w:r>
            <w:r>
              <w:rPr>
                <w:rFonts w:hint="default" w:ascii="CIDFont" w:hAnsi="CIDFont" w:eastAsia="CIDFont" w:cs="CIDFont"/>
                <w:color w:val="000000"/>
                <w:kern w:val="0"/>
                <w:sz w:val="24"/>
                <w:szCs w:val="24"/>
                <w:lang w:val="en-US" w:eastAsia="zh-CN" w:bidi="ar"/>
              </w:rPr>
              <w:t>船舶保养产生的固体废物属于</w:t>
            </w:r>
            <w:r>
              <w:rPr>
                <w:rFonts w:hint="default" w:ascii="Times New Roman" w:hAnsi="Times New Roman" w:eastAsia="宋体" w:cs="Times New Roman"/>
                <w:bCs/>
                <w:sz w:val="24"/>
                <w:szCs w:val="24"/>
                <w:lang w:val="en-US" w:eastAsia="zh-CN"/>
              </w:rPr>
              <w:t>HW08类（900-214-08）</w:t>
            </w:r>
            <w:r>
              <w:rPr>
                <w:rFonts w:hint="default" w:ascii="CIDFont" w:hAnsi="CIDFont" w:eastAsia="CIDFont" w:cs="CIDFont"/>
                <w:color w:val="000000"/>
                <w:kern w:val="0"/>
                <w:sz w:val="24"/>
                <w:szCs w:val="24"/>
                <w:lang w:val="en-US" w:eastAsia="zh-CN" w:bidi="ar"/>
              </w:rPr>
              <w:t>，交由海事部门指定有资质单位接收处理</w:t>
            </w:r>
          </w:p>
        </w:tc>
        <w:tc>
          <w:tcPr>
            <w:tcW w:w="736" w:type="pct"/>
            <w:vAlign w:val="center"/>
          </w:tcPr>
          <w:p w14:paraId="2DE24697">
            <w:pPr>
              <w:adjustRightInd w:val="0"/>
              <w:snapToGrid w:val="0"/>
              <w:spacing w:line="320" w:lineRule="exact"/>
              <w:jc w:val="center"/>
              <w:rPr>
                <w:rFonts w:hint="default" w:ascii="Times New Roman" w:hAnsi="Times New Roman" w:eastAsia="宋体" w:cs="Times New Roman"/>
                <w:sz w:val="24"/>
                <w:szCs w:val="24"/>
              </w:rPr>
            </w:pPr>
            <w:r>
              <w:rPr>
                <w:rFonts w:hint="eastAsia" w:cs="Times New Roman"/>
                <w:sz w:val="24"/>
                <w:szCs w:val="24"/>
                <w:lang w:val="en-US" w:eastAsia="zh-CN"/>
              </w:rPr>
              <w:t>固废妥善处置</w:t>
            </w:r>
          </w:p>
        </w:tc>
      </w:tr>
      <w:tr w14:paraId="259A6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78" w:type="pct"/>
            <w:vAlign w:val="center"/>
          </w:tcPr>
          <w:p w14:paraId="436875C2">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电磁环境</w:t>
            </w:r>
          </w:p>
        </w:tc>
        <w:tc>
          <w:tcPr>
            <w:tcW w:w="1303" w:type="pct"/>
            <w:vAlign w:val="center"/>
          </w:tcPr>
          <w:p w14:paraId="1182DAB0">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858" w:type="pct"/>
            <w:vAlign w:val="center"/>
          </w:tcPr>
          <w:p w14:paraId="35E4F013">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1122" w:type="pct"/>
            <w:vAlign w:val="center"/>
          </w:tcPr>
          <w:p w14:paraId="42122095">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736" w:type="pct"/>
            <w:vAlign w:val="center"/>
          </w:tcPr>
          <w:p w14:paraId="2824BE22">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14:paraId="1597E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978" w:type="pct"/>
            <w:vAlign w:val="center"/>
          </w:tcPr>
          <w:p w14:paraId="47DA4361">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环境风险</w:t>
            </w:r>
          </w:p>
        </w:tc>
        <w:tc>
          <w:tcPr>
            <w:tcW w:w="1303" w:type="pct"/>
            <w:vAlign w:val="center"/>
          </w:tcPr>
          <w:p w14:paraId="4ACE4E08">
            <w:pPr>
              <w:adjustRightInd w:val="0"/>
              <w:snapToGrid w:val="0"/>
              <w:jc w:val="center"/>
              <w:rPr>
                <w:rFonts w:hint="default" w:ascii="Times New Roman" w:hAnsi="Times New Roman" w:eastAsia="宋体" w:cs="Times New Roman"/>
                <w:sz w:val="24"/>
                <w:szCs w:val="24"/>
              </w:rPr>
            </w:pPr>
            <w:r>
              <w:rPr>
                <w:rFonts w:hint="default" w:ascii="仿宋_GB2312" w:hAnsi="宋体" w:cs="宋体"/>
                <w:color w:val="auto"/>
                <w:kern w:val="0"/>
                <w:sz w:val="24"/>
                <w:szCs w:val="24"/>
              </w:rPr>
              <w:t>配备溢油应急物资</w:t>
            </w:r>
          </w:p>
        </w:tc>
        <w:tc>
          <w:tcPr>
            <w:tcW w:w="858" w:type="pct"/>
            <w:vAlign w:val="center"/>
          </w:tcPr>
          <w:p w14:paraId="30D9150A">
            <w:pPr>
              <w:adjustRightInd w:val="0"/>
              <w:snapToGrid w:val="0"/>
              <w:jc w:val="center"/>
              <w:rPr>
                <w:rFonts w:hint="default" w:ascii="Times New Roman" w:hAnsi="Times New Roman" w:eastAsia="宋体" w:cs="Times New Roman"/>
                <w:sz w:val="24"/>
                <w:szCs w:val="24"/>
              </w:rPr>
            </w:pPr>
            <w:r>
              <w:rPr>
                <w:rFonts w:hint="default" w:ascii="仿宋_GB2312" w:hAnsi="宋体" w:cs="宋体"/>
                <w:color w:val="auto"/>
                <w:kern w:val="0"/>
                <w:sz w:val="24"/>
                <w:szCs w:val="24"/>
              </w:rPr>
              <w:t>配备溢油应急物资</w:t>
            </w:r>
          </w:p>
        </w:tc>
        <w:tc>
          <w:tcPr>
            <w:tcW w:w="1122" w:type="pct"/>
            <w:vAlign w:val="center"/>
          </w:tcPr>
          <w:p w14:paraId="221AE0CC">
            <w:pPr>
              <w:adjustRightInd w:val="0"/>
              <w:snapToGrid w:val="0"/>
              <w:spacing w:line="320" w:lineRule="exact"/>
              <w:jc w:val="center"/>
              <w:rPr>
                <w:rFonts w:hint="default" w:ascii="Times New Roman" w:hAnsi="Times New Roman" w:eastAsia="宋体" w:cs="Times New Roman"/>
                <w:sz w:val="24"/>
                <w:szCs w:val="24"/>
              </w:rPr>
            </w:pPr>
            <w:r>
              <w:rPr>
                <w:rFonts w:hint="default" w:ascii="仿宋_GB2312" w:hAnsi="宋体" w:cs="宋体"/>
                <w:color w:val="auto"/>
                <w:kern w:val="0"/>
                <w:sz w:val="24"/>
                <w:szCs w:val="24"/>
              </w:rPr>
              <w:t>配备溢油应急物资</w:t>
            </w:r>
          </w:p>
        </w:tc>
        <w:tc>
          <w:tcPr>
            <w:tcW w:w="736" w:type="pct"/>
            <w:vAlign w:val="center"/>
          </w:tcPr>
          <w:p w14:paraId="18E99F68">
            <w:pPr>
              <w:adjustRightInd w:val="0"/>
              <w:snapToGrid w:val="0"/>
              <w:spacing w:line="320" w:lineRule="exact"/>
              <w:jc w:val="center"/>
              <w:rPr>
                <w:rFonts w:hint="default" w:ascii="Times New Roman" w:hAnsi="Times New Roman" w:eastAsia="宋体" w:cs="Times New Roman"/>
                <w:sz w:val="24"/>
                <w:szCs w:val="24"/>
              </w:rPr>
            </w:pPr>
            <w:r>
              <w:rPr>
                <w:rFonts w:hint="default" w:ascii="仿宋_GB2312" w:hAnsi="宋体" w:cs="宋体"/>
                <w:color w:val="auto"/>
                <w:kern w:val="0"/>
                <w:sz w:val="24"/>
                <w:szCs w:val="24"/>
              </w:rPr>
              <w:t>配备溢油应急物资</w:t>
            </w:r>
          </w:p>
        </w:tc>
      </w:tr>
      <w:tr w14:paraId="59559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14:paraId="5381E49A">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环境监测</w:t>
            </w:r>
          </w:p>
        </w:tc>
        <w:tc>
          <w:tcPr>
            <w:tcW w:w="1303" w:type="pct"/>
            <w:vAlign w:val="center"/>
          </w:tcPr>
          <w:p w14:paraId="714BC76F">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858" w:type="pct"/>
            <w:vAlign w:val="center"/>
          </w:tcPr>
          <w:p w14:paraId="479209DA">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1122" w:type="pct"/>
            <w:vAlign w:val="center"/>
          </w:tcPr>
          <w:p w14:paraId="754D3778">
            <w:pPr>
              <w:adjustRightInd w:val="0"/>
              <w:snapToGrid w:val="0"/>
              <w:spacing w:line="320" w:lineRule="exact"/>
              <w:jc w:val="center"/>
              <w:rPr>
                <w:rFonts w:hint="default" w:ascii="Times New Roman" w:hAnsi="Times New Roman" w:eastAsia="宋体" w:cs="Times New Roman"/>
                <w:sz w:val="24"/>
                <w:szCs w:val="24"/>
              </w:rPr>
            </w:pPr>
          </w:p>
        </w:tc>
        <w:tc>
          <w:tcPr>
            <w:tcW w:w="736" w:type="pct"/>
            <w:vAlign w:val="center"/>
          </w:tcPr>
          <w:p w14:paraId="35DD4657">
            <w:pPr>
              <w:adjustRightInd w:val="0"/>
              <w:snapToGrid w:val="0"/>
              <w:spacing w:line="320" w:lineRule="exact"/>
              <w:jc w:val="center"/>
              <w:rPr>
                <w:rFonts w:hint="default" w:ascii="Times New Roman" w:hAnsi="Times New Roman" w:eastAsia="宋体" w:cs="Times New Roman"/>
                <w:sz w:val="24"/>
                <w:szCs w:val="24"/>
              </w:rPr>
            </w:pPr>
          </w:p>
        </w:tc>
      </w:tr>
      <w:tr w14:paraId="122EE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78" w:type="pct"/>
            <w:vAlign w:val="center"/>
          </w:tcPr>
          <w:p w14:paraId="4D5E4C23">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其他</w:t>
            </w:r>
          </w:p>
        </w:tc>
        <w:tc>
          <w:tcPr>
            <w:tcW w:w="1303" w:type="pct"/>
            <w:vAlign w:val="center"/>
          </w:tcPr>
          <w:p w14:paraId="556E628F">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858" w:type="pct"/>
            <w:vAlign w:val="center"/>
          </w:tcPr>
          <w:p w14:paraId="2A5DB5F8">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1122" w:type="pct"/>
            <w:vAlign w:val="center"/>
          </w:tcPr>
          <w:p w14:paraId="30D12AEF">
            <w:pPr>
              <w:adjustRightInd w:val="0"/>
              <w:snapToGrid w:val="0"/>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736" w:type="pct"/>
            <w:vAlign w:val="center"/>
          </w:tcPr>
          <w:p w14:paraId="1F3AE246">
            <w:pPr>
              <w:adjustRightInd w:val="0"/>
              <w:snapToGrid w:val="0"/>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bl>
    <w:p w14:paraId="456CFCEB">
      <w:pPr>
        <w:rPr>
          <w:rFonts w:hint="default" w:ascii="Times New Roman" w:hAnsi="Times New Roman" w:eastAsia="宋体" w:cs="Times New Roman"/>
          <w:szCs w:val="21"/>
        </w:rPr>
        <w:sectPr>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pPr>
    </w:p>
    <w:p w14:paraId="575F3EDE">
      <w:pPr>
        <w:pStyle w:val="82"/>
        <w:spacing w:before="249" w:beforeLines="80" w:beforeAutospacing="0"/>
        <w:jc w:val="center"/>
        <w:outlineLvl w:val="0"/>
        <w:rPr>
          <w:rFonts w:hint="default" w:ascii="Times New Roman" w:hAnsi="Times New Roman" w:eastAsia="宋体" w:cs="Times New Roman"/>
          <w:b/>
          <w:snapToGrid w:val="0"/>
          <w:sz w:val="30"/>
          <w:szCs w:val="30"/>
        </w:rPr>
      </w:pPr>
      <w:bookmarkStart w:id="37" w:name="_Toc13470"/>
      <w:r>
        <w:rPr>
          <w:rFonts w:hint="default" w:ascii="Times New Roman" w:hAnsi="Times New Roman" w:eastAsia="宋体" w:cs="Times New Roman"/>
          <w:b/>
          <w:snapToGrid w:val="0"/>
          <w:sz w:val="30"/>
          <w:szCs w:val="30"/>
        </w:rPr>
        <w:t>七、结论</w:t>
      </w:r>
      <w:bookmarkEnd w:id="37"/>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56"/>
      </w:tblGrid>
      <w:tr w14:paraId="653B0F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84" w:hRule="atLeast"/>
          <w:jc w:val="center"/>
        </w:trPr>
        <w:tc>
          <w:tcPr>
            <w:tcW w:w="5000" w:type="pct"/>
            <w:vAlign w:val="center"/>
          </w:tcPr>
          <w:p w14:paraId="2C242B1A">
            <w:pPr>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综上所述，</w:t>
            </w:r>
            <w:r>
              <w:rPr>
                <w:rFonts w:hint="default" w:ascii="Times New Roman" w:hAnsi="Times New Roman" w:eastAsia="宋体" w:cs="Times New Roman"/>
                <w:sz w:val="24"/>
                <w:szCs w:val="24"/>
                <w:lang w:val="en-US" w:eastAsia="zh-CN"/>
              </w:rPr>
              <w:t>京杭运河淮安段黄码港锚地</w:t>
            </w:r>
            <w:r>
              <w:rPr>
                <w:rFonts w:hint="default" w:ascii="Times New Roman" w:hAnsi="Times New Roman" w:eastAsia="宋体" w:cs="Times New Roman"/>
                <w:sz w:val="24"/>
                <w:szCs w:val="24"/>
              </w:rPr>
              <w:t>建设</w:t>
            </w:r>
            <w:r>
              <w:rPr>
                <w:rFonts w:hint="default" w:ascii="Times New Roman" w:hAnsi="Times New Roman" w:eastAsia="宋体" w:cs="Times New Roman"/>
                <w:sz w:val="24"/>
                <w:szCs w:val="24"/>
                <w:lang w:val="en-US" w:eastAsia="zh-CN"/>
              </w:rPr>
              <w:t>工程</w:t>
            </w:r>
            <w:r>
              <w:rPr>
                <w:rFonts w:hint="default" w:ascii="Times New Roman" w:hAnsi="Times New Roman" w:eastAsia="宋体" w:cs="Times New Roman"/>
                <w:sz w:val="24"/>
                <w:szCs w:val="24"/>
              </w:rPr>
              <w:t>属于</w:t>
            </w:r>
            <w:r>
              <w:rPr>
                <w:rFonts w:hint="eastAsia" w:ascii="微软雅黑" w:hAnsi="微软雅黑" w:eastAsia="微软雅黑" w:cs="微软雅黑"/>
                <w:sz w:val="24"/>
                <w:szCs w:val="24"/>
                <w:lang w:eastAsia="zh-CN"/>
              </w:rPr>
              <w:t>〔</w:t>
            </w:r>
            <w:r>
              <w:rPr>
                <w:rFonts w:hint="default" w:ascii="Times New Roman" w:hAnsi="Times New Roman" w:eastAsia="宋体" w:cs="Times New Roman"/>
                <w:sz w:val="24"/>
                <w:szCs w:val="24"/>
              </w:rPr>
              <w:t>G5539</w:t>
            </w:r>
            <w:r>
              <w:rPr>
                <w:rFonts w:hint="eastAsia" w:ascii="微软雅黑" w:hAnsi="微软雅黑" w:eastAsia="微软雅黑" w:cs="微软雅黑"/>
                <w:sz w:val="24"/>
                <w:szCs w:val="24"/>
                <w:lang w:eastAsia="zh-CN"/>
              </w:rPr>
              <w:t>〕</w:t>
            </w:r>
            <w:r>
              <w:rPr>
                <w:rFonts w:hint="default" w:ascii="Times New Roman" w:hAnsi="Times New Roman" w:eastAsia="宋体" w:cs="Times New Roman"/>
                <w:sz w:val="24"/>
                <w:szCs w:val="24"/>
              </w:rPr>
              <w:t>其他水上辅助运输活动</w:t>
            </w:r>
            <w:r>
              <w:rPr>
                <w:rFonts w:hint="eastAsia" w:cs="Times New Roman"/>
                <w:sz w:val="24"/>
                <w:szCs w:val="24"/>
                <w:lang w:eastAsia="zh-CN"/>
              </w:rPr>
              <w:t>，</w:t>
            </w:r>
            <w:r>
              <w:rPr>
                <w:rFonts w:hint="default" w:ascii="Times New Roman" w:hAnsi="Times New Roman" w:eastAsia="宋体" w:cs="Times New Roman"/>
                <w:sz w:val="24"/>
                <w:szCs w:val="24"/>
                <w:lang w:bidi="ar"/>
              </w:rPr>
              <w:t>符合国家和地方有关环境保护法律法规、标准、政策、规范及相关规划要求，项目在严格落实本报告提出的各项污染防治措施和生态影响减缓措施</w:t>
            </w:r>
            <w:r>
              <w:rPr>
                <w:rFonts w:hint="eastAsia" w:cs="Times New Roman"/>
                <w:sz w:val="24"/>
                <w:szCs w:val="24"/>
                <w:lang w:val="en-US" w:eastAsia="zh-CN" w:bidi="ar"/>
              </w:rPr>
              <w:t>以</w:t>
            </w:r>
            <w:r>
              <w:rPr>
                <w:rFonts w:hint="default" w:ascii="Times New Roman" w:hAnsi="Times New Roman" w:eastAsia="宋体" w:cs="Times New Roman"/>
                <w:sz w:val="24"/>
                <w:szCs w:val="24"/>
                <w:lang w:bidi="ar"/>
              </w:rPr>
              <w:t>及环境风险防范措施后，项目对环境的影响可以</w:t>
            </w:r>
            <w:r>
              <w:rPr>
                <w:rFonts w:hint="eastAsia" w:cs="Times New Roman"/>
                <w:sz w:val="24"/>
                <w:szCs w:val="24"/>
                <w:lang w:val="en-US" w:eastAsia="zh-CN" w:bidi="ar"/>
              </w:rPr>
              <w:t>接受</w:t>
            </w:r>
            <w:r>
              <w:rPr>
                <w:rFonts w:hint="default" w:ascii="Times New Roman" w:hAnsi="Times New Roman" w:eastAsia="宋体" w:cs="Times New Roman"/>
                <w:sz w:val="24"/>
                <w:szCs w:val="24"/>
                <w:lang w:bidi="ar"/>
              </w:rPr>
              <w:t>，</w:t>
            </w:r>
            <w:r>
              <w:rPr>
                <w:rFonts w:hint="eastAsia" w:cs="Times New Roman"/>
                <w:sz w:val="24"/>
                <w:szCs w:val="24"/>
                <w:lang w:val="en-US" w:eastAsia="zh-CN" w:bidi="ar"/>
              </w:rPr>
              <w:t>环境风险可控，</w:t>
            </w:r>
            <w:r>
              <w:rPr>
                <w:rFonts w:hint="default" w:ascii="Times New Roman" w:hAnsi="Times New Roman" w:eastAsia="宋体" w:cs="Times New Roman"/>
                <w:sz w:val="24"/>
                <w:szCs w:val="24"/>
                <w:lang w:bidi="ar"/>
              </w:rPr>
              <w:t>从生态环境保护角度分析，本项目的建设</w:t>
            </w:r>
            <w:r>
              <w:rPr>
                <w:rFonts w:hint="eastAsia" w:cs="Times New Roman"/>
                <w:sz w:val="24"/>
                <w:szCs w:val="24"/>
                <w:lang w:val="en-US" w:eastAsia="zh-CN" w:bidi="ar"/>
              </w:rPr>
              <w:t>具有环境可行性</w:t>
            </w:r>
            <w:r>
              <w:rPr>
                <w:rFonts w:hint="default" w:ascii="Times New Roman" w:hAnsi="Times New Roman" w:eastAsia="宋体" w:cs="Times New Roman"/>
                <w:sz w:val="24"/>
                <w:szCs w:val="24"/>
                <w:lang w:bidi="ar"/>
              </w:rPr>
              <w:t>。</w:t>
            </w:r>
          </w:p>
          <w:p w14:paraId="53571D2B">
            <w:pPr>
              <w:spacing w:line="460" w:lineRule="exact"/>
              <w:ind w:firstLine="480" w:firstLineChars="200"/>
              <w:rPr>
                <w:rFonts w:hint="default" w:ascii="Times New Roman" w:hAnsi="Times New Roman" w:eastAsia="宋体" w:cs="Times New Roman"/>
                <w:sz w:val="24"/>
                <w:szCs w:val="24"/>
                <w:lang w:bidi="ar"/>
              </w:rPr>
            </w:pPr>
          </w:p>
          <w:p w14:paraId="27C1DD6C">
            <w:pPr>
              <w:pStyle w:val="88"/>
              <w:spacing w:after="0" w:line="460" w:lineRule="exact"/>
              <w:rPr>
                <w:rFonts w:hint="default" w:ascii="Times New Roman" w:hAnsi="Times New Roman" w:eastAsia="宋体" w:cs="Times New Roman"/>
                <w:sz w:val="24"/>
                <w:szCs w:val="24"/>
                <w:lang w:bidi="ar"/>
              </w:rPr>
            </w:pPr>
          </w:p>
          <w:p w14:paraId="378AAB39">
            <w:pPr>
              <w:pStyle w:val="87"/>
              <w:ind w:firstLine="210"/>
              <w:rPr>
                <w:rFonts w:hint="default" w:ascii="Times New Roman" w:hAnsi="Times New Roman" w:eastAsia="宋体" w:cs="Times New Roman"/>
                <w:sz w:val="24"/>
                <w:szCs w:val="24"/>
                <w:lang w:bidi="ar"/>
              </w:rPr>
            </w:pPr>
          </w:p>
          <w:p w14:paraId="387F1D15">
            <w:pPr>
              <w:rPr>
                <w:rFonts w:hint="default" w:ascii="Times New Roman" w:hAnsi="Times New Roman" w:eastAsia="宋体" w:cs="Times New Roman"/>
                <w:sz w:val="24"/>
                <w:szCs w:val="24"/>
                <w:lang w:bidi="ar"/>
              </w:rPr>
            </w:pPr>
          </w:p>
          <w:p w14:paraId="29696710">
            <w:pPr>
              <w:pStyle w:val="88"/>
              <w:rPr>
                <w:rFonts w:hint="default" w:ascii="Times New Roman" w:hAnsi="Times New Roman" w:eastAsia="宋体" w:cs="Times New Roman"/>
                <w:sz w:val="24"/>
                <w:szCs w:val="24"/>
                <w:lang w:bidi="ar"/>
              </w:rPr>
            </w:pPr>
          </w:p>
          <w:p w14:paraId="78FFB751">
            <w:pPr>
              <w:pStyle w:val="87"/>
              <w:ind w:firstLine="210"/>
              <w:rPr>
                <w:rFonts w:hint="default" w:ascii="Times New Roman" w:hAnsi="Times New Roman" w:eastAsia="宋体" w:cs="Times New Roman"/>
                <w:sz w:val="24"/>
                <w:szCs w:val="24"/>
                <w:lang w:bidi="ar"/>
              </w:rPr>
            </w:pPr>
          </w:p>
          <w:p w14:paraId="4E71074B">
            <w:pPr>
              <w:rPr>
                <w:rFonts w:hint="default" w:ascii="Times New Roman" w:hAnsi="Times New Roman" w:eastAsia="宋体" w:cs="Times New Roman"/>
                <w:sz w:val="24"/>
                <w:szCs w:val="24"/>
                <w:lang w:bidi="ar"/>
              </w:rPr>
            </w:pPr>
          </w:p>
          <w:p w14:paraId="6CBF9A91">
            <w:pPr>
              <w:pStyle w:val="88"/>
              <w:rPr>
                <w:rFonts w:hint="default" w:ascii="Times New Roman" w:hAnsi="Times New Roman" w:eastAsia="宋体" w:cs="Times New Roman"/>
                <w:sz w:val="24"/>
                <w:szCs w:val="24"/>
                <w:lang w:bidi="ar"/>
              </w:rPr>
            </w:pPr>
          </w:p>
          <w:p w14:paraId="0F829DC9">
            <w:pPr>
              <w:pStyle w:val="87"/>
              <w:ind w:firstLine="210"/>
              <w:rPr>
                <w:rFonts w:hint="default" w:ascii="Times New Roman" w:hAnsi="Times New Roman" w:eastAsia="宋体" w:cs="Times New Roman"/>
                <w:sz w:val="24"/>
                <w:szCs w:val="24"/>
                <w:lang w:bidi="ar"/>
              </w:rPr>
            </w:pPr>
          </w:p>
          <w:p w14:paraId="1D3889C8">
            <w:pPr>
              <w:pStyle w:val="88"/>
              <w:rPr>
                <w:rFonts w:hint="default" w:ascii="Times New Roman" w:hAnsi="Times New Roman" w:eastAsia="宋体" w:cs="Times New Roman"/>
                <w:sz w:val="24"/>
                <w:szCs w:val="24"/>
                <w:lang w:bidi="ar"/>
              </w:rPr>
            </w:pPr>
          </w:p>
          <w:p w14:paraId="1ADB3424">
            <w:pPr>
              <w:pStyle w:val="87"/>
              <w:ind w:firstLine="210"/>
              <w:rPr>
                <w:rFonts w:hint="default" w:ascii="Times New Roman" w:hAnsi="Times New Roman" w:eastAsia="宋体" w:cs="Times New Roman"/>
                <w:sz w:val="24"/>
                <w:szCs w:val="24"/>
                <w:lang w:bidi="ar"/>
              </w:rPr>
            </w:pPr>
          </w:p>
          <w:p w14:paraId="1DFA37B1">
            <w:pPr>
              <w:pStyle w:val="87"/>
              <w:ind w:firstLine="210"/>
              <w:rPr>
                <w:rFonts w:hint="default" w:ascii="Times New Roman" w:hAnsi="Times New Roman" w:eastAsia="宋体" w:cs="Times New Roman"/>
                <w:sz w:val="24"/>
                <w:szCs w:val="24"/>
                <w:lang w:bidi="ar"/>
              </w:rPr>
            </w:pPr>
          </w:p>
          <w:p w14:paraId="70DC4259">
            <w:pPr>
              <w:adjustRightInd w:val="0"/>
              <w:snapToGrid w:val="0"/>
              <w:rPr>
                <w:rFonts w:hint="default" w:ascii="Times New Roman" w:hAnsi="Times New Roman" w:eastAsia="宋体" w:cs="Times New Roman"/>
                <w:sz w:val="24"/>
                <w:szCs w:val="24"/>
              </w:rPr>
            </w:pPr>
          </w:p>
        </w:tc>
      </w:tr>
    </w:tbl>
    <w:p w14:paraId="44F2FA65">
      <w:pPr>
        <w:adjustRightInd w:val="0"/>
        <w:snapToGrid w:val="0"/>
        <w:spacing w:line="360" w:lineRule="auto"/>
        <w:jc w:val="left"/>
        <w:rPr>
          <w:rFonts w:hint="default" w:ascii="Times New Roman" w:hAnsi="Times New Roman" w:eastAsia="宋体" w:cs="Times New Roman"/>
          <w:b/>
          <w:bCs/>
          <w:sz w:val="24"/>
          <w:lang w:val="en-US" w:eastAsia="zh-CN"/>
        </w:rPr>
      </w:pPr>
    </w:p>
    <w:sectPr>
      <w:footerReference r:id="rId5" w:type="default"/>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roma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Arial Rounded MT Bold">
    <w:panose1 w:val="020F0704030504030204"/>
    <w:charset w:val="00"/>
    <w:family w:val="swiss"/>
    <w:pitch w:val="default"/>
    <w:sig w:usb0="00000003" w:usb1="00000000" w:usb2="00000000" w:usb3="00000000" w:csb0="20000001" w:csb1="00000000"/>
  </w:font>
  <w:font w:name="文鼎大标宋简">
    <w:altName w:val="宋体"/>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ˎ̥">
    <w:altName w:val="Times New Roman"/>
    <w:panose1 w:val="00000000000000000000"/>
    <w:charset w:val="00"/>
    <w:family w:val="auto"/>
    <w:pitch w:val="default"/>
    <w:sig w:usb0="00000000" w:usb1="00000000" w:usb2="00000000" w:usb3="00000000" w:csb0="00040001" w:csb1="00000000"/>
  </w:font>
  <w:font w:name="文鼎CS大隶书">
    <w:altName w:val="宋体"/>
    <w:panose1 w:val="00000000000000000000"/>
    <w:charset w:val="86"/>
    <w:family w:val="modern"/>
    <w:pitch w:val="default"/>
    <w:sig w:usb0="00000000" w:usb1="00000000" w:usb2="00000010" w:usb3="00000000" w:csb0="00040000" w:csb1="00000000"/>
  </w:font>
  <w:font w:name="文鼎CS细等线">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长城粗隶书">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TimesNewRoman">
    <w:altName w:val="Times New Roman"/>
    <w:panose1 w:val="00000000000000000000"/>
    <w:charset w:val="00"/>
    <w:family w:val="modern"/>
    <w:pitch w:val="default"/>
    <w:sig w:usb0="00000000" w:usb1="00000000" w:usb2="00000010" w:usb3="00000000" w:csb0="00040001" w:csb1="00000000"/>
  </w:font>
  <w:font w:name="宋体 ! important">
    <w:altName w:val="宋体"/>
    <w:panose1 w:val="00000000000000000000"/>
    <w:charset w:val="00"/>
    <w:family w:val="auto"/>
    <w:pitch w:val="default"/>
    <w:sig w:usb0="00000000" w:usb1="00000000" w:usb2="00000000" w:usb3="00000000" w:csb0="00040001" w:csb1="00000000"/>
  </w:font>
  <w:font w:name="文鼎中楷繁">
    <w:altName w:val="黑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汉鼎简特宋">
    <w:altName w:val="黑体"/>
    <w:panose1 w:val="00000000000000000000"/>
    <w:charset w:val="86"/>
    <w:family w:val="modern"/>
    <w:pitch w:val="default"/>
    <w:sig w:usb0="00000000" w:usb1="00000000" w:usb2="0000001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华文中宋">
    <w:panose1 w:val="02010600040101010101"/>
    <w:charset w:val="86"/>
    <w:family w:val="auto"/>
    <w:pitch w:val="default"/>
    <w:sig w:usb0="00000287" w:usb1="080F0000" w:usb2="00000000" w:usb3="00000000" w:csb0="0004009F" w:csb1="DFD70000"/>
  </w:font>
  <w:font w:name="RomanS">
    <w:altName w:val="Segoe UI Semilight"/>
    <w:panose1 w:val="02000400000000000000"/>
    <w:charset w:val="00"/>
    <w:family w:val="auto"/>
    <w:pitch w:val="default"/>
    <w:sig w:usb0="00000000" w:usb1="00000000" w:usb2="00000000" w:usb3="00000000" w:csb0="000001FF" w:csb1="00000000"/>
  </w:font>
  <w:font w:name="方正仿宋_GBK">
    <w:panose1 w:val="03000509000000000000"/>
    <w:charset w:val="86"/>
    <w:family w:val="script"/>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ì.">
    <w:altName w:val="宋体"/>
    <w:panose1 w:val="00000000000000000000"/>
    <w:charset w:val="86"/>
    <w:family w:val="roman"/>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Dutch801 Rm BT">
    <w:altName w:val="Times New Roman"/>
    <w:panose1 w:val="02020603060505020304"/>
    <w:charset w:val="00"/>
    <w:family w:val="roman"/>
    <w:pitch w:val="default"/>
    <w:sig w:usb0="00000000" w:usb1="00000000" w:usb2="00000000" w:usb3="00000000" w:csb0="00000000" w:csb1="00000000"/>
  </w:font>
  <w:font w:name="文鼎CS中宋">
    <w:altName w:val="宋体"/>
    <w:panose1 w:val="00000000000000000000"/>
    <w:charset w:val="86"/>
    <w:family w:val="modern"/>
    <w:pitch w:val="default"/>
    <w:sig w:usb0="00000000" w:usb1="00000000" w:usb2="00000010" w:usb3="00000000" w:csb0="00040000" w:csb1="00000000"/>
  </w:font>
  <w:font w:name="文鼎CS行楷">
    <w:altName w:val="宋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Century">
    <w:panose1 w:val="02040604050505020304"/>
    <w:charset w:val="00"/>
    <w:family w:val="roman"/>
    <w:pitch w:val="default"/>
    <w:sig w:usb0="00000287" w:usb1="00000000" w:usb2="00000000" w:usb3="00000000" w:csb0="2000009F" w:csb1="DFD70000"/>
  </w:font>
  <w:font w:name="BVQDJE+FZHTJW--GB1-0">
    <w:altName w:val="宋体"/>
    <w:panose1 w:val="00000000000000000000"/>
    <w:charset w:val="86"/>
    <w:family w:val="swiss"/>
    <w:pitch w:val="default"/>
    <w:sig w:usb0="00000000" w:usb1="00000000" w:usb2="00000010" w:usb3="00000000" w:csb0="00040000" w:csb1="00000000"/>
  </w:font>
  <w:font w:name="Helvetica">
    <w:panose1 w:val="020B0504020202030204"/>
    <w:charset w:val="00"/>
    <w:family w:val="swiss"/>
    <w:pitch w:val="default"/>
    <w:sig w:usb0="00000007" w:usb1="00000000" w:usb2="00000000" w:usb3="00000000" w:csb0="00000093" w:csb1="00000000"/>
  </w:font>
  <w:font w:name="DFKai-SB">
    <w:altName w:val="Microsoft JhengHei Light"/>
    <w:panose1 w:val="00000000000000000000"/>
    <w:charset w:val="88"/>
    <w:family w:val="script"/>
    <w:pitch w:val="default"/>
    <w:sig w:usb0="00000000" w:usb1="00000000" w:usb2="00000016" w:usb3="00000000" w:csb0="00100001" w:csb1="00000000"/>
  </w:font>
  <w:font w:name="楷体">
    <w:panose1 w:val="02010609060101010101"/>
    <w:charset w:val="86"/>
    <w:family w:val="auto"/>
    <w:pitch w:val="default"/>
    <w:sig w:usb0="800002BF" w:usb1="38CF7CFA" w:usb2="00000016" w:usb3="00000000" w:csb0="00040001" w:csb1="00000000"/>
  </w:font>
  <w:font w:name="΢ȭхڢ, ڌ墬 Verdana">
    <w:altName w:val="宋体"/>
    <w:panose1 w:val="00000000000000000000"/>
    <w:charset w:val="86"/>
    <w:family w:val="roma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華康隸書體">
    <w:altName w:val="Microsoft JhengHei"/>
    <w:panose1 w:val="00000000000000000000"/>
    <w:charset w:val="88"/>
    <w:family w:val="modern"/>
    <w:pitch w:val="default"/>
    <w:sig w:usb0="00000000" w:usb1="00000000" w:usb2="00000010" w:usb3="00000000" w:csb0="00100000" w:csb1="00000000"/>
  </w:font>
  <w:font w:name="華康中楷體">
    <w:altName w:val="Microsoft JhengHei"/>
    <w:panose1 w:val="00000000000000000000"/>
    <w:charset w:val="01"/>
    <w:family w:val="modern"/>
    <w:pitch w:val="default"/>
    <w:sig w:usb0="00000000" w:usb1="00000000" w:usb2="00000010" w:usb3="00000000" w:csb0="00140000" w:csb1="00000000"/>
  </w:font>
  <w:font w:name="Bookman Old Style">
    <w:panose1 w:val="02050604050505020204"/>
    <w:charset w:val="00"/>
    <w:family w:val="roman"/>
    <w:pitch w:val="default"/>
    <w:sig w:usb0="00000287" w:usb1="00000000" w:usb2="00000000" w:usb3="00000000" w:csb0="2000009F" w:csb1="DFD70000"/>
  </w:font>
  <w:font w:name="仿宋体">
    <w:altName w:val="仿宋"/>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大标宋">
    <w:altName w:val="宋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文鼎CS大宋">
    <w:altName w:val="宋体"/>
    <w:panose1 w:val="00000000000000000000"/>
    <w:charset w:val="86"/>
    <w:family w:val="modern"/>
    <w:pitch w:val="default"/>
    <w:sig w:usb0="00000000" w:usb1="00000000" w:usb2="00000010" w:usb3="00000000" w:csb0="00040000" w:csb1="00000000"/>
  </w:font>
  <w:font w:name="Courier">
    <w:panose1 w:val="02060409020205020404"/>
    <w:charset w:val="00"/>
    <w:family w:val="modern"/>
    <w:pitch w:val="default"/>
    <w:sig w:usb0="00000007" w:usb1="00000000" w:usb2="00000000" w:usb3="00000000" w:csb0="00000093" w:csb1="00000000"/>
  </w:font>
  <w:font w:name="Dotum">
    <w:altName w:val="Malgun Gothic"/>
    <w:panose1 w:val="020B0600000101010101"/>
    <w:charset w:val="81"/>
    <w:family w:val="modern"/>
    <w:pitch w:val="default"/>
    <w:sig w:usb0="00000000" w:usb1="00000000" w:usb2="00000010" w:usb3="00000000" w:csb0="00080000" w:csb1="00000000"/>
  </w:font>
  <w:font w:name="华文细黑">
    <w:panose1 w:val="02010600040101010101"/>
    <w:charset w:val="86"/>
    <w:family w:val="auto"/>
    <w:pitch w:val="default"/>
    <w:sig w:usb0="00000287" w:usb1="080F0000" w:usb2="00000000" w:usb3="00000000" w:csb0="0004009F" w:csb1="DFD70000"/>
  </w:font>
  <w:font w:name="Sim Sun+ 2">
    <w:altName w:val="黑体"/>
    <w:panose1 w:val="00000000000000000000"/>
    <w:charset w:val="86"/>
    <w:family w:val="auto"/>
    <w:pitch w:val="default"/>
    <w:sig w:usb0="00000000" w:usb1="00000000" w:usb2="00000010" w:usb3="00000000" w:csb0="00040000" w:csb1="00000000"/>
  </w:font>
  <w:font w:name="̥_GB2312">
    <w:altName w:val="Times New Roman"/>
    <w:panose1 w:val="00000000000000000000"/>
    <w:charset w:val="00"/>
    <w:family w:val="auto"/>
    <w:pitch w:val="default"/>
    <w:sig w:usb0="00000000" w:usb1="00000000" w:usb2="00000000" w:usb3="00000000" w:csb0="00040001" w:csb1="00000000"/>
  </w:font>
  <w:font w:name="华文隶书">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文鼎粗行楷简">
    <w:altName w:val="宋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华文行楷">
    <w:panose1 w:val="02010800040101010101"/>
    <w:charset w:val="86"/>
    <w:family w:val="auto"/>
    <w:pitch w:val="default"/>
    <w:sig w:usb0="00000001" w:usb1="080F0000" w:usb2="00000000" w:usb3="00000000" w:csb0="00040000" w:csb1="00000000"/>
  </w:font>
  <w:font w:name="方正黑体_GBK">
    <w:panose1 w:val="03000509000000000000"/>
    <w:charset w:val="86"/>
    <w:family w:val="roman"/>
    <w:pitch w:val="default"/>
    <w:sig w:usb0="00000001" w:usb1="080E0000" w:usb2="00000000" w:usb3="00000000" w:csb0="00040000" w:csb1="00000000"/>
  </w:font>
  <w:font w:name="五">
    <w:altName w:val="黑体"/>
    <w:panose1 w:val="00000000000000000000"/>
    <w:charset w:val="86"/>
    <w:family w:val="auto"/>
    <w:pitch w:val="default"/>
    <w:sig w:usb0="00000000" w:usb1="00000000" w:usb2="00000010" w:usb3="00000000" w:csb0="00040000" w:csb1="00000000"/>
  </w:font>
  <w:font w:name="汉鼎简大宋">
    <w:altName w:val="宋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auto"/>
    <w:pitch w:val="default"/>
    <w:sig w:usb0="00000000" w:usb1="00000000" w:usb2="00000010" w:usb3="00000000" w:csb0="00080000" w:csb1="00000000"/>
  </w:font>
  <w:font w:name="MS Mincho">
    <w:altName w:val="MS Gothic"/>
    <w:panose1 w:val="02020609040205080304"/>
    <w:charset w:val="80"/>
    <w:family w:val="roman"/>
    <w:pitch w:val="default"/>
    <w:sig w:usb0="00000000" w:usb1="00000000" w:usb2="00000010" w:usb3="00000000" w:csb0="00020000" w:csb1="00000000"/>
  </w:font>
  <w:font w:name="”“Times New Roman”“">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Բ">
    <w:altName w:val="Times New Roman"/>
    <w:panose1 w:val="00000000000000000000"/>
    <w:charset w:val="00"/>
    <w:family w:val="auto"/>
    <w:pitch w:val="default"/>
    <w:sig w:usb0="00000000" w:usb1="00000000" w:usb2="00000000" w:usb3="00000000" w:csb0="00040001" w:csb1="00000000"/>
  </w:font>
  <w:font w:name="Li Super">
    <w:altName w:val="黑体"/>
    <w:panose1 w:val="00000000000000000000"/>
    <w:charset w:val="86"/>
    <w:family w:val="auto"/>
    <w:pitch w:val="default"/>
    <w:sig w:usb0="00000000" w:usb1="00000000" w:usb2="00000010" w:usb3="00000000" w:csb0="00040000"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Segoe UI Semilight">
    <w:panose1 w:val="020B0402040204020203"/>
    <w:charset w:val="00"/>
    <w:family w:val="auto"/>
    <w:pitch w:val="default"/>
    <w:sig w:usb0="E4002EFF" w:usb1="C000E47F" w:usb2="00000009" w:usb3="00000000" w:csb0="200001FF" w:csb1="00000000"/>
  </w:font>
  <w:font w:name="Microsoft JhengHei Light">
    <w:panose1 w:val="020B0304030504040204"/>
    <w:charset w:val="88"/>
    <w:family w:val="auto"/>
    <w:pitch w:val="default"/>
    <w:sig w:usb0="800002A7" w:usb1="28CF4400" w:usb2="00000016" w:usb3="00000000" w:csb0="00100009" w:csb1="00000000"/>
  </w:font>
  <w:font w:name="Microsoft JhengHei">
    <w:panose1 w:val="020B0604030504040204"/>
    <w:charset w:val="88"/>
    <w:family w:val="auto"/>
    <w:pitch w:val="default"/>
    <w:sig w:usb0="000002A7" w:usb1="28CF4400" w:usb2="00000016" w:usb3="00000000" w:csb0="00100009"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82B02">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6399877"/>
    </w:sdtPr>
    <w:sdtEndPr>
      <w:rPr>
        <w:rFonts w:ascii="Times New Roman" w:hAnsi="Times New Roman" w:cs="Times New Roman"/>
      </w:rPr>
    </w:sdtEndPr>
    <w:sdtContent>
      <w:p w14:paraId="0E8B2558">
        <w:pPr>
          <w:pStyle w:val="5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67</w:t>
        </w:r>
        <w:r>
          <w:rPr>
            <w:rFonts w:ascii="Times New Roman" w:hAnsi="Times New Roman" w:cs="Times New Roman"/>
          </w:rPr>
          <w:fldChar w:fldCharType="end"/>
        </w:r>
      </w:p>
    </w:sdtContent>
  </w:sdt>
  <w:p w14:paraId="6C126320">
    <w:pPr>
      <w:pStyle w:val="5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C1DD0">
    <w:pPr>
      <w:pStyle w:val="5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8CF914">
                          <w:pPr>
                            <w:pStyle w:val="5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８０</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578CF914">
                    <w:pPr>
                      <w:pStyle w:val="5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８０</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824915"/>
    <w:multiLevelType w:val="singleLevel"/>
    <w:tmpl w:val="C7824915"/>
    <w:lvl w:ilvl="0" w:tentative="0">
      <w:start w:val="5"/>
      <w:numFmt w:val="decimal"/>
      <w:suff w:val="nothing"/>
      <w:lvlText w:val="%1、"/>
      <w:lvlJc w:val="left"/>
    </w:lvl>
  </w:abstractNum>
  <w:abstractNum w:abstractNumId="1">
    <w:nsid w:val="D9C54CD3"/>
    <w:multiLevelType w:val="singleLevel"/>
    <w:tmpl w:val="D9C54CD3"/>
    <w:lvl w:ilvl="0" w:tentative="0">
      <w:start w:val="2"/>
      <w:numFmt w:val="decimal"/>
      <w:suff w:val="nothing"/>
      <w:lvlText w:val="%1、"/>
      <w:lvlJc w:val="left"/>
    </w:lvl>
  </w:abstractNum>
  <w:abstractNum w:abstractNumId="2">
    <w:nsid w:val="07F2D58C"/>
    <w:multiLevelType w:val="singleLevel"/>
    <w:tmpl w:val="07F2D58C"/>
    <w:lvl w:ilvl="0" w:tentative="0">
      <w:start w:val="1"/>
      <w:numFmt w:val="lowerLetter"/>
      <w:suff w:val="nothing"/>
      <w:lvlText w:val="%1、"/>
      <w:lvlJc w:val="left"/>
    </w:lvl>
  </w:abstractNum>
  <w:abstractNum w:abstractNumId="3">
    <w:nsid w:val="151B744B"/>
    <w:multiLevelType w:val="multilevel"/>
    <w:tmpl w:val="151B744B"/>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yYjMxZDg1NDczNjExMDJhNDZlZWE4MTAwMDI3OTAifQ=="/>
  </w:docVars>
  <w:rsids>
    <w:rsidRoot w:val="00172A27"/>
    <w:rsid w:val="0000005B"/>
    <w:rsid w:val="0000219E"/>
    <w:rsid w:val="00003956"/>
    <w:rsid w:val="00004588"/>
    <w:rsid w:val="00004F1A"/>
    <w:rsid w:val="00006931"/>
    <w:rsid w:val="000072C7"/>
    <w:rsid w:val="00007E3B"/>
    <w:rsid w:val="0001001F"/>
    <w:rsid w:val="00011096"/>
    <w:rsid w:val="0001168B"/>
    <w:rsid w:val="000137D2"/>
    <w:rsid w:val="0001384E"/>
    <w:rsid w:val="00013EBC"/>
    <w:rsid w:val="00014324"/>
    <w:rsid w:val="000150DC"/>
    <w:rsid w:val="00015B32"/>
    <w:rsid w:val="00015ECD"/>
    <w:rsid w:val="00016554"/>
    <w:rsid w:val="00016D8A"/>
    <w:rsid w:val="0002084B"/>
    <w:rsid w:val="00021EAB"/>
    <w:rsid w:val="00022A5C"/>
    <w:rsid w:val="0002312B"/>
    <w:rsid w:val="00023B18"/>
    <w:rsid w:val="000241A2"/>
    <w:rsid w:val="0002507B"/>
    <w:rsid w:val="00026981"/>
    <w:rsid w:val="00027716"/>
    <w:rsid w:val="00027753"/>
    <w:rsid w:val="000317B3"/>
    <w:rsid w:val="00031A05"/>
    <w:rsid w:val="00032EA2"/>
    <w:rsid w:val="00033DB1"/>
    <w:rsid w:val="00033FDB"/>
    <w:rsid w:val="00034B34"/>
    <w:rsid w:val="000354BA"/>
    <w:rsid w:val="000359C1"/>
    <w:rsid w:val="00035F21"/>
    <w:rsid w:val="00036A70"/>
    <w:rsid w:val="000372B9"/>
    <w:rsid w:val="0003761C"/>
    <w:rsid w:val="0004070A"/>
    <w:rsid w:val="00042510"/>
    <w:rsid w:val="000429B4"/>
    <w:rsid w:val="00042E94"/>
    <w:rsid w:val="00043DA9"/>
    <w:rsid w:val="00044873"/>
    <w:rsid w:val="000448A9"/>
    <w:rsid w:val="00046BE2"/>
    <w:rsid w:val="000478EA"/>
    <w:rsid w:val="000513EA"/>
    <w:rsid w:val="000514DD"/>
    <w:rsid w:val="0005151B"/>
    <w:rsid w:val="00051954"/>
    <w:rsid w:val="00051C2B"/>
    <w:rsid w:val="00054039"/>
    <w:rsid w:val="00054BE2"/>
    <w:rsid w:val="000553CD"/>
    <w:rsid w:val="000569F4"/>
    <w:rsid w:val="000574CB"/>
    <w:rsid w:val="00057A4B"/>
    <w:rsid w:val="00057F10"/>
    <w:rsid w:val="00061092"/>
    <w:rsid w:val="0006125B"/>
    <w:rsid w:val="00062623"/>
    <w:rsid w:val="00062793"/>
    <w:rsid w:val="00064282"/>
    <w:rsid w:val="00064760"/>
    <w:rsid w:val="00064C5F"/>
    <w:rsid w:val="00064E1F"/>
    <w:rsid w:val="00065686"/>
    <w:rsid w:val="0006698C"/>
    <w:rsid w:val="000669C6"/>
    <w:rsid w:val="00066FBA"/>
    <w:rsid w:val="0007316E"/>
    <w:rsid w:val="000740DE"/>
    <w:rsid w:val="000748C7"/>
    <w:rsid w:val="000751D6"/>
    <w:rsid w:val="0007659E"/>
    <w:rsid w:val="00080019"/>
    <w:rsid w:val="00080640"/>
    <w:rsid w:val="00081088"/>
    <w:rsid w:val="000811E5"/>
    <w:rsid w:val="00081A53"/>
    <w:rsid w:val="00081A6E"/>
    <w:rsid w:val="00081AA4"/>
    <w:rsid w:val="00081F07"/>
    <w:rsid w:val="0008202E"/>
    <w:rsid w:val="00082394"/>
    <w:rsid w:val="000833BC"/>
    <w:rsid w:val="000839DC"/>
    <w:rsid w:val="0008428F"/>
    <w:rsid w:val="0008537B"/>
    <w:rsid w:val="00085A6D"/>
    <w:rsid w:val="00087F82"/>
    <w:rsid w:val="000909B4"/>
    <w:rsid w:val="00090D5F"/>
    <w:rsid w:val="00091082"/>
    <w:rsid w:val="0009138A"/>
    <w:rsid w:val="000926D9"/>
    <w:rsid w:val="00092ACC"/>
    <w:rsid w:val="00092BB3"/>
    <w:rsid w:val="00092F0D"/>
    <w:rsid w:val="0009329A"/>
    <w:rsid w:val="00093B3B"/>
    <w:rsid w:val="0009415C"/>
    <w:rsid w:val="00094FBE"/>
    <w:rsid w:val="00095138"/>
    <w:rsid w:val="00095B4E"/>
    <w:rsid w:val="000960B8"/>
    <w:rsid w:val="00096D67"/>
    <w:rsid w:val="000A00C9"/>
    <w:rsid w:val="000A0993"/>
    <w:rsid w:val="000A21F1"/>
    <w:rsid w:val="000A2544"/>
    <w:rsid w:val="000A2DC1"/>
    <w:rsid w:val="000A31A9"/>
    <w:rsid w:val="000A3650"/>
    <w:rsid w:val="000A5559"/>
    <w:rsid w:val="000A5D2D"/>
    <w:rsid w:val="000A6946"/>
    <w:rsid w:val="000A72CD"/>
    <w:rsid w:val="000B0948"/>
    <w:rsid w:val="000B0C12"/>
    <w:rsid w:val="000B0C46"/>
    <w:rsid w:val="000B1779"/>
    <w:rsid w:val="000B28E1"/>
    <w:rsid w:val="000B37EF"/>
    <w:rsid w:val="000B4E3E"/>
    <w:rsid w:val="000B5BDC"/>
    <w:rsid w:val="000B5CE3"/>
    <w:rsid w:val="000B609F"/>
    <w:rsid w:val="000B6729"/>
    <w:rsid w:val="000B703F"/>
    <w:rsid w:val="000B7996"/>
    <w:rsid w:val="000C03CF"/>
    <w:rsid w:val="000C03FA"/>
    <w:rsid w:val="000C07D0"/>
    <w:rsid w:val="000C1211"/>
    <w:rsid w:val="000C13F4"/>
    <w:rsid w:val="000C3215"/>
    <w:rsid w:val="000C3DE8"/>
    <w:rsid w:val="000C45C3"/>
    <w:rsid w:val="000C4C73"/>
    <w:rsid w:val="000C59ED"/>
    <w:rsid w:val="000C6FCD"/>
    <w:rsid w:val="000C7AD3"/>
    <w:rsid w:val="000C7E18"/>
    <w:rsid w:val="000D065C"/>
    <w:rsid w:val="000D083B"/>
    <w:rsid w:val="000D12A3"/>
    <w:rsid w:val="000D1CBA"/>
    <w:rsid w:val="000D2172"/>
    <w:rsid w:val="000D266E"/>
    <w:rsid w:val="000D2D7F"/>
    <w:rsid w:val="000D39F4"/>
    <w:rsid w:val="000D3B1F"/>
    <w:rsid w:val="000D3C40"/>
    <w:rsid w:val="000D4977"/>
    <w:rsid w:val="000D4A10"/>
    <w:rsid w:val="000D5D89"/>
    <w:rsid w:val="000D60CF"/>
    <w:rsid w:val="000D7034"/>
    <w:rsid w:val="000D76AA"/>
    <w:rsid w:val="000E177F"/>
    <w:rsid w:val="000E3262"/>
    <w:rsid w:val="000E3553"/>
    <w:rsid w:val="000E6F4A"/>
    <w:rsid w:val="000E778E"/>
    <w:rsid w:val="000E7BFF"/>
    <w:rsid w:val="000F0759"/>
    <w:rsid w:val="000F0A51"/>
    <w:rsid w:val="000F114A"/>
    <w:rsid w:val="000F1588"/>
    <w:rsid w:val="000F2B3D"/>
    <w:rsid w:val="000F3BDB"/>
    <w:rsid w:val="000F3ECA"/>
    <w:rsid w:val="000F40FA"/>
    <w:rsid w:val="000F4C8C"/>
    <w:rsid w:val="000F5509"/>
    <w:rsid w:val="000F5F85"/>
    <w:rsid w:val="000F650B"/>
    <w:rsid w:val="000F7F0C"/>
    <w:rsid w:val="001002F9"/>
    <w:rsid w:val="00100874"/>
    <w:rsid w:val="001010BA"/>
    <w:rsid w:val="00101A61"/>
    <w:rsid w:val="0010276A"/>
    <w:rsid w:val="00102FCA"/>
    <w:rsid w:val="0010427E"/>
    <w:rsid w:val="001047B7"/>
    <w:rsid w:val="00107429"/>
    <w:rsid w:val="00107A7B"/>
    <w:rsid w:val="00107E02"/>
    <w:rsid w:val="00110A32"/>
    <w:rsid w:val="00110E27"/>
    <w:rsid w:val="00110EFF"/>
    <w:rsid w:val="00111564"/>
    <w:rsid w:val="00112AB8"/>
    <w:rsid w:val="00112AF7"/>
    <w:rsid w:val="0011672B"/>
    <w:rsid w:val="001170C4"/>
    <w:rsid w:val="0012074C"/>
    <w:rsid w:val="001217C8"/>
    <w:rsid w:val="00121A0F"/>
    <w:rsid w:val="001228F7"/>
    <w:rsid w:val="00122D4E"/>
    <w:rsid w:val="001231C0"/>
    <w:rsid w:val="00123259"/>
    <w:rsid w:val="00123828"/>
    <w:rsid w:val="00123F9D"/>
    <w:rsid w:val="001241E8"/>
    <w:rsid w:val="001250FB"/>
    <w:rsid w:val="00126139"/>
    <w:rsid w:val="00126346"/>
    <w:rsid w:val="001267A9"/>
    <w:rsid w:val="00126D52"/>
    <w:rsid w:val="00126E63"/>
    <w:rsid w:val="0012769C"/>
    <w:rsid w:val="00127834"/>
    <w:rsid w:val="00127FA8"/>
    <w:rsid w:val="0013030A"/>
    <w:rsid w:val="00130A35"/>
    <w:rsid w:val="001312BE"/>
    <w:rsid w:val="00131993"/>
    <w:rsid w:val="00131E15"/>
    <w:rsid w:val="00132288"/>
    <w:rsid w:val="00134894"/>
    <w:rsid w:val="00134AF3"/>
    <w:rsid w:val="00134D85"/>
    <w:rsid w:val="00135BF4"/>
    <w:rsid w:val="001363EF"/>
    <w:rsid w:val="001376A6"/>
    <w:rsid w:val="001377B5"/>
    <w:rsid w:val="00137962"/>
    <w:rsid w:val="00141101"/>
    <w:rsid w:val="0014158E"/>
    <w:rsid w:val="00141F4A"/>
    <w:rsid w:val="0014245E"/>
    <w:rsid w:val="00142823"/>
    <w:rsid w:val="00143F9F"/>
    <w:rsid w:val="00145144"/>
    <w:rsid w:val="00145C44"/>
    <w:rsid w:val="00145F1F"/>
    <w:rsid w:val="00146E3B"/>
    <w:rsid w:val="00147051"/>
    <w:rsid w:val="00147F04"/>
    <w:rsid w:val="0015015B"/>
    <w:rsid w:val="0015036C"/>
    <w:rsid w:val="00150674"/>
    <w:rsid w:val="0015115F"/>
    <w:rsid w:val="00151D5A"/>
    <w:rsid w:val="001520F4"/>
    <w:rsid w:val="0015234A"/>
    <w:rsid w:val="00153902"/>
    <w:rsid w:val="001541CF"/>
    <w:rsid w:val="0015450F"/>
    <w:rsid w:val="00154D0A"/>
    <w:rsid w:val="001558C7"/>
    <w:rsid w:val="00155D7F"/>
    <w:rsid w:val="001562B3"/>
    <w:rsid w:val="001567D6"/>
    <w:rsid w:val="00157B21"/>
    <w:rsid w:val="001606FA"/>
    <w:rsid w:val="00160A14"/>
    <w:rsid w:val="001613BF"/>
    <w:rsid w:val="0016151B"/>
    <w:rsid w:val="00161813"/>
    <w:rsid w:val="00161928"/>
    <w:rsid w:val="00161ACB"/>
    <w:rsid w:val="0016221D"/>
    <w:rsid w:val="00162C58"/>
    <w:rsid w:val="00163EB9"/>
    <w:rsid w:val="00164C06"/>
    <w:rsid w:val="00164E88"/>
    <w:rsid w:val="00164FB2"/>
    <w:rsid w:val="0016511E"/>
    <w:rsid w:val="001666B0"/>
    <w:rsid w:val="00166906"/>
    <w:rsid w:val="0016718D"/>
    <w:rsid w:val="00167342"/>
    <w:rsid w:val="0017009E"/>
    <w:rsid w:val="0017014A"/>
    <w:rsid w:val="001708FA"/>
    <w:rsid w:val="001721A0"/>
    <w:rsid w:val="0017248C"/>
    <w:rsid w:val="0017253A"/>
    <w:rsid w:val="001737B5"/>
    <w:rsid w:val="001745AC"/>
    <w:rsid w:val="00175CF1"/>
    <w:rsid w:val="001776E1"/>
    <w:rsid w:val="00180233"/>
    <w:rsid w:val="001812B2"/>
    <w:rsid w:val="001815D2"/>
    <w:rsid w:val="00182093"/>
    <w:rsid w:val="001824FB"/>
    <w:rsid w:val="00182EAB"/>
    <w:rsid w:val="0018347A"/>
    <w:rsid w:val="00183681"/>
    <w:rsid w:val="00183AD9"/>
    <w:rsid w:val="00184186"/>
    <w:rsid w:val="00184542"/>
    <w:rsid w:val="00184631"/>
    <w:rsid w:val="001846B4"/>
    <w:rsid w:val="001848BD"/>
    <w:rsid w:val="00185268"/>
    <w:rsid w:val="001861DB"/>
    <w:rsid w:val="00187B83"/>
    <w:rsid w:val="001905C6"/>
    <w:rsid w:val="001909AF"/>
    <w:rsid w:val="001909E8"/>
    <w:rsid w:val="00190C45"/>
    <w:rsid w:val="00191339"/>
    <w:rsid w:val="0019137A"/>
    <w:rsid w:val="001926DD"/>
    <w:rsid w:val="00192A41"/>
    <w:rsid w:val="00193263"/>
    <w:rsid w:val="00193565"/>
    <w:rsid w:val="00193675"/>
    <w:rsid w:val="00193CD6"/>
    <w:rsid w:val="00194466"/>
    <w:rsid w:val="001945DC"/>
    <w:rsid w:val="001947C8"/>
    <w:rsid w:val="00194D07"/>
    <w:rsid w:val="00195489"/>
    <w:rsid w:val="001954F1"/>
    <w:rsid w:val="001974AB"/>
    <w:rsid w:val="001A01B2"/>
    <w:rsid w:val="001A0AFB"/>
    <w:rsid w:val="001A1777"/>
    <w:rsid w:val="001A2DB8"/>
    <w:rsid w:val="001A2ED1"/>
    <w:rsid w:val="001A4E4D"/>
    <w:rsid w:val="001A5443"/>
    <w:rsid w:val="001A5D7E"/>
    <w:rsid w:val="001A6628"/>
    <w:rsid w:val="001A6AC8"/>
    <w:rsid w:val="001A7142"/>
    <w:rsid w:val="001A7169"/>
    <w:rsid w:val="001B1731"/>
    <w:rsid w:val="001B1C4C"/>
    <w:rsid w:val="001B23BB"/>
    <w:rsid w:val="001B311B"/>
    <w:rsid w:val="001B3213"/>
    <w:rsid w:val="001B3CA2"/>
    <w:rsid w:val="001B4236"/>
    <w:rsid w:val="001B432C"/>
    <w:rsid w:val="001B550C"/>
    <w:rsid w:val="001B63D5"/>
    <w:rsid w:val="001B64F9"/>
    <w:rsid w:val="001B7439"/>
    <w:rsid w:val="001B74F5"/>
    <w:rsid w:val="001C0B83"/>
    <w:rsid w:val="001C0C9E"/>
    <w:rsid w:val="001C1129"/>
    <w:rsid w:val="001C179E"/>
    <w:rsid w:val="001C21ED"/>
    <w:rsid w:val="001C2BDB"/>
    <w:rsid w:val="001C2EA1"/>
    <w:rsid w:val="001C53E2"/>
    <w:rsid w:val="001C5E56"/>
    <w:rsid w:val="001C610D"/>
    <w:rsid w:val="001C66A5"/>
    <w:rsid w:val="001C73EE"/>
    <w:rsid w:val="001C7EA4"/>
    <w:rsid w:val="001D061C"/>
    <w:rsid w:val="001D0FE9"/>
    <w:rsid w:val="001D17E1"/>
    <w:rsid w:val="001D207C"/>
    <w:rsid w:val="001D2A50"/>
    <w:rsid w:val="001D2D80"/>
    <w:rsid w:val="001D5D96"/>
    <w:rsid w:val="001D67EB"/>
    <w:rsid w:val="001D69FD"/>
    <w:rsid w:val="001D6DE6"/>
    <w:rsid w:val="001E0117"/>
    <w:rsid w:val="001E02B9"/>
    <w:rsid w:val="001E03A3"/>
    <w:rsid w:val="001E05AB"/>
    <w:rsid w:val="001E0685"/>
    <w:rsid w:val="001E083B"/>
    <w:rsid w:val="001E0FAC"/>
    <w:rsid w:val="001E0FB5"/>
    <w:rsid w:val="001E18AF"/>
    <w:rsid w:val="001E27EC"/>
    <w:rsid w:val="001E2A70"/>
    <w:rsid w:val="001E2E6D"/>
    <w:rsid w:val="001E334D"/>
    <w:rsid w:val="001E3DEA"/>
    <w:rsid w:val="001E3E5A"/>
    <w:rsid w:val="001E4EEF"/>
    <w:rsid w:val="001E580D"/>
    <w:rsid w:val="001E5873"/>
    <w:rsid w:val="001E5FE9"/>
    <w:rsid w:val="001E64ED"/>
    <w:rsid w:val="001E7280"/>
    <w:rsid w:val="001E7E50"/>
    <w:rsid w:val="001F00AA"/>
    <w:rsid w:val="001F051E"/>
    <w:rsid w:val="001F0A51"/>
    <w:rsid w:val="001F0FD5"/>
    <w:rsid w:val="001F13B1"/>
    <w:rsid w:val="001F1B54"/>
    <w:rsid w:val="001F2746"/>
    <w:rsid w:val="001F43DC"/>
    <w:rsid w:val="001F5B43"/>
    <w:rsid w:val="001F6ADC"/>
    <w:rsid w:val="001F73EB"/>
    <w:rsid w:val="0020045B"/>
    <w:rsid w:val="002004F6"/>
    <w:rsid w:val="00200ACF"/>
    <w:rsid w:val="00201C1B"/>
    <w:rsid w:val="002027DA"/>
    <w:rsid w:val="00202E1F"/>
    <w:rsid w:val="00202FDB"/>
    <w:rsid w:val="0020387A"/>
    <w:rsid w:val="002050A6"/>
    <w:rsid w:val="002064A3"/>
    <w:rsid w:val="00207B9F"/>
    <w:rsid w:val="00207FDE"/>
    <w:rsid w:val="00212D8D"/>
    <w:rsid w:val="00212FAA"/>
    <w:rsid w:val="002144B5"/>
    <w:rsid w:val="00214683"/>
    <w:rsid w:val="00214B22"/>
    <w:rsid w:val="00214C8F"/>
    <w:rsid w:val="002153B8"/>
    <w:rsid w:val="00215D28"/>
    <w:rsid w:val="0021600B"/>
    <w:rsid w:val="00216355"/>
    <w:rsid w:val="002170B6"/>
    <w:rsid w:val="00217B64"/>
    <w:rsid w:val="00217D7F"/>
    <w:rsid w:val="0022032B"/>
    <w:rsid w:val="00220538"/>
    <w:rsid w:val="002237AD"/>
    <w:rsid w:val="002240F1"/>
    <w:rsid w:val="00224733"/>
    <w:rsid w:val="00224B8A"/>
    <w:rsid w:val="00224EF4"/>
    <w:rsid w:val="00225C5C"/>
    <w:rsid w:val="00225C7D"/>
    <w:rsid w:val="0022653C"/>
    <w:rsid w:val="00226C00"/>
    <w:rsid w:val="00226D98"/>
    <w:rsid w:val="00227419"/>
    <w:rsid w:val="002278ED"/>
    <w:rsid w:val="0023013F"/>
    <w:rsid w:val="0023042A"/>
    <w:rsid w:val="00231320"/>
    <w:rsid w:val="00231D32"/>
    <w:rsid w:val="00232B65"/>
    <w:rsid w:val="00233ECF"/>
    <w:rsid w:val="00234098"/>
    <w:rsid w:val="002364F2"/>
    <w:rsid w:val="00236D71"/>
    <w:rsid w:val="00236F83"/>
    <w:rsid w:val="0023745C"/>
    <w:rsid w:val="00237908"/>
    <w:rsid w:val="00237AAF"/>
    <w:rsid w:val="00237AF6"/>
    <w:rsid w:val="00240141"/>
    <w:rsid w:val="0024165D"/>
    <w:rsid w:val="00242351"/>
    <w:rsid w:val="00242C2D"/>
    <w:rsid w:val="00242D63"/>
    <w:rsid w:val="002432BB"/>
    <w:rsid w:val="00243A80"/>
    <w:rsid w:val="00244788"/>
    <w:rsid w:val="00244F7F"/>
    <w:rsid w:val="00245B11"/>
    <w:rsid w:val="00245ED4"/>
    <w:rsid w:val="002462D1"/>
    <w:rsid w:val="002469E3"/>
    <w:rsid w:val="00246A12"/>
    <w:rsid w:val="0024755D"/>
    <w:rsid w:val="00247676"/>
    <w:rsid w:val="00247977"/>
    <w:rsid w:val="00247994"/>
    <w:rsid w:val="0025028F"/>
    <w:rsid w:val="002523F3"/>
    <w:rsid w:val="00252812"/>
    <w:rsid w:val="002529C9"/>
    <w:rsid w:val="002540E3"/>
    <w:rsid w:val="00254912"/>
    <w:rsid w:val="00254CD1"/>
    <w:rsid w:val="00255333"/>
    <w:rsid w:val="00255827"/>
    <w:rsid w:val="00255AF3"/>
    <w:rsid w:val="00256498"/>
    <w:rsid w:val="00256BDC"/>
    <w:rsid w:val="0025782A"/>
    <w:rsid w:val="00257EC3"/>
    <w:rsid w:val="00260C99"/>
    <w:rsid w:val="00261397"/>
    <w:rsid w:val="00261491"/>
    <w:rsid w:val="00261807"/>
    <w:rsid w:val="00262193"/>
    <w:rsid w:val="002621ED"/>
    <w:rsid w:val="00262AAB"/>
    <w:rsid w:val="00262B07"/>
    <w:rsid w:val="0026371D"/>
    <w:rsid w:val="00263BC3"/>
    <w:rsid w:val="00263E80"/>
    <w:rsid w:val="00263F80"/>
    <w:rsid w:val="002643AA"/>
    <w:rsid w:val="00264FF5"/>
    <w:rsid w:val="0026512E"/>
    <w:rsid w:val="002656B5"/>
    <w:rsid w:val="00266DEB"/>
    <w:rsid w:val="0026709D"/>
    <w:rsid w:val="002673C1"/>
    <w:rsid w:val="00267B8F"/>
    <w:rsid w:val="0027015B"/>
    <w:rsid w:val="002702DF"/>
    <w:rsid w:val="00270490"/>
    <w:rsid w:val="00272773"/>
    <w:rsid w:val="00272DC6"/>
    <w:rsid w:val="00273442"/>
    <w:rsid w:val="002734D6"/>
    <w:rsid w:val="0027376E"/>
    <w:rsid w:val="0027487C"/>
    <w:rsid w:val="002749CE"/>
    <w:rsid w:val="00274A3E"/>
    <w:rsid w:val="00275BF5"/>
    <w:rsid w:val="00276DD5"/>
    <w:rsid w:val="00276EE5"/>
    <w:rsid w:val="00276F67"/>
    <w:rsid w:val="00276FE4"/>
    <w:rsid w:val="002773B9"/>
    <w:rsid w:val="002778F4"/>
    <w:rsid w:val="0028047C"/>
    <w:rsid w:val="002805BD"/>
    <w:rsid w:val="002806A4"/>
    <w:rsid w:val="00280884"/>
    <w:rsid w:val="00281864"/>
    <w:rsid w:val="00282277"/>
    <w:rsid w:val="002828E7"/>
    <w:rsid w:val="00283CA3"/>
    <w:rsid w:val="00284099"/>
    <w:rsid w:val="00285C8F"/>
    <w:rsid w:val="002861B8"/>
    <w:rsid w:val="00286C6E"/>
    <w:rsid w:val="00286D06"/>
    <w:rsid w:val="00286ED8"/>
    <w:rsid w:val="0029134E"/>
    <w:rsid w:val="00291A7B"/>
    <w:rsid w:val="00291FD0"/>
    <w:rsid w:val="002926E1"/>
    <w:rsid w:val="00293178"/>
    <w:rsid w:val="002935E7"/>
    <w:rsid w:val="00293A51"/>
    <w:rsid w:val="002943B7"/>
    <w:rsid w:val="00294B43"/>
    <w:rsid w:val="00294C25"/>
    <w:rsid w:val="00295143"/>
    <w:rsid w:val="00295364"/>
    <w:rsid w:val="0029568C"/>
    <w:rsid w:val="002A0B98"/>
    <w:rsid w:val="002A0CA1"/>
    <w:rsid w:val="002A1F52"/>
    <w:rsid w:val="002A21A7"/>
    <w:rsid w:val="002A2AD6"/>
    <w:rsid w:val="002A2E4B"/>
    <w:rsid w:val="002A366F"/>
    <w:rsid w:val="002A376D"/>
    <w:rsid w:val="002A38B9"/>
    <w:rsid w:val="002A4305"/>
    <w:rsid w:val="002A4620"/>
    <w:rsid w:val="002A51F0"/>
    <w:rsid w:val="002A5460"/>
    <w:rsid w:val="002A54F6"/>
    <w:rsid w:val="002A6939"/>
    <w:rsid w:val="002A6E44"/>
    <w:rsid w:val="002A7323"/>
    <w:rsid w:val="002A7E78"/>
    <w:rsid w:val="002A7E7B"/>
    <w:rsid w:val="002B0BEF"/>
    <w:rsid w:val="002B0DAC"/>
    <w:rsid w:val="002B2530"/>
    <w:rsid w:val="002B279C"/>
    <w:rsid w:val="002B27DB"/>
    <w:rsid w:val="002B2B06"/>
    <w:rsid w:val="002B2C33"/>
    <w:rsid w:val="002B34DF"/>
    <w:rsid w:val="002B352C"/>
    <w:rsid w:val="002B38FC"/>
    <w:rsid w:val="002B4223"/>
    <w:rsid w:val="002B42A6"/>
    <w:rsid w:val="002B485A"/>
    <w:rsid w:val="002B564A"/>
    <w:rsid w:val="002B5CA1"/>
    <w:rsid w:val="002B5DC1"/>
    <w:rsid w:val="002B6A16"/>
    <w:rsid w:val="002B6A3A"/>
    <w:rsid w:val="002B7AFE"/>
    <w:rsid w:val="002C0138"/>
    <w:rsid w:val="002C0D31"/>
    <w:rsid w:val="002C136C"/>
    <w:rsid w:val="002C16F9"/>
    <w:rsid w:val="002C191F"/>
    <w:rsid w:val="002C1F66"/>
    <w:rsid w:val="002C20C4"/>
    <w:rsid w:val="002C219F"/>
    <w:rsid w:val="002C2262"/>
    <w:rsid w:val="002C276D"/>
    <w:rsid w:val="002C28E5"/>
    <w:rsid w:val="002C2BBE"/>
    <w:rsid w:val="002C2DD2"/>
    <w:rsid w:val="002C2E73"/>
    <w:rsid w:val="002C2FBF"/>
    <w:rsid w:val="002C3407"/>
    <w:rsid w:val="002C3EEC"/>
    <w:rsid w:val="002C45FE"/>
    <w:rsid w:val="002C51EB"/>
    <w:rsid w:val="002C530B"/>
    <w:rsid w:val="002C5775"/>
    <w:rsid w:val="002C631E"/>
    <w:rsid w:val="002C7599"/>
    <w:rsid w:val="002C78E4"/>
    <w:rsid w:val="002C7F6B"/>
    <w:rsid w:val="002D0063"/>
    <w:rsid w:val="002D0EC1"/>
    <w:rsid w:val="002D2183"/>
    <w:rsid w:val="002D329E"/>
    <w:rsid w:val="002D3610"/>
    <w:rsid w:val="002D3B89"/>
    <w:rsid w:val="002D3DD6"/>
    <w:rsid w:val="002D4A84"/>
    <w:rsid w:val="002D4DCF"/>
    <w:rsid w:val="002D634F"/>
    <w:rsid w:val="002D741F"/>
    <w:rsid w:val="002E07C1"/>
    <w:rsid w:val="002E119B"/>
    <w:rsid w:val="002E17C0"/>
    <w:rsid w:val="002E1CE2"/>
    <w:rsid w:val="002E2823"/>
    <w:rsid w:val="002E2E58"/>
    <w:rsid w:val="002E3399"/>
    <w:rsid w:val="002E33BD"/>
    <w:rsid w:val="002E3539"/>
    <w:rsid w:val="002E6309"/>
    <w:rsid w:val="002E68A2"/>
    <w:rsid w:val="002E6D1C"/>
    <w:rsid w:val="002E7599"/>
    <w:rsid w:val="002E7961"/>
    <w:rsid w:val="002F08A3"/>
    <w:rsid w:val="002F0DF3"/>
    <w:rsid w:val="002F1D4B"/>
    <w:rsid w:val="002F1E38"/>
    <w:rsid w:val="002F2027"/>
    <w:rsid w:val="002F270D"/>
    <w:rsid w:val="002F2BD5"/>
    <w:rsid w:val="002F3177"/>
    <w:rsid w:val="002F34FE"/>
    <w:rsid w:val="002F3C4F"/>
    <w:rsid w:val="002F45F1"/>
    <w:rsid w:val="002F501E"/>
    <w:rsid w:val="002F5584"/>
    <w:rsid w:val="002F6889"/>
    <w:rsid w:val="002F71A0"/>
    <w:rsid w:val="002F7630"/>
    <w:rsid w:val="002F7728"/>
    <w:rsid w:val="002F7ACC"/>
    <w:rsid w:val="00301A38"/>
    <w:rsid w:val="00301B33"/>
    <w:rsid w:val="00301FDA"/>
    <w:rsid w:val="00304381"/>
    <w:rsid w:val="00304F97"/>
    <w:rsid w:val="003050F1"/>
    <w:rsid w:val="0030578A"/>
    <w:rsid w:val="00305C07"/>
    <w:rsid w:val="00305C22"/>
    <w:rsid w:val="00306A5D"/>
    <w:rsid w:val="00306F0B"/>
    <w:rsid w:val="003072CD"/>
    <w:rsid w:val="0030785F"/>
    <w:rsid w:val="00310C5D"/>
    <w:rsid w:val="00311869"/>
    <w:rsid w:val="00311E23"/>
    <w:rsid w:val="00312C32"/>
    <w:rsid w:val="0031412E"/>
    <w:rsid w:val="003167A3"/>
    <w:rsid w:val="003177E8"/>
    <w:rsid w:val="003200D9"/>
    <w:rsid w:val="00320110"/>
    <w:rsid w:val="00320E13"/>
    <w:rsid w:val="003210C0"/>
    <w:rsid w:val="003219BF"/>
    <w:rsid w:val="00323076"/>
    <w:rsid w:val="003241DD"/>
    <w:rsid w:val="00324727"/>
    <w:rsid w:val="00324BF2"/>
    <w:rsid w:val="0032537A"/>
    <w:rsid w:val="003261F2"/>
    <w:rsid w:val="00326C63"/>
    <w:rsid w:val="00327A30"/>
    <w:rsid w:val="00327CA7"/>
    <w:rsid w:val="00327CB4"/>
    <w:rsid w:val="0033077D"/>
    <w:rsid w:val="00330AF7"/>
    <w:rsid w:val="00330B19"/>
    <w:rsid w:val="00331409"/>
    <w:rsid w:val="003315C4"/>
    <w:rsid w:val="0033192B"/>
    <w:rsid w:val="00331D1E"/>
    <w:rsid w:val="003322A8"/>
    <w:rsid w:val="00332A61"/>
    <w:rsid w:val="00332B4B"/>
    <w:rsid w:val="00332E73"/>
    <w:rsid w:val="00333848"/>
    <w:rsid w:val="00334219"/>
    <w:rsid w:val="00334BC6"/>
    <w:rsid w:val="00334F09"/>
    <w:rsid w:val="00334F30"/>
    <w:rsid w:val="00335199"/>
    <w:rsid w:val="003353F6"/>
    <w:rsid w:val="003354C1"/>
    <w:rsid w:val="00335D7F"/>
    <w:rsid w:val="00335EAE"/>
    <w:rsid w:val="00336478"/>
    <w:rsid w:val="00336B5B"/>
    <w:rsid w:val="0033791D"/>
    <w:rsid w:val="0034061F"/>
    <w:rsid w:val="003409CD"/>
    <w:rsid w:val="00340BC2"/>
    <w:rsid w:val="003412BE"/>
    <w:rsid w:val="00341A3B"/>
    <w:rsid w:val="00342360"/>
    <w:rsid w:val="00343808"/>
    <w:rsid w:val="00343B3C"/>
    <w:rsid w:val="00343FF2"/>
    <w:rsid w:val="003446F2"/>
    <w:rsid w:val="00344905"/>
    <w:rsid w:val="003457C9"/>
    <w:rsid w:val="00345A9C"/>
    <w:rsid w:val="00346EDA"/>
    <w:rsid w:val="00347D6C"/>
    <w:rsid w:val="00347FC5"/>
    <w:rsid w:val="00350958"/>
    <w:rsid w:val="00350A14"/>
    <w:rsid w:val="00350EB8"/>
    <w:rsid w:val="00352571"/>
    <w:rsid w:val="00353699"/>
    <w:rsid w:val="00354C5F"/>
    <w:rsid w:val="003550E0"/>
    <w:rsid w:val="0035530B"/>
    <w:rsid w:val="00356F59"/>
    <w:rsid w:val="003574AB"/>
    <w:rsid w:val="00357FAE"/>
    <w:rsid w:val="00360E5D"/>
    <w:rsid w:val="0036290D"/>
    <w:rsid w:val="00362CE6"/>
    <w:rsid w:val="00363559"/>
    <w:rsid w:val="003636B0"/>
    <w:rsid w:val="00364503"/>
    <w:rsid w:val="00364B27"/>
    <w:rsid w:val="003667C3"/>
    <w:rsid w:val="00367902"/>
    <w:rsid w:val="0037066E"/>
    <w:rsid w:val="00370FB1"/>
    <w:rsid w:val="0037145E"/>
    <w:rsid w:val="0037148E"/>
    <w:rsid w:val="00371683"/>
    <w:rsid w:val="00373B4F"/>
    <w:rsid w:val="00374373"/>
    <w:rsid w:val="003748A6"/>
    <w:rsid w:val="003754EC"/>
    <w:rsid w:val="00376885"/>
    <w:rsid w:val="00376B27"/>
    <w:rsid w:val="00377B9E"/>
    <w:rsid w:val="00380A7E"/>
    <w:rsid w:val="00381078"/>
    <w:rsid w:val="0038152D"/>
    <w:rsid w:val="00381765"/>
    <w:rsid w:val="00381E77"/>
    <w:rsid w:val="00381FB7"/>
    <w:rsid w:val="003828FE"/>
    <w:rsid w:val="003830BE"/>
    <w:rsid w:val="003832E2"/>
    <w:rsid w:val="00384610"/>
    <w:rsid w:val="003850C0"/>
    <w:rsid w:val="00385157"/>
    <w:rsid w:val="003859F7"/>
    <w:rsid w:val="003860D7"/>
    <w:rsid w:val="00386772"/>
    <w:rsid w:val="00386C84"/>
    <w:rsid w:val="003872A2"/>
    <w:rsid w:val="00387767"/>
    <w:rsid w:val="00390399"/>
    <w:rsid w:val="003909FD"/>
    <w:rsid w:val="00390D58"/>
    <w:rsid w:val="00391776"/>
    <w:rsid w:val="00392208"/>
    <w:rsid w:val="00396FE6"/>
    <w:rsid w:val="00397183"/>
    <w:rsid w:val="0039762E"/>
    <w:rsid w:val="00397B06"/>
    <w:rsid w:val="003A0517"/>
    <w:rsid w:val="003A0961"/>
    <w:rsid w:val="003A0F08"/>
    <w:rsid w:val="003A10CF"/>
    <w:rsid w:val="003A19B0"/>
    <w:rsid w:val="003A23F2"/>
    <w:rsid w:val="003A2526"/>
    <w:rsid w:val="003A3758"/>
    <w:rsid w:val="003A3ABE"/>
    <w:rsid w:val="003A3E24"/>
    <w:rsid w:val="003A41C6"/>
    <w:rsid w:val="003A70F0"/>
    <w:rsid w:val="003A7607"/>
    <w:rsid w:val="003B06C3"/>
    <w:rsid w:val="003B0BD5"/>
    <w:rsid w:val="003B0BE0"/>
    <w:rsid w:val="003B2284"/>
    <w:rsid w:val="003B2473"/>
    <w:rsid w:val="003B27A6"/>
    <w:rsid w:val="003B315A"/>
    <w:rsid w:val="003B32BD"/>
    <w:rsid w:val="003B3E7B"/>
    <w:rsid w:val="003B5B8D"/>
    <w:rsid w:val="003B6D77"/>
    <w:rsid w:val="003B6F73"/>
    <w:rsid w:val="003B717A"/>
    <w:rsid w:val="003B71C3"/>
    <w:rsid w:val="003B71D7"/>
    <w:rsid w:val="003B761F"/>
    <w:rsid w:val="003B7EF5"/>
    <w:rsid w:val="003C0093"/>
    <w:rsid w:val="003C0C88"/>
    <w:rsid w:val="003C0E8D"/>
    <w:rsid w:val="003C258B"/>
    <w:rsid w:val="003C27C9"/>
    <w:rsid w:val="003C4428"/>
    <w:rsid w:val="003C4F5F"/>
    <w:rsid w:val="003C50EC"/>
    <w:rsid w:val="003C584D"/>
    <w:rsid w:val="003C5B63"/>
    <w:rsid w:val="003C6241"/>
    <w:rsid w:val="003C6BE1"/>
    <w:rsid w:val="003C73E9"/>
    <w:rsid w:val="003C7640"/>
    <w:rsid w:val="003C7A92"/>
    <w:rsid w:val="003C7AEC"/>
    <w:rsid w:val="003D020B"/>
    <w:rsid w:val="003D1388"/>
    <w:rsid w:val="003D2704"/>
    <w:rsid w:val="003D29EB"/>
    <w:rsid w:val="003D359B"/>
    <w:rsid w:val="003D3E81"/>
    <w:rsid w:val="003D3FF8"/>
    <w:rsid w:val="003D4838"/>
    <w:rsid w:val="003D644B"/>
    <w:rsid w:val="003D72A1"/>
    <w:rsid w:val="003D742C"/>
    <w:rsid w:val="003D76D3"/>
    <w:rsid w:val="003D787B"/>
    <w:rsid w:val="003D7D3C"/>
    <w:rsid w:val="003E00C8"/>
    <w:rsid w:val="003E0117"/>
    <w:rsid w:val="003E0B6C"/>
    <w:rsid w:val="003E1475"/>
    <w:rsid w:val="003E16CD"/>
    <w:rsid w:val="003E1C49"/>
    <w:rsid w:val="003E29C2"/>
    <w:rsid w:val="003E3058"/>
    <w:rsid w:val="003E3EE7"/>
    <w:rsid w:val="003E4380"/>
    <w:rsid w:val="003E457A"/>
    <w:rsid w:val="003E46E7"/>
    <w:rsid w:val="003E51A9"/>
    <w:rsid w:val="003E5AD9"/>
    <w:rsid w:val="003E6289"/>
    <w:rsid w:val="003E71E1"/>
    <w:rsid w:val="003E7D23"/>
    <w:rsid w:val="003F06D6"/>
    <w:rsid w:val="003F06E2"/>
    <w:rsid w:val="003F08B9"/>
    <w:rsid w:val="003F0DF7"/>
    <w:rsid w:val="003F2197"/>
    <w:rsid w:val="003F29F2"/>
    <w:rsid w:val="003F41AD"/>
    <w:rsid w:val="003F4C3F"/>
    <w:rsid w:val="003F5287"/>
    <w:rsid w:val="003F622E"/>
    <w:rsid w:val="003F7126"/>
    <w:rsid w:val="003F7606"/>
    <w:rsid w:val="003F7BCD"/>
    <w:rsid w:val="00400CBA"/>
    <w:rsid w:val="00401BE7"/>
    <w:rsid w:val="00402BEC"/>
    <w:rsid w:val="004030F7"/>
    <w:rsid w:val="00403871"/>
    <w:rsid w:val="00405025"/>
    <w:rsid w:val="00405A62"/>
    <w:rsid w:val="0040615E"/>
    <w:rsid w:val="0040715C"/>
    <w:rsid w:val="00407C4C"/>
    <w:rsid w:val="004104DB"/>
    <w:rsid w:val="00410C9A"/>
    <w:rsid w:val="00411565"/>
    <w:rsid w:val="004115ED"/>
    <w:rsid w:val="00412131"/>
    <w:rsid w:val="004143B2"/>
    <w:rsid w:val="00414F20"/>
    <w:rsid w:val="004153D6"/>
    <w:rsid w:val="0041581F"/>
    <w:rsid w:val="0041614C"/>
    <w:rsid w:val="00416CAF"/>
    <w:rsid w:val="00417EDF"/>
    <w:rsid w:val="004202FE"/>
    <w:rsid w:val="00421245"/>
    <w:rsid w:val="00421C5F"/>
    <w:rsid w:val="00422113"/>
    <w:rsid w:val="0042293C"/>
    <w:rsid w:val="0042380C"/>
    <w:rsid w:val="00423F61"/>
    <w:rsid w:val="004241DB"/>
    <w:rsid w:val="004244B8"/>
    <w:rsid w:val="00424658"/>
    <w:rsid w:val="00424953"/>
    <w:rsid w:val="004252D4"/>
    <w:rsid w:val="00425550"/>
    <w:rsid w:val="00425A21"/>
    <w:rsid w:val="004266B9"/>
    <w:rsid w:val="0042695D"/>
    <w:rsid w:val="00431F21"/>
    <w:rsid w:val="004349FF"/>
    <w:rsid w:val="00434D71"/>
    <w:rsid w:val="004364CD"/>
    <w:rsid w:val="00436DCA"/>
    <w:rsid w:val="0043772C"/>
    <w:rsid w:val="00437BEC"/>
    <w:rsid w:val="004403E0"/>
    <w:rsid w:val="0044109C"/>
    <w:rsid w:val="004429CD"/>
    <w:rsid w:val="00442A1A"/>
    <w:rsid w:val="00443049"/>
    <w:rsid w:val="0044372E"/>
    <w:rsid w:val="00443DFE"/>
    <w:rsid w:val="0044480F"/>
    <w:rsid w:val="00444ACF"/>
    <w:rsid w:val="004453E0"/>
    <w:rsid w:val="004455EF"/>
    <w:rsid w:val="00445B38"/>
    <w:rsid w:val="0044703D"/>
    <w:rsid w:val="00447A0F"/>
    <w:rsid w:val="004509AE"/>
    <w:rsid w:val="00452617"/>
    <w:rsid w:val="004527D9"/>
    <w:rsid w:val="00453EA1"/>
    <w:rsid w:val="0045630C"/>
    <w:rsid w:val="004571E1"/>
    <w:rsid w:val="00457227"/>
    <w:rsid w:val="00457354"/>
    <w:rsid w:val="00457FF0"/>
    <w:rsid w:val="004604AC"/>
    <w:rsid w:val="00460ACF"/>
    <w:rsid w:val="00460E5B"/>
    <w:rsid w:val="0046300F"/>
    <w:rsid w:val="00463150"/>
    <w:rsid w:val="004631F7"/>
    <w:rsid w:val="00463580"/>
    <w:rsid w:val="00463FC2"/>
    <w:rsid w:val="004652B8"/>
    <w:rsid w:val="00465A36"/>
    <w:rsid w:val="00466155"/>
    <w:rsid w:val="004666CE"/>
    <w:rsid w:val="0046780A"/>
    <w:rsid w:val="00467D45"/>
    <w:rsid w:val="0047011D"/>
    <w:rsid w:val="00470C77"/>
    <w:rsid w:val="004711AE"/>
    <w:rsid w:val="0047253D"/>
    <w:rsid w:val="0047368F"/>
    <w:rsid w:val="0047386B"/>
    <w:rsid w:val="004752BC"/>
    <w:rsid w:val="00475700"/>
    <w:rsid w:val="00476B50"/>
    <w:rsid w:val="00476FE1"/>
    <w:rsid w:val="00477D32"/>
    <w:rsid w:val="004807E7"/>
    <w:rsid w:val="00481C06"/>
    <w:rsid w:val="0048251F"/>
    <w:rsid w:val="00482A75"/>
    <w:rsid w:val="0048363E"/>
    <w:rsid w:val="00483AA6"/>
    <w:rsid w:val="00483BDD"/>
    <w:rsid w:val="0048476C"/>
    <w:rsid w:val="00484C90"/>
    <w:rsid w:val="004850ED"/>
    <w:rsid w:val="00486037"/>
    <w:rsid w:val="00486820"/>
    <w:rsid w:val="00486E7C"/>
    <w:rsid w:val="004905D9"/>
    <w:rsid w:val="004919F9"/>
    <w:rsid w:val="00492ACE"/>
    <w:rsid w:val="00493238"/>
    <w:rsid w:val="004945CB"/>
    <w:rsid w:val="00494660"/>
    <w:rsid w:val="004949EE"/>
    <w:rsid w:val="00494B98"/>
    <w:rsid w:val="0049691F"/>
    <w:rsid w:val="00497668"/>
    <w:rsid w:val="004A02BB"/>
    <w:rsid w:val="004A0788"/>
    <w:rsid w:val="004A0B98"/>
    <w:rsid w:val="004A10B1"/>
    <w:rsid w:val="004A1543"/>
    <w:rsid w:val="004A1F07"/>
    <w:rsid w:val="004A21AA"/>
    <w:rsid w:val="004A2B4F"/>
    <w:rsid w:val="004A2B90"/>
    <w:rsid w:val="004A2D65"/>
    <w:rsid w:val="004A3468"/>
    <w:rsid w:val="004A38EA"/>
    <w:rsid w:val="004A4903"/>
    <w:rsid w:val="004A5048"/>
    <w:rsid w:val="004A50D3"/>
    <w:rsid w:val="004A63D5"/>
    <w:rsid w:val="004A7524"/>
    <w:rsid w:val="004A7981"/>
    <w:rsid w:val="004B240E"/>
    <w:rsid w:val="004B2FF8"/>
    <w:rsid w:val="004B3BA5"/>
    <w:rsid w:val="004B3FF2"/>
    <w:rsid w:val="004B499C"/>
    <w:rsid w:val="004B56F1"/>
    <w:rsid w:val="004B5DD1"/>
    <w:rsid w:val="004B6451"/>
    <w:rsid w:val="004B6BCD"/>
    <w:rsid w:val="004B7636"/>
    <w:rsid w:val="004B7B08"/>
    <w:rsid w:val="004C0927"/>
    <w:rsid w:val="004C12EA"/>
    <w:rsid w:val="004C1A44"/>
    <w:rsid w:val="004C2432"/>
    <w:rsid w:val="004C2A55"/>
    <w:rsid w:val="004C3616"/>
    <w:rsid w:val="004C392E"/>
    <w:rsid w:val="004C436F"/>
    <w:rsid w:val="004C5014"/>
    <w:rsid w:val="004C53E9"/>
    <w:rsid w:val="004C549A"/>
    <w:rsid w:val="004C5DC0"/>
    <w:rsid w:val="004C640B"/>
    <w:rsid w:val="004C6998"/>
    <w:rsid w:val="004C6B80"/>
    <w:rsid w:val="004C6D5D"/>
    <w:rsid w:val="004C739D"/>
    <w:rsid w:val="004C7A81"/>
    <w:rsid w:val="004C7A98"/>
    <w:rsid w:val="004D0606"/>
    <w:rsid w:val="004D0653"/>
    <w:rsid w:val="004D2428"/>
    <w:rsid w:val="004D2579"/>
    <w:rsid w:val="004D32CD"/>
    <w:rsid w:val="004D4169"/>
    <w:rsid w:val="004D5028"/>
    <w:rsid w:val="004D5610"/>
    <w:rsid w:val="004D7068"/>
    <w:rsid w:val="004E15BC"/>
    <w:rsid w:val="004E2D42"/>
    <w:rsid w:val="004E35BF"/>
    <w:rsid w:val="004E3BD1"/>
    <w:rsid w:val="004E3F01"/>
    <w:rsid w:val="004E404E"/>
    <w:rsid w:val="004E418B"/>
    <w:rsid w:val="004E472F"/>
    <w:rsid w:val="004E47A4"/>
    <w:rsid w:val="004E4F3A"/>
    <w:rsid w:val="004E5616"/>
    <w:rsid w:val="004E60A3"/>
    <w:rsid w:val="004E6139"/>
    <w:rsid w:val="004E619A"/>
    <w:rsid w:val="004E61D4"/>
    <w:rsid w:val="004E6C56"/>
    <w:rsid w:val="004E7279"/>
    <w:rsid w:val="004E785D"/>
    <w:rsid w:val="004E7CC3"/>
    <w:rsid w:val="004F0302"/>
    <w:rsid w:val="004F2591"/>
    <w:rsid w:val="004F344F"/>
    <w:rsid w:val="004F35AD"/>
    <w:rsid w:val="004F36A3"/>
    <w:rsid w:val="004F457E"/>
    <w:rsid w:val="004F45F7"/>
    <w:rsid w:val="004F58C0"/>
    <w:rsid w:val="004F5A62"/>
    <w:rsid w:val="004F5DB8"/>
    <w:rsid w:val="004F60FB"/>
    <w:rsid w:val="004F63FD"/>
    <w:rsid w:val="004F6529"/>
    <w:rsid w:val="004F681A"/>
    <w:rsid w:val="004F6EA5"/>
    <w:rsid w:val="004F76EB"/>
    <w:rsid w:val="00500BEE"/>
    <w:rsid w:val="00500F12"/>
    <w:rsid w:val="0050123F"/>
    <w:rsid w:val="005020DD"/>
    <w:rsid w:val="005023AC"/>
    <w:rsid w:val="00502559"/>
    <w:rsid w:val="00502A4C"/>
    <w:rsid w:val="00503792"/>
    <w:rsid w:val="00503E1D"/>
    <w:rsid w:val="00504424"/>
    <w:rsid w:val="00504E83"/>
    <w:rsid w:val="00505221"/>
    <w:rsid w:val="0050566A"/>
    <w:rsid w:val="00505802"/>
    <w:rsid w:val="005060A7"/>
    <w:rsid w:val="00506DE5"/>
    <w:rsid w:val="00507169"/>
    <w:rsid w:val="0050773C"/>
    <w:rsid w:val="005114CA"/>
    <w:rsid w:val="0051152A"/>
    <w:rsid w:val="00511795"/>
    <w:rsid w:val="00511ABD"/>
    <w:rsid w:val="00511ACB"/>
    <w:rsid w:val="0051346C"/>
    <w:rsid w:val="00513806"/>
    <w:rsid w:val="00513DF8"/>
    <w:rsid w:val="005176DD"/>
    <w:rsid w:val="005213D2"/>
    <w:rsid w:val="00521773"/>
    <w:rsid w:val="005240C8"/>
    <w:rsid w:val="005253EA"/>
    <w:rsid w:val="00525A5D"/>
    <w:rsid w:val="00525CE9"/>
    <w:rsid w:val="00525DA6"/>
    <w:rsid w:val="00526345"/>
    <w:rsid w:val="00526C0B"/>
    <w:rsid w:val="00527B05"/>
    <w:rsid w:val="00530600"/>
    <w:rsid w:val="00530D5D"/>
    <w:rsid w:val="005314F0"/>
    <w:rsid w:val="00531B34"/>
    <w:rsid w:val="00531EC3"/>
    <w:rsid w:val="00533852"/>
    <w:rsid w:val="0054012B"/>
    <w:rsid w:val="005403F4"/>
    <w:rsid w:val="00540D96"/>
    <w:rsid w:val="005411F2"/>
    <w:rsid w:val="00541338"/>
    <w:rsid w:val="005421CD"/>
    <w:rsid w:val="00542691"/>
    <w:rsid w:val="005426F2"/>
    <w:rsid w:val="00545B73"/>
    <w:rsid w:val="00546AB6"/>
    <w:rsid w:val="005476A5"/>
    <w:rsid w:val="00547D0E"/>
    <w:rsid w:val="00547D73"/>
    <w:rsid w:val="00550E25"/>
    <w:rsid w:val="005515BB"/>
    <w:rsid w:val="005515F4"/>
    <w:rsid w:val="00551C8B"/>
    <w:rsid w:val="0055242D"/>
    <w:rsid w:val="00552F7C"/>
    <w:rsid w:val="005531D6"/>
    <w:rsid w:val="005542D1"/>
    <w:rsid w:val="00554A40"/>
    <w:rsid w:val="00554B1C"/>
    <w:rsid w:val="00554C6A"/>
    <w:rsid w:val="00554F22"/>
    <w:rsid w:val="00555541"/>
    <w:rsid w:val="005556EB"/>
    <w:rsid w:val="00555AA1"/>
    <w:rsid w:val="00555C73"/>
    <w:rsid w:val="00556893"/>
    <w:rsid w:val="00557BA7"/>
    <w:rsid w:val="00560643"/>
    <w:rsid w:val="00561C6E"/>
    <w:rsid w:val="005627A2"/>
    <w:rsid w:val="0056293F"/>
    <w:rsid w:val="00564766"/>
    <w:rsid w:val="005649EE"/>
    <w:rsid w:val="00564DDD"/>
    <w:rsid w:val="00565F33"/>
    <w:rsid w:val="005661E8"/>
    <w:rsid w:val="0056657E"/>
    <w:rsid w:val="005668D1"/>
    <w:rsid w:val="00567033"/>
    <w:rsid w:val="005672A3"/>
    <w:rsid w:val="00567307"/>
    <w:rsid w:val="0056732E"/>
    <w:rsid w:val="0056794A"/>
    <w:rsid w:val="00567B1D"/>
    <w:rsid w:val="00567D32"/>
    <w:rsid w:val="005701A3"/>
    <w:rsid w:val="005704EF"/>
    <w:rsid w:val="00570597"/>
    <w:rsid w:val="00571D5C"/>
    <w:rsid w:val="00571DB1"/>
    <w:rsid w:val="0057210F"/>
    <w:rsid w:val="00572A7A"/>
    <w:rsid w:val="00573AFC"/>
    <w:rsid w:val="00574396"/>
    <w:rsid w:val="00574A17"/>
    <w:rsid w:val="005752BE"/>
    <w:rsid w:val="00575B4A"/>
    <w:rsid w:val="00575FE5"/>
    <w:rsid w:val="00576937"/>
    <w:rsid w:val="00576C1F"/>
    <w:rsid w:val="00576DF3"/>
    <w:rsid w:val="005770DB"/>
    <w:rsid w:val="005776DD"/>
    <w:rsid w:val="00577C2F"/>
    <w:rsid w:val="00577FB7"/>
    <w:rsid w:val="0058069B"/>
    <w:rsid w:val="005808F8"/>
    <w:rsid w:val="00580F27"/>
    <w:rsid w:val="005814D5"/>
    <w:rsid w:val="00581804"/>
    <w:rsid w:val="00582485"/>
    <w:rsid w:val="0058316C"/>
    <w:rsid w:val="00583180"/>
    <w:rsid w:val="0058327D"/>
    <w:rsid w:val="0058329F"/>
    <w:rsid w:val="00583918"/>
    <w:rsid w:val="005840F9"/>
    <w:rsid w:val="0058448F"/>
    <w:rsid w:val="0058469C"/>
    <w:rsid w:val="005868DF"/>
    <w:rsid w:val="00586F61"/>
    <w:rsid w:val="005872E9"/>
    <w:rsid w:val="005879AF"/>
    <w:rsid w:val="00590185"/>
    <w:rsid w:val="00590967"/>
    <w:rsid w:val="00590ED3"/>
    <w:rsid w:val="00590F44"/>
    <w:rsid w:val="005917F5"/>
    <w:rsid w:val="00591B7D"/>
    <w:rsid w:val="00591C01"/>
    <w:rsid w:val="00591E3B"/>
    <w:rsid w:val="005920F3"/>
    <w:rsid w:val="005924B1"/>
    <w:rsid w:val="00592939"/>
    <w:rsid w:val="00592B11"/>
    <w:rsid w:val="00593066"/>
    <w:rsid w:val="00594418"/>
    <w:rsid w:val="00594868"/>
    <w:rsid w:val="00596DAF"/>
    <w:rsid w:val="005975FF"/>
    <w:rsid w:val="005A0906"/>
    <w:rsid w:val="005A1425"/>
    <w:rsid w:val="005A2178"/>
    <w:rsid w:val="005A2275"/>
    <w:rsid w:val="005A2F57"/>
    <w:rsid w:val="005A3B9B"/>
    <w:rsid w:val="005A3C94"/>
    <w:rsid w:val="005A4097"/>
    <w:rsid w:val="005A4273"/>
    <w:rsid w:val="005A46A1"/>
    <w:rsid w:val="005A4811"/>
    <w:rsid w:val="005A54FC"/>
    <w:rsid w:val="005A551D"/>
    <w:rsid w:val="005A56E2"/>
    <w:rsid w:val="005A598D"/>
    <w:rsid w:val="005A6280"/>
    <w:rsid w:val="005A65DD"/>
    <w:rsid w:val="005B02EB"/>
    <w:rsid w:val="005B0B18"/>
    <w:rsid w:val="005B10AD"/>
    <w:rsid w:val="005B3F00"/>
    <w:rsid w:val="005B4216"/>
    <w:rsid w:val="005B4AAE"/>
    <w:rsid w:val="005B4AE2"/>
    <w:rsid w:val="005B4CC0"/>
    <w:rsid w:val="005B5B3B"/>
    <w:rsid w:val="005B6319"/>
    <w:rsid w:val="005B6E95"/>
    <w:rsid w:val="005B7054"/>
    <w:rsid w:val="005B7083"/>
    <w:rsid w:val="005B732D"/>
    <w:rsid w:val="005B77DD"/>
    <w:rsid w:val="005C07B7"/>
    <w:rsid w:val="005C0ADE"/>
    <w:rsid w:val="005C0DBA"/>
    <w:rsid w:val="005C1273"/>
    <w:rsid w:val="005C1B2F"/>
    <w:rsid w:val="005C1C2B"/>
    <w:rsid w:val="005C301E"/>
    <w:rsid w:val="005C31F9"/>
    <w:rsid w:val="005C3703"/>
    <w:rsid w:val="005C3762"/>
    <w:rsid w:val="005C393F"/>
    <w:rsid w:val="005C4214"/>
    <w:rsid w:val="005C4FCC"/>
    <w:rsid w:val="005C5528"/>
    <w:rsid w:val="005C5FE3"/>
    <w:rsid w:val="005C600F"/>
    <w:rsid w:val="005C70A7"/>
    <w:rsid w:val="005C7243"/>
    <w:rsid w:val="005C76D9"/>
    <w:rsid w:val="005C7B6A"/>
    <w:rsid w:val="005D049E"/>
    <w:rsid w:val="005D074A"/>
    <w:rsid w:val="005D2633"/>
    <w:rsid w:val="005D32A1"/>
    <w:rsid w:val="005D4AE6"/>
    <w:rsid w:val="005D565D"/>
    <w:rsid w:val="005D68A3"/>
    <w:rsid w:val="005D6C80"/>
    <w:rsid w:val="005D6E72"/>
    <w:rsid w:val="005D7748"/>
    <w:rsid w:val="005D7B08"/>
    <w:rsid w:val="005D7FB4"/>
    <w:rsid w:val="005E0174"/>
    <w:rsid w:val="005E03CE"/>
    <w:rsid w:val="005E06F5"/>
    <w:rsid w:val="005E1AEE"/>
    <w:rsid w:val="005E1D36"/>
    <w:rsid w:val="005E2109"/>
    <w:rsid w:val="005E2C72"/>
    <w:rsid w:val="005E3C3B"/>
    <w:rsid w:val="005E3F42"/>
    <w:rsid w:val="005E4C5D"/>
    <w:rsid w:val="005E4DA2"/>
    <w:rsid w:val="005E5902"/>
    <w:rsid w:val="005E60BF"/>
    <w:rsid w:val="005E615A"/>
    <w:rsid w:val="005E7122"/>
    <w:rsid w:val="005E7553"/>
    <w:rsid w:val="005E7DC8"/>
    <w:rsid w:val="005F0AFE"/>
    <w:rsid w:val="005F219A"/>
    <w:rsid w:val="005F2292"/>
    <w:rsid w:val="005F2329"/>
    <w:rsid w:val="005F26AD"/>
    <w:rsid w:val="005F2B59"/>
    <w:rsid w:val="005F2BE4"/>
    <w:rsid w:val="005F337D"/>
    <w:rsid w:val="005F33A6"/>
    <w:rsid w:val="005F3AE1"/>
    <w:rsid w:val="005F502F"/>
    <w:rsid w:val="005F56D1"/>
    <w:rsid w:val="005F6388"/>
    <w:rsid w:val="005F6560"/>
    <w:rsid w:val="005F6C91"/>
    <w:rsid w:val="005F6CF1"/>
    <w:rsid w:val="005F6DC0"/>
    <w:rsid w:val="005F6F8D"/>
    <w:rsid w:val="005F78A0"/>
    <w:rsid w:val="005F7919"/>
    <w:rsid w:val="006004FE"/>
    <w:rsid w:val="0060081E"/>
    <w:rsid w:val="006013DA"/>
    <w:rsid w:val="00601548"/>
    <w:rsid w:val="00601917"/>
    <w:rsid w:val="00602962"/>
    <w:rsid w:val="00602AB0"/>
    <w:rsid w:val="00603B74"/>
    <w:rsid w:val="00603BA5"/>
    <w:rsid w:val="00604B05"/>
    <w:rsid w:val="0060563C"/>
    <w:rsid w:val="00606B25"/>
    <w:rsid w:val="006077A4"/>
    <w:rsid w:val="006077BB"/>
    <w:rsid w:val="006102EC"/>
    <w:rsid w:val="00610323"/>
    <w:rsid w:val="0061053F"/>
    <w:rsid w:val="00611876"/>
    <w:rsid w:val="00611ED8"/>
    <w:rsid w:val="006130C8"/>
    <w:rsid w:val="0061316A"/>
    <w:rsid w:val="00613301"/>
    <w:rsid w:val="00613E03"/>
    <w:rsid w:val="006149E9"/>
    <w:rsid w:val="006149FE"/>
    <w:rsid w:val="00614A8D"/>
    <w:rsid w:val="00614AC5"/>
    <w:rsid w:val="006153AA"/>
    <w:rsid w:val="00615C3D"/>
    <w:rsid w:val="006164A3"/>
    <w:rsid w:val="00616AAA"/>
    <w:rsid w:val="00616DB8"/>
    <w:rsid w:val="00616FCC"/>
    <w:rsid w:val="00617EEF"/>
    <w:rsid w:val="00620523"/>
    <w:rsid w:val="00620AE8"/>
    <w:rsid w:val="0062146C"/>
    <w:rsid w:val="006222D0"/>
    <w:rsid w:val="00623C59"/>
    <w:rsid w:val="00624865"/>
    <w:rsid w:val="006250A9"/>
    <w:rsid w:val="00625EC5"/>
    <w:rsid w:val="006266A8"/>
    <w:rsid w:val="00626D26"/>
    <w:rsid w:val="006276F2"/>
    <w:rsid w:val="00630061"/>
    <w:rsid w:val="006304EF"/>
    <w:rsid w:val="006308FD"/>
    <w:rsid w:val="00631451"/>
    <w:rsid w:val="00631D29"/>
    <w:rsid w:val="00632231"/>
    <w:rsid w:val="00632971"/>
    <w:rsid w:val="00633015"/>
    <w:rsid w:val="00633642"/>
    <w:rsid w:val="00634922"/>
    <w:rsid w:val="00635003"/>
    <w:rsid w:val="00635026"/>
    <w:rsid w:val="00636419"/>
    <w:rsid w:val="0063687D"/>
    <w:rsid w:val="00637171"/>
    <w:rsid w:val="00637D17"/>
    <w:rsid w:val="00640AFB"/>
    <w:rsid w:val="006411FF"/>
    <w:rsid w:val="006430D3"/>
    <w:rsid w:val="006447E0"/>
    <w:rsid w:val="006448A1"/>
    <w:rsid w:val="006457D7"/>
    <w:rsid w:val="00645951"/>
    <w:rsid w:val="0064599C"/>
    <w:rsid w:val="00646777"/>
    <w:rsid w:val="00646F08"/>
    <w:rsid w:val="0064706F"/>
    <w:rsid w:val="00647900"/>
    <w:rsid w:val="00647951"/>
    <w:rsid w:val="006508CF"/>
    <w:rsid w:val="00650B1B"/>
    <w:rsid w:val="00651BAB"/>
    <w:rsid w:val="00651CAD"/>
    <w:rsid w:val="00652C8C"/>
    <w:rsid w:val="00653BAA"/>
    <w:rsid w:val="00653E38"/>
    <w:rsid w:val="00653FCC"/>
    <w:rsid w:val="006542E3"/>
    <w:rsid w:val="0065546F"/>
    <w:rsid w:val="006555CC"/>
    <w:rsid w:val="0065677F"/>
    <w:rsid w:val="00656853"/>
    <w:rsid w:val="00656E4D"/>
    <w:rsid w:val="0065711C"/>
    <w:rsid w:val="00657CFF"/>
    <w:rsid w:val="006615A5"/>
    <w:rsid w:val="00662494"/>
    <w:rsid w:val="00662638"/>
    <w:rsid w:val="006645BB"/>
    <w:rsid w:val="006648D7"/>
    <w:rsid w:val="00666000"/>
    <w:rsid w:val="0066620A"/>
    <w:rsid w:val="0066624D"/>
    <w:rsid w:val="006705E4"/>
    <w:rsid w:val="00670C97"/>
    <w:rsid w:val="0067371B"/>
    <w:rsid w:val="006748DB"/>
    <w:rsid w:val="00676765"/>
    <w:rsid w:val="006774A8"/>
    <w:rsid w:val="0067769A"/>
    <w:rsid w:val="006800E9"/>
    <w:rsid w:val="006804F1"/>
    <w:rsid w:val="0068083C"/>
    <w:rsid w:val="0068109D"/>
    <w:rsid w:val="00682B4B"/>
    <w:rsid w:val="00682D33"/>
    <w:rsid w:val="00683203"/>
    <w:rsid w:val="006832CE"/>
    <w:rsid w:val="006836C9"/>
    <w:rsid w:val="00683E70"/>
    <w:rsid w:val="006843CD"/>
    <w:rsid w:val="006846D7"/>
    <w:rsid w:val="00685364"/>
    <w:rsid w:val="00686096"/>
    <w:rsid w:val="006867F5"/>
    <w:rsid w:val="00686891"/>
    <w:rsid w:val="00687386"/>
    <w:rsid w:val="00687BC2"/>
    <w:rsid w:val="00687D39"/>
    <w:rsid w:val="006904EF"/>
    <w:rsid w:val="00690F99"/>
    <w:rsid w:val="00690FE0"/>
    <w:rsid w:val="00691B6A"/>
    <w:rsid w:val="00691E13"/>
    <w:rsid w:val="00692762"/>
    <w:rsid w:val="00692BB6"/>
    <w:rsid w:val="00693609"/>
    <w:rsid w:val="006936FF"/>
    <w:rsid w:val="00693D06"/>
    <w:rsid w:val="00694072"/>
    <w:rsid w:val="00694511"/>
    <w:rsid w:val="00694F61"/>
    <w:rsid w:val="00695AD2"/>
    <w:rsid w:val="00695E4F"/>
    <w:rsid w:val="0069617B"/>
    <w:rsid w:val="006966FF"/>
    <w:rsid w:val="00697BB2"/>
    <w:rsid w:val="006A043A"/>
    <w:rsid w:val="006A13BE"/>
    <w:rsid w:val="006A1570"/>
    <w:rsid w:val="006A16D2"/>
    <w:rsid w:val="006A2D22"/>
    <w:rsid w:val="006A313A"/>
    <w:rsid w:val="006A3A88"/>
    <w:rsid w:val="006A3CF7"/>
    <w:rsid w:val="006A49BE"/>
    <w:rsid w:val="006A52BE"/>
    <w:rsid w:val="006A54AE"/>
    <w:rsid w:val="006A60B7"/>
    <w:rsid w:val="006A6160"/>
    <w:rsid w:val="006A6AB1"/>
    <w:rsid w:val="006A6DC4"/>
    <w:rsid w:val="006A7425"/>
    <w:rsid w:val="006A75DC"/>
    <w:rsid w:val="006A7CC6"/>
    <w:rsid w:val="006B1293"/>
    <w:rsid w:val="006B157F"/>
    <w:rsid w:val="006B1741"/>
    <w:rsid w:val="006B1D0A"/>
    <w:rsid w:val="006B2219"/>
    <w:rsid w:val="006B2AC5"/>
    <w:rsid w:val="006B2B66"/>
    <w:rsid w:val="006B3005"/>
    <w:rsid w:val="006B3314"/>
    <w:rsid w:val="006B39E8"/>
    <w:rsid w:val="006B453D"/>
    <w:rsid w:val="006B4571"/>
    <w:rsid w:val="006B4726"/>
    <w:rsid w:val="006B47D3"/>
    <w:rsid w:val="006B5002"/>
    <w:rsid w:val="006B5491"/>
    <w:rsid w:val="006B5752"/>
    <w:rsid w:val="006B577A"/>
    <w:rsid w:val="006B6EE8"/>
    <w:rsid w:val="006B76CC"/>
    <w:rsid w:val="006B7ADB"/>
    <w:rsid w:val="006B7D0E"/>
    <w:rsid w:val="006B7EF8"/>
    <w:rsid w:val="006C0E81"/>
    <w:rsid w:val="006C0F8B"/>
    <w:rsid w:val="006C12F5"/>
    <w:rsid w:val="006C21E7"/>
    <w:rsid w:val="006C244C"/>
    <w:rsid w:val="006C2494"/>
    <w:rsid w:val="006C2FA1"/>
    <w:rsid w:val="006C4BCA"/>
    <w:rsid w:val="006C4CA1"/>
    <w:rsid w:val="006C5142"/>
    <w:rsid w:val="006C5ADB"/>
    <w:rsid w:val="006C6280"/>
    <w:rsid w:val="006C6448"/>
    <w:rsid w:val="006C6576"/>
    <w:rsid w:val="006C6812"/>
    <w:rsid w:val="006C71BE"/>
    <w:rsid w:val="006C78DD"/>
    <w:rsid w:val="006C7F2D"/>
    <w:rsid w:val="006D000D"/>
    <w:rsid w:val="006D01D7"/>
    <w:rsid w:val="006D172C"/>
    <w:rsid w:val="006D1F3C"/>
    <w:rsid w:val="006D310E"/>
    <w:rsid w:val="006D394A"/>
    <w:rsid w:val="006D4364"/>
    <w:rsid w:val="006D4BCE"/>
    <w:rsid w:val="006D5541"/>
    <w:rsid w:val="006D72E8"/>
    <w:rsid w:val="006D7B66"/>
    <w:rsid w:val="006E0E2B"/>
    <w:rsid w:val="006E138B"/>
    <w:rsid w:val="006E2362"/>
    <w:rsid w:val="006E2B93"/>
    <w:rsid w:val="006E2C86"/>
    <w:rsid w:val="006E2CFB"/>
    <w:rsid w:val="006E3307"/>
    <w:rsid w:val="006E34DD"/>
    <w:rsid w:val="006E46DF"/>
    <w:rsid w:val="006E4ACA"/>
    <w:rsid w:val="006E4DEC"/>
    <w:rsid w:val="006E5378"/>
    <w:rsid w:val="006E58BD"/>
    <w:rsid w:val="006E5F4C"/>
    <w:rsid w:val="006E633D"/>
    <w:rsid w:val="006E6549"/>
    <w:rsid w:val="006E6CDF"/>
    <w:rsid w:val="006E78D6"/>
    <w:rsid w:val="006F0E15"/>
    <w:rsid w:val="006F0ED4"/>
    <w:rsid w:val="006F186D"/>
    <w:rsid w:val="006F3F98"/>
    <w:rsid w:val="006F5D42"/>
    <w:rsid w:val="006F5EED"/>
    <w:rsid w:val="006F6A7C"/>
    <w:rsid w:val="00700352"/>
    <w:rsid w:val="00700386"/>
    <w:rsid w:val="007006E1"/>
    <w:rsid w:val="007018F2"/>
    <w:rsid w:val="0070275B"/>
    <w:rsid w:val="00703E7F"/>
    <w:rsid w:val="00706937"/>
    <w:rsid w:val="0070795C"/>
    <w:rsid w:val="007107AB"/>
    <w:rsid w:val="007115C6"/>
    <w:rsid w:val="007120CB"/>
    <w:rsid w:val="007128FE"/>
    <w:rsid w:val="007144C2"/>
    <w:rsid w:val="00715DF7"/>
    <w:rsid w:val="0071625F"/>
    <w:rsid w:val="00716554"/>
    <w:rsid w:val="00717B96"/>
    <w:rsid w:val="007207EC"/>
    <w:rsid w:val="00720D4C"/>
    <w:rsid w:val="00720DD3"/>
    <w:rsid w:val="007212E4"/>
    <w:rsid w:val="00722031"/>
    <w:rsid w:val="00722986"/>
    <w:rsid w:val="007237EB"/>
    <w:rsid w:val="00725F1E"/>
    <w:rsid w:val="007279EA"/>
    <w:rsid w:val="00727E10"/>
    <w:rsid w:val="007317E0"/>
    <w:rsid w:val="00731E4E"/>
    <w:rsid w:val="00732D5C"/>
    <w:rsid w:val="00733102"/>
    <w:rsid w:val="00733592"/>
    <w:rsid w:val="00734A0B"/>
    <w:rsid w:val="00734B6C"/>
    <w:rsid w:val="00734B98"/>
    <w:rsid w:val="00734BF0"/>
    <w:rsid w:val="00735153"/>
    <w:rsid w:val="00735A18"/>
    <w:rsid w:val="007369C8"/>
    <w:rsid w:val="00736FDC"/>
    <w:rsid w:val="00737AD7"/>
    <w:rsid w:val="0074124E"/>
    <w:rsid w:val="007442F4"/>
    <w:rsid w:val="00744BBF"/>
    <w:rsid w:val="00744F06"/>
    <w:rsid w:val="0074745E"/>
    <w:rsid w:val="00747783"/>
    <w:rsid w:val="00747E6A"/>
    <w:rsid w:val="00750028"/>
    <w:rsid w:val="00750553"/>
    <w:rsid w:val="00750C3D"/>
    <w:rsid w:val="00751E2F"/>
    <w:rsid w:val="00752358"/>
    <w:rsid w:val="0075378B"/>
    <w:rsid w:val="00754A99"/>
    <w:rsid w:val="00755387"/>
    <w:rsid w:val="00756A54"/>
    <w:rsid w:val="00757AB5"/>
    <w:rsid w:val="007604D3"/>
    <w:rsid w:val="00760B24"/>
    <w:rsid w:val="00762933"/>
    <w:rsid w:val="00763123"/>
    <w:rsid w:val="00764283"/>
    <w:rsid w:val="0076464C"/>
    <w:rsid w:val="007649B7"/>
    <w:rsid w:val="00765261"/>
    <w:rsid w:val="00766024"/>
    <w:rsid w:val="007663AA"/>
    <w:rsid w:val="00766A48"/>
    <w:rsid w:val="00770034"/>
    <w:rsid w:val="00770D94"/>
    <w:rsid w:val="00772D0B"/>
    <w:rsid w:val="00773317"/>
    <w:rsid w:val="00774096"/>
    <w:rsid w:val="00774470"/>
    <w:rsid w:val="00775079"/>
    <w:rsid w:val="0077532A"/>
    <w:rsid w:val="007757CC"/>
    <w:rsid w:val="00776797"/>
    <w:rsid w:val="00776886"/>
    <w:rsid w:val="007769C0"/>
    <w:rsid w:val="00776E2D"/>
    <w:rsid w:val="0077771E"/>
    <w:rsid w:val="007801A7"/>
    <w:rsid w:val="0078083D"/>
    <w:rsid w:val="00780DC4"/>
    <w:rsid w:val="00780EBA"/>
    <w:rsid w:val="00780F1C"/>
    <w:rsid w:val="007813A3"/>
    <w:rsid w:val="0078156B"/>
    <w:rsid w:val="007828CD"/>
    <w:rsid w:val="007834AC"/>
    <w:rsid w:val="0078435B"/>
    <w:rsid w:val="007844FB"/>
    <w:rsid w:val="007847B6"/>
    <w:rsid w:val="00784F09"/>
    <w:rsid w:val="00785781"/>
    <w:rsid w:val="00785896"/>
    <w:rsid w:val="00786045"/>
    <w:rsid w:val="00786105"/>
    <w:rsid w:val="007879DE"/>
    <w:rsid w:val="00787A33"/>
    <w:rsid w:val="00787E59"/>
    <w:rsid w:val="0079110C"/>
    <w:rsid w:val="007917C4"/>
    <w:rsid w:val="00791C7C"/>
    <w:rsid w:val="00793B4F"/>
    <w:rsid w:val="00793D75"/>
    <w:rsid w:val="007944F2"/>
    <w:rsid w:val="007949ED"/>
    <w:rsid w:val="00794E33"/>
    <w:rsid w:val="00795BD9"/>
    <w:rsid w:val="00795D91"/>
    <w:rsid w:val="0079732A"/>
    <w:rsid w:val="00797569"/>
    <w:rsid w:val="00797980"/>
    <w:rsid w:val="00797B20"/>
    <w:rsid w:val="007A0959"/>
    <w:rsid w:val="007A0BB3"/>
    <w:rsid w:val="007A0C5B"/>
    <w:rsid w:val="007A1BEC"/>
    <w:rsid w:val="007A2EDE"/>
    <w:rsid w:val="007A3222"/>
    <w:rsid w:val="007A4A37"/>
    <w:rsid w:val="007A4AFC"/>
    <w:rsid w:val="007A4BED"/>
    <w:rsid w:val="007A709C"/>
    <w:rsid w:val="007A7571"/>
    <w:rsid w:val="007B01ED"/>
    <w:rsid w:val="007B0963"/>
    <w:rsid w:val="007B11AE"/>
    <w:rsid w:val="007B1689"/>
    <w:rsid w:val="007B20AB"/>
    <w:rsid w:val="007B338B"/>
    <w:rsid w:val="007B33C2"/>
    <w:rsid w:val="007B3493"/>
    <w:rsid w:val="007B4322"/>
    <w:rsid w:val="007B4CAD"/>
    <w:rsid w:val="007B53F8"/>
    <w:rsid w:val="007B5E1C"/>
    <w:rsid w:val="007B6003"/>
    <w:rsid w:val="007B669A"/>
    <w:rsid w:val="007B7A80"/>
    <w:rsid w:val="007B7AEC"/>
    <w:rsid w:val="007B7F77"/>
    <w:rsid w:val="007C05C7"/>
    <w:rsid w:val="007C162C"/>
    <w:rsid w:val="007C1B8B"/>
    <w:rsid w:val="007C358C"/>
    <w:rsid w:val="007C36E9"/>
    <w:rsid w:val="007C403E"/>
    <w:rsid w:val="007C4309"/>
    <w:rsid w:val="007C43BB"/>
    <w:rsid w:val="007C490A"/>
    <w:rsid w:val="007C4EF2"/>
    <w:rsid w:val="007C51E8"/>
    <w:rsid w:val="007C51FF"/>
    <w:rsid w:val="007C597E"/>
    <w:rsid w:val="007C5E8D"/>
    <w:rsid w:val="007C6034"/>
    <w:rsid w:val="007C7636"/>
    <w:rsid w:val="007C781F"/>
    <w:rsid w:val="007C7DAE"/>
    <w:rsid w:val="007D1CBA"/>
    <w:rsid w:val="007D2C48"/>
    <w:rsid w:val="007D30A7"/>
    <w:rsid w:val="007D3735"/>
    <w:rsid w:val="007D3825"/>
    <w:rsid w:val="007D43DF"/>
    <w:rsid w:val="007D4404"/>
    <w:rsid w:val="007D4F0A"/>
    <w:rsid w:val="007D569C"/>
    <w:rsid w:val="007D56AA"/>
    <w:rsid w:val="007D675E"/>
    <w:rsid w:val="007D692E"/>
    <w:rsid w:val="007D71FA"/>
    <w:rsid w:val="007D75AC"/>
    <w:rsid w:val="007D7F9F"/>
    <w:rsid w:val="007E0EE7"/>
    <w:rsid w:val="007E18D2"/>
    <w:rsid w:val="007E1BC9"/>
    <w:rsid w:val="007E244C"/>
    <w:rsid w:val="007E2F91"/>
    <w:rsid w:val="007E3035"/>
    <w:rsid w:val="007E30C0"/>
    <w:rsid w:val="007E34E4"/>
    <w:rsid w:val="007E36A8"/>
    <w:rsid w:val="007E4F6A"/>
    <w:rsid w:val="007E5BA3"/>
    <w:rsid w:val="007E5F9A"/>
    <w:rsid w:val="007E6016"/>
    <w:rsid w:val="007E68FA"/>
    <w:rsid w:val="007E7F9B"/>
    <w:rsid w:val="007F0562"/>
    <w:rsid w:val="007F0717"/>
    <w:rsid w:val="007F0A02"/>
    <w:rsid w:val="007F1E00"/>
    <w:rsid w:val="007F4A3F"/>
    <w:rsid w:val="007F5B24"/>
    <w:rsid w:val="007F6142"/>
    <w:rsid w:val="007F633A"/>
    <w:rsid w:val="007F7169"/>
    <w:rsid w:val="007F7DB9"/>
    <w:rsid w:val="0080000B"/>
    <w:rsid w:val="00800B4A"/>
    <w:rsid w:val="0080108D"/>
    <w:rsid w:val="00801134"/>
    <w:rsid w:val="00801487"/>
    <w:rsid w:val="008016C4"/>
    <w:rsid w:val="00801835"/>
    <w:rsid w:val="00802BD6"/>
    <w:rsid w:val="0080348E"/>
    <w:rsid w:val="0080367F"/>
    <w:rsid w:val="00803CC8"/>
    <w:rsid w:val="00804EFF"/>
    <w:rsid w:val="00804F3D"/>
    <w:rsid w:val="008054FA"/>
    <w:rsid w:val="0080566B"/>
    <w:rsid w:val="008060E7"/>
    <w:rsid w:val="0080616F"/>
    <w:rsid w:val="00806170"/>
    <w:rsid w:val="00806891"/>
    <w:rsid w:val="00806E87"/>
    <w:rsid w:val="008070C6"/>
    <w:rsid w:val="008100A7"/>
    <w:rsid w:val="0081038E"/>
    <w:rsid w:val="008103F5"/>
    <w:rsid w:val="00810701"/>
    <w:rsid w:val="00810C21"/>
    <w:rsid w:val="0081204F"/>
    <w:rsid w:val="00812316"/>
    <w:rsid w:val="00812451"/>
    <w:rsid w:val="00812A1B"/>
    <w:rsid w:val="00812BB7"/>
    <w:rsid w:val="0081302C"/>
    <w:rsid w:val="008130FD"/>
    <w:rsid w:val="008131AA"/>
    <w:rsid w:val="00814846"/>
    <w:rsid w:val="00814ABC"/>
    <w:rsid w:val="00815BB3"/>
    <w:rsid w:val="00815E55"/>
    <w:rsid w:val="0081668F"/>
    <w:rsid w:val="00816E09"/>
    <w:rsid w:val="008170AF"/>
    <w:rsid w:val="00820385"/>
    <w:rsid w:val="00821435"/>
    <w:rsid w:val="00822C1B"/>
    <w:rsid w:val="00823132"/>
    <w:rsid w:val="008239E3"/>
    <w:rsid w:val="00823A13"/>
    <w:rsid w:val="00826E40"/>
    <w:rsid w:val="00826EC5"/>
    <w:rsid w:val="00827460"/>
    <w:rsid w:val="00827995"/>
    <w:rsid w:val="008300BF"/>
    <w:rsid w:val="00830B65"/>
    <w:rsid w:val="0083238D"/>
    <w:rsid w:val="008325DF"/>
    <w:rsid w:val="0083424B"/>
    <w:rsid w:val="008342DD"/>
    <w:rsid w:val="00835D0D"/>
    <w:rsid w:val="00836169"/>
    <w:rsid w:val="008362AD"/>
    <w:rsid w:val="00836C8D"/>
    <w:rsid w:val="008415A5"/>
    <w:rsid w:val="00841F70"/>
    <w:rsid w:val="0084239E"/>
    <w:rsid w:val="00842C7A"/>
    <w:rsid w:val="00843253"/>
    <w:rsid w:val="008434E7"/>
    <w:rsid w:val="00843789"/>
    <w:rsid w:val="00843D66"/>
    <w:rsid w:val="00844791"/>
    <w:rsid w:val="0084550C"/>
    <w:rsid w:val="008457E4"/>
    <w:rsid w:val="00845B56"/>
    <w:rsid w:val="00845D81"/>
    <w:rsid w:val="00847CBB"/>
    <w:rsid w:val="008508B3"/>
    <w:rsid w:val="008516AA"/>
    <w:rsid w:val="00851B62"/>
    <w:rsid w:val="00852517"/>
    <w:rsid w:val="00852A9D"/>
    <w:rsid w:val="0085374E"/>
    <w:rsid w:val="00854278"/>
    <w:rsid w:val="0085440E"/>
    <w:rsid w:val="00856147"/>
    <w:rsid w:val="00856467"/>
    <w:rsid w:val="00857B59"/>
    <w:rsid w:val="0086027B"/>
    <w:rsid w:val="0086037F"/>
    <w:rsid w:val="0086096B"/>
    <w:rsid w:val="0086144A"/>
    <w:rsid w:val="00861A15"/>
    <w:rsid w:val="00861FE4"/>
    <w:rsid w:val="008621EE"/>
    <w:rsid w:val="008635B4"/>
    <w:rsid w:val="00863651"/>
    <w:rsid w:val="008636D2"/>
    <w:rsid w:val="00864209"/>
    <w:rsid w:val="00864498"/>
    <w:rsid w:val="008648AA"/>
    <w:rsid w:val="00864E65"/>
    <w:rsid w:val="00865527"/>
    <w:rsid w:val="00865B03"/>
    <w:rsid w:val="00866D69"/>
    <w:rsid w:val="008678FF"/>
    <w:rsid w:val="00871DE0"/>
    <w:rsid w:val="00873664"/>
    <w:rsid w:val="00874D1A"/>
    <w:rsid w:val="00874F90"/>
    <w:rsid w:val="00875C3A"/>
    <w:rsid w:val="008762AA"/>
    <w:rsid w:val="008763F5"/>
    <w:rsid w:val="008776EF"/>
    <w:rsid w:val="008777BA"/>
    <w:rsid w:val="0088012B"/>
    <w:rsid w:val="00880DB6"/>
    <w:rsid w:val="00881383"/>
    <w:rsid w:val="008817A6"/>
    <w:rsid w:val="00882517"/>
    <w:rsid w:val="0088368C"/>
    <w:rsid w:val="00884F2C"/>
    <w:rsid w:val="00885821"/>
    <w:rsid w:val="0088607E"/>
    <w:rsid w:val="00886628"/>
    <w:rsid w:val="00886EF6"/>
    <w:rsid w:val="00890BE2"/>
    <w:rsid w:val="00890E0F"/>
    <w:rsid w:val="0089142D"/>
    <w:rsid w:val="0089169D"/>
    <w:rsid w:val="00892026"/>
    <w:rsid w:val="008926EC"/>
    <w:rsid w:val="00892A24"/>
    <w:rsid w:val="00892C92"/>
    <w:rsid w:val="00894AF9"/>
    <w:rsid w:val="00894E21"/>
    <w:rsid w:val="00895026"/>
    <w:rsid w:val="008957E9"/>
    <w:rsid w:val="00895A3D"/>
    <w:rsid w:val="00896B58"/>
    <w:rsid w:val="00897635"/>
    <w:rsid w:val="008979DD"/>
    <w:rsid w:val="00897AB6"/>
    <w:rsid w:val="00897AF6"/>
    <w:rsid w:val="00897CD5"/>
    <w:rsid w:val="00897F33"/>
    <w:rsid w:val="008A0499"/>
    <w:rsid w:val="008A160E"/>
    <w:rsid w:val="008A2631"/>
    <w:rsid w:val="008A32ED"/>
    <w:rsid w:val="008A3CFD"/>
    <w:rsid w:val="008A481A"/>
    <w:rsid w:val="008A5851"/>
    <w:rsid w:val="008A58BC"/>
    <w:rsid w:val="008A7F50"/>
    <w:rsid w:val="008B0018"/>
    <w:rsid w:val="008B15F1"/>
    <w:rsid w:val="008B239F"/>
    <w:rsid w:val="008B3354"/>
    <w:rsid w:val="008B3684"/>
    <w:rsid w:val="008B4332"/>
    <w:rsid w:val="008B466D"/>
    <w:rsid w:val="008B58C5"/>
    <w:rsid w:val="008B5A96"/>
    <w:rsid w:val="008B691E"/>
    <w:rsid w:val="008B6AB3"/>
    <w:rsid w:val="008B6AD9"/>
    <w:rsid w:val="008B738C"/>
    <w:rsid w:val="008C127D"/>
    <w:rsid w:val="008C1CDF"/>
    <w:rsid w:val="008C2B5D"/>
    <w:rsid w:val="008C3559"/>
    <w:rsid w:val="008C46E4"/>
    <w:rsid w:val="008C48AE"/>
    <w:rsid w:val="008C590E"/>
    <w:rsid w:val="008C5A0E"/>
    <w:rsid w:val="008C6F5D"/>
    <w:rsid w:val="008C74A8"/>
    <w:rsid w:val="008C784B"/>
    <w:rsid w:val="008C7C48"/>
    <w:rsid w:val="008D0000"/>
    <w:rsid w:val="008D01A2"/>
    <w:rsid w:val="008D0E77"/>
    <w:rsid w:val="008D19C3"/>
    <w:rsid w:val="008D2010"/>
    <w:rsid w:val="008D4E37"/>
    <w:rsid w:val="008D5F28"/>
    <w:rsid w:val="008D69C1"/>
    <w:rsid w:val="008D784C"/>
    <w:rsid w:val="008E01AB"/>
    <w:rsid w:val="008E0486"/>
    <w:rsid w:val="008E0A7A"/>
    <w:rsid w:val="008E0C9D"/>
    <w:rsid w:val="008E15FB"/>
    <w:rsid w:val="008E1F4D"/>
    <w:rsid w:val="008E1F7D"/>
    <w:rsid w:val="008E21D5"/>
    <w:rsid w:val="008E21EC"/>
    <w:rsid w:val="008E2493"/>
    <w:rsid w:val="008E2540"/>
    <w:rsid w:val="008E32D3"/>
    <w:rsid w:val="008E3767"/>
    <w:rsid w:val="008E4475"/>
    <w:rsid w:val="008E502A"/>
    <w:rsid w:val="008E5895"/>
    <w:rsid w:val="008E6E27"/>
    <w:rsid w:val="008E72CA"/>
    <w:rsid w:val="008E78DF"/>
    <w:rsid w:val="008E7D9D"/>
    <w:rsid w:val="008F06CE"/>
    <w:rsid w:val="008F343D"/>
    <w:rsid w:val="008F3BB3"/>
    <w:rsid w:val="008F3F98"/>
    <w:rsid w:val="008F4ED1"/>
    <w:rsid w:val="008F4EF5"/>
    <w:rsid w:val="008F53C7"/>
    <w:rsid w:val="008F5439"/>
    <w:rsid w:val="008F5482"/>
    <w:rsid w:val="008F6A56"/>
    <w:rsid w:val="008F7E11"/>
    <w:rsid w:val="00900242"/>
    <w:rsid w:val="0090184C"/>
    <w:rsid w:val="00901B57"/>
    <w:rsid w:val="009023BC"/>
    <w:rsid w:val="00903380"/>
    <w:rsid w:val="00905B3F"/>
    <w:rsid w:val="009066A5"/>
    <w:rsid w:val="0090675A"/>
    <w:rsid w:val="00911016"/>
    <w:rsid w:val="009125CD"/>
    <w:rsid w:val="00913EFC"/>
    <w:rsid w:val="00913F40"/>
    <w:rsid w:val="009144D1"/>
    <w:rsid w:val="0091513A"/>
    <w:rsid w:val="00916125"/>
    <w:rsid w:val="009161DC"/>
    <w:rsid w:val="00916D2E"/>
    <w:rsid w:val="009176F2"/>
    <w:rsid w:val="00917D0C"/>
    <w:rsid w:val="009202C7"/>
    <w:rsid w:val="009210C8"/>
    <w:rsid w:val="00922315"/>
    <w:rsid w:val="00924039"/>
    <w:rsid w:val="00924440"/>
    <w:rsid w:val="0092474C"/>
    <w:rsid w:val="0092511F"/>
    <w:rsid w:val="00925BB7"/>
    <w:rsid w:val="009263FE"/>
    <w:rsid w:val="00926A86"/>
    <w:rsid w:val="00926F55"/>
    <w:rsid w:val="009271FD"/>
    <w:rsid w:val="00927B54"/>
    <w:rsid w:val="00927F33"/>
    <w:rsid w:val="00931203"/>
    <w:rsid w:val="00931B39"/>
    <w:rsid w:val="009321A2"/>
    <w:rsid w:val="00932BB6"/>
    <w:rsid w:val="00932F94"/>
    <w:rsid w:val="00933397"/>
    <w:rsid w:val="00933CDA"/>
    <w:rsid w:val="009341A7"/>
    <w:rsid w:val="00934786"/>
    <w:rsid w:val="00934AEB"/>
    <w:rsid w:val="00936345"/>
    <w:rsid w:val="00936AA0"/>
    <w:rsid w:val="00936F12"/>
    <w:rsid w:val="0093731D"/>
    <w:rsid w:val="009376F2"/>
    <w:rsid w:val="00937EA9"/>
    <w:rsid w:val="00940C2D"/>
    <w:rsid w:val="00940F09"/>
    <w:rsid w:val="00941E02"/>
    <w:rsid w:val="00942240"/>
    <w:rsid w:val="009426DE"/>
    <w:rsid w:val="00942AD2"/>
    <w:rsid w:val="00942C1B"/>
    <w:rsid w:val="00942E64"/>
    <w:rsid w:val="00942F6A"/>
    <w:rsid w:val="0094303A"/>
    <w:rsid w:val="00943490"/>
    <w:rsid w:val="0094351D"/>
    <w:rsid w:val="009443C7"/>
    <w:rsid w:val="00945B97"/>
    <w:rsid w:val="0094687D"/>
    <w:rsid w:val="00946A4E"/>
    <w:rsid w:val="00947DCA"/>
    <w:rsid w:val="00950073"/>
    <w:rsid w:val="0095029B"/>
    <w:rsid w:val="00951159"/>
    <w:rsid w:val="00951619"/>
    <w:rsid w:val="0095172C"/>
    <w:rsid w:val="0095191A"/>
    <w:rsid w:val="00951F1F"/>
    <w:rsid w:val="00952007"/>
    <w:rsid w:val="00952C22"/>
    <w:rsid w:val="0095385B"/>
    <w:rsid w:val="00953AD0"/>
    <w:rsid w:val="00954D85"/>
    <w:rsid w:val="00956B93"/>
    <w:rsid w:val="009575F7"/>
    <w:rsid w:val="00960B25"/>
    <w:rsid w:val="00961219"/>
    <w:rsid w:val="00961E99"/>
    <w:rsid w:val="0096324C"/>
    <w:rsid w:val="00963760"/>
    <w:rsid w:val="009637D6"/>
    <w:rsid w:val="0096391A"/>
    <w:rsid w:val="00963FE0"/>
    <w:rsid w:val="0096437B"/>
    <w:rsid w:val="009655FC"/>
    <w:rsid w:val="00966325"/>
    <w:rsid w:val="00966A85"/>
    <w:rsid w:val="0096773C"/>
    <w:rsid w:val="00967CA1"/>
    <w:rsid w:val="00971467"/>
    <w:rsid w:val="00971F8F"/>
    <w:rsid w:val="0097201D"/>
    <w:rsid w:val="00974FF0"/>
    <w:rsid w:val="009757E2"/>
    <w:rsid w:val="009763EE"/>
    <w:rsid w:val="0097652F"/>
    <w:rsid w:val="0097769B"/>
    <w:rsid w:val="009807E7"/>
    <w:rsid w:val="009826B6"/>
    <w:rsid w:val="00982DCF"/>
    <w:rsid w:val="0098341F"/>
    <w:rsid w:val="00983BCE"/>
    <w:rsid w:val="00983CA5"/>
    <w:rsid w:val="00984002"/>
    <w:rsid w:val="00984FB3"/>
    <w:rsid w:val="009853D4"/>
    <w:rsid w:val="00985843"/>
    <w:rsid w:val="009858D2"/>
    <w:rsid w:val="0098645A"/>
    <w:rsid w:val="00986E78"/>
    <w:rsid w:val="009873D6"/>
    <w:rsid w:val="00987B77"/>
    <w:rsid w:val="00990659"/>
    <w:rsid w:val="009915FB"/>
    <w:rsid w:val="00991790"/>
    <w:rsid w:val="00991CBB"/>
    <w:rsid w:val="00991EBA"/>
    <w:rsid w:val="0099261D"/>
    <w:rsid w:val="009931D1"/>
    <w:rsid w:val="00993A2F"/>
    <w:rsid w:val="00995766"/>
    <w:rsid w:val="009957C1"/>
    <w:rsid w:val="00995957"/>
    <w:rsid w:val="00995A7E"/>
    <w:rsid w:val="00995ADF"/>
    <w:rsid w:val="0099754A"/>
    <w:rsid w:val="00997BA8"/>
    <w:rsid w:val="009A066E"/>
    <w:rsid w:val="009A0E3D"/>
    <w:rsid w:val="009A115D"/>
    <w:rsid w:val="009A2225"/>
    <w:rsid w:val="009A277D"/>
    <w:rsid w:val="009A2C06"/>
    <w:rsid w:val="009A3951"/>
    <w:rsid w:val="009A3BFB"/>
    <w:rsid w:val="009A4431"/>
    <w:rsid w:val="009A46D3"/>
    <w:rsid w:val="009A4AFE"/>
    <w:rsid w:val="009A50C7"/>
    <w:rsid w:val="009A55BA"/>
    <w:rsid w:val="009A5786"/>
    <w:rsid w:val="009A6340"/>
    <w:rsid w:val="009A7250"/>
    <w:rsid w:val="009A7428"/>
    <w:rsid w:val="009A7FF1"/>
    <w:rsid w:val="009B00FB"/>
    <w:rsid w:val="009B06B3"/>
    <w:rsid w:val="009B1175"/>
    <w:rsid w:val="009B1254"/>
    <w:rsid w:val="009B14D6"/>
    <w:rsid w:val="009B2010"/>
    <w:rsid w:val="009B3A19"/>
    <w:rsid w:val="009B3D36"/>
    <w:rsid w:val="009B4396"/>
    <w:rsid w:val="009B4CE8"/>
    <w:rsid w:val="009B565F"/>
    <w:rsid w:val="009B59DD"/>
    <w:rsid w:val="009B5E86"/>
    <w:rsid w:val="009B6C07"/>
    <w:rsid w:val="009B7FDE"/>
    <w:rsid w:val="009C0368"/>
    <w:rsid w:val="009C04AC"/>
    <w:rsid w:val="009C0BBD"/>
    <w:rsid w:val="009C0DBA"/>
    <w:rsid w:val="009C0F6E"/>
    <w:rsid w:val="009C14E3"/>
    <w:rsid w:val="009C1C2E"/>
    <w:rsid w:val="009C286D"/>
    <w:rsid w:val="009C4288"/>
    <w:rsid w:val="009C4591"/>
    <w:rsid w:val="009C4CC8"/>
    <w:rsid w:val="009C55F9"/>
    <w:rsid w:val="009C5BE2"/>
    <w:rsid w:val="009C5D3F"/>
    <w:rsid w:val="009C62DF"/>
    <w:rsid w:val="009C6D73"/>
    <w:rsid w:val="009C6F65"/>
    <w:rsid w:val="009C78A6"/>
    <w:rsid w:val="009C7B65"/>
    <w:rsid w:val="009D1A73"/>
    <w:rsid w:val="009D29C0"/>
    <w:rsid w:val="009D2F7D"/>
    <w:rsid w:val="009D36B1"/>
    <w:rsid w:val="009D3DFC"/>
    <w:rsid w:val="009D5092"/>
    <w:rsid w:val="009D565F"/>
    <w:rsid w:val="009D76A5"/>
    <w:rsid w:val="009D7CEA"/>
    <w:rsid w:val="009E036D"/>
    <w:rsid w:val="009E0D86"/>
    <w:rsid w:val="009E1074"/>
    <w:rsid w:val="009E546C"/>
    <w:rsid w:val="009E5AA9"/>
    <w:rsid w:val="009F0FD7"/>
    <w:rsid w:val="009F12C3"/>
    <w:rsid w:val="009F1556"/>
    <w:rsid w:val="009F1E29"/>
    <w:rsid w:val="009F27FF"/>
    <w:rsid w:val="009F33DB"/>
    <w:rsid w:val="009F362A"/>
    <w:rsid w:val="009F44E5"/>
    <w:rsid w:val="009F47A8"/>
    <w:rsid w:val="009F4DBB"/>
    <w:rsid w:val="009F54C6"/>
    <w:rsid w:val="009F60C8"/>
    <w:rsid w:val="009F7590"/>
    <w:rsid w:val="009F7BE5"/>
    <w:rsid w:val="00A0015F"/>
    <w:rsid w:val="00A00244"/>
    <w:rsid w:val="00A00AD8"/>
    <w:rsid w:val="00A00FC8"/>
    <w:rsid w:val="00A01B44"/>
    <w:rsid w:val="00A01BF2"/>
    <w:rsid w:val="00A01F62"/>
    <w:rsid w:val="00A02C15"/>
    <w:rsid w:val="00A0409A"/>
    <w:rsid w:val="00A04238"/>
    <w:rsid w:val="00A04B57"/>
    <w:rsid w:val="00A04BC1"/>
    <w:rsid w:val="00A04F85"/>
    <w:rsid w:val="00A056FF"/>
    <w:rsid w:val="00A05A19"/>
    <w:rsid w:val="00A06E9E"/>
    <w:rsid w:val="00A0757A"/>
    <w:rsid w:val="00A101CE"/>
    <w:rsid w:val="00A104E0"/>
    <w:rsid w:val="00A10682"/>
    <w:rsid w:val="00A112F7"/>
    <w:rsid w:val="00A11927"/>
    <w:rsid w:val="00A11E33"/>
    <w:rsid w:val="00A120F9"/>
    <w:rsid w:val="00A12DC3"/>
    <w:rsid w:val="00A13649"/>
    <w:rsid w:val="00A14A05"/>
    <w:rsid w:val="00A15076"/>
    <w:rsid w:val="00A1524B"/>
    <w:rsid w:val="00A15741"/>
    <w:rsid w:val="00A1594B"/>
    <w:rsid w:val="00A1670C"/>
    <w:rsid w:val="00A16DE4"/>
    <w:rsid w:val="00A16E28"/>
    <w:rsid w:val="00A170EE"/>
    <w:rsid w:val="00A21236"/>
    <w:rsid w:val="00A224C9"/>
    <w:rsid w:val="00A2277D"/>
    <w:rsid w:val="00A24367"/>
    <w:rsid w:val="00A24901"/>
    <w:rsid w:val="00A24CDB"/>
    <w:rsid w:val="00A24CEC"/>
    <w:rsid w:val="00A258EA"/>
    <w:rsid w:val="00A25A0C"/>
    <w:rsid w:val="00A25B13"/>
    <w:rsid w:val="00A25C77"/>
    <w:rsid w:val="00A2606A"/>
    <w:rsid w:val="00A26724"/>
    <w:rsid w:val="00A26989"/>
    <w:rsid w:val="00A273CE"/>
    <w:rsid w:val="00A27A34"/>
    <w:rsid w:val="00A30957"/>
    <w:rsid w:val="00A31AF5"/>
    <w:rsid w:val="00A320E6"/>
    <w:rsid w:val="00A330BF"/>
    <w:rsid w:val="00A338E6"/>
    <w:rsid w:val="00A33EC9"/>
    <w:rsid w:val="00A340B0"/>
    <w:rsid w:val="00A34D9A"/>
    <w:rsid w:val="00A36509"/>
    <w:rsid w:val="00A36F8A"/>
    <w:rsid w:val="00A37EF4"/>
    <w:rsid w:val="00A40455"/>
    <w:rsid w:val="00A40F59"/>
    <w:rsid w:val="00A4211D"/>
    <w:rsid w:val="00A424A6"/>
    <w:rsid w:val="00A42D8F"/>
    <w:rsid w:val="00A42E88"/>
    <w:rsid w:val="00A441AC"/>
    <w:rsid w:val="00A4458D"/>
    <w:rsid w:val="00A449D3"/>
    <w:rsid w:val="00A44A39"/>
    <w:rsid w:val="00A451F1"/>
    <w:rsid w:val="00A466CE"/>
    <w:rsid w:val="00A46F6A"/>
    <w:rsid w:val="00A4753D"/>
    <w:rsid w:val="00A47FBB"/>
    <w:rsid w:val="00A50FDD"/>
    <w:rsid w:val="00A513C4"/>
    <w:rsid w:val="00A51D7B"/>
    <w:rsid w:val="00A536F0"/>
    <w:rsid w:val="00A537AD"/>
    <w:rsid w:val="00A538C0"/>
    <w:rsid w:val="00A54242"/>
    <w:rsid w:val="00A5481C"/>
    <w:rsid w:val="00A55361"/>
    <w:rsid w:val="00A55B2D"/>
    <w:rsid w:val="00A560CE"/>
    <w:rsid w:val="00A57291"/>
    <w:rsid w:val="00A57445"/>
    <w:rsid w:val="00A576B0"/>
    <w:rsid w:val="00A57BFA"/>
    <w:rsid w:val="00A603F6"/>
    <w:rsid w:val="00A61127"/>
    <w:rsid w:val="00A61543"/>
    <w:rsid w:val="00A629BA"/>
    <w:rsid w:val="00A62FBC"/>
    <w:rsid w:val="00A63587"/>
    <w:rsid w:val="00A63C2C"/>
    <w:rsid w:val="00A63D49"/>
    <w:rsid w:val="00A652A4"/>
    <w:rsid w:val="00A65863"/>
    <w:rsid w:val="00A662FC"/>
    <w:rsid w:val="00A667B6"/>
    <w:rsid w:val="00A66824"/>
    <w:rsid w:val="00A66835"/>
    <w:rsid w:val="00A668B1"/>
    <w:rsid w:val="00A707CB"/>
    <w:rsid w:val="00A713B5"/>
    <w:rsid w:val="00A720FF"/>
    <w:rsid w:val="00A72C1A"/>
    <w:rsid w:val="00A72F4C"/>
    <w:rsid w:val="00A7337E"/>
    <w:rsid w:val="00A745C3"/>
    <w:rsid w:val="00A749A3"/>
    <w:rsid w:val="00A750A3"/>
    <w:rsid w:val="00A75B3E"/>
    <w:rsid w:val="00A761F3"/>
    <w:rsid w:val="00A77347"/>
    <w:rsid w:val="00A7743B"/>
    <w:rsid w:val="00A777CA"/>
    <w:rsid w:val="00A803D5"/>
    <w:rsid w:val="00A8055E"/>
    <w:rsid w:val="00A80DF4"/>
    <w:rsid w:val="00A81B0C"/>
    <w:rsid w:val="00A81EF1"/>
    <w:rsid w:val="00A8255A"/>
    <w:rsid w:val="00A82ADB"/>
    <w:rsid w:val="00A82E6C"/>
    <w:rsid w:val="00A83AC5"/>
    <w:rsid w:val="00A83E7C"/>
    <w:rsid w:val="00A84414"/>
    <w:rsid w:val="00A845FB"/>
    <w:rsid w:val="00A84AF8"/>
    <w:rsid w:val="00A84B44"/>
    <w:rsid w:val="00A84EB5"/>
    <w:rsid w:val="00A855BF"/>
    <w:rsid w:val="00A855FB"/>
    <w:rsid w:val="00A86340"/>
    <w:rsid w:val="00A86943"/>
    <w:rsid w:val="00A87BA4"/>
    <w:rsid w:val="00A87EA1"/>
    <w:rsid w:val="00A90973"/>
    <w:rsid w:val="00A909B7"/>
    <w:rsid w:val="00A90D7A"/>
    <w:rsid w:val="00A90F0A"/>
    <w:rsid w:val="00A9301F"/>
    <w:rsid w:val="00A937C6"/>
    <w:rsid w:val="00A94095"/>
    <w:rsid w:val="00A96205"/>
    <w:rsid w:val="00A96F93"/>
    <w:rsid w:val="00AA02C4"/>
    <w:rsid w:val="00AA0391"/>
    <w:rsid w:val="00AA0A3F"/>
    <w:rsid w:val="00AA21FA"/>
    <w:rsid w:val="00AA2379"/>
    <w:rsid w:val="00AA246E"/>
    <w:rsid w:val="00AA3779"/>
    <w:rsid w:val="00AA37B2"/>
    <w:rsid w:val="00AA4075"/>
    <w:rsid w:val="00AA4319"/>
    <w:rsid w:val="00AA4B8D"/>
    <w:rsid w:val="00AA4FA7"/>
    <w:rsid w:val="00AA5092"/>
    <w:rsid w:val="00AA50C8"/>
    <w:rsid w:val="00AA64F2"/>
    <w:rsid w:val="00AA6FAC"/>
    <w:rsid w:val="00AA7BE1"/>
    <w:rsid w:val="00AA7BEF"/>
    <w:rsid w:val="00AB011E"/>
    <w:rsid w:val="00AB0376"/>
    <w:rsid w:val="00AB2AF6"/>
    <w:rsid w:val="00AB35BD"/>
    <w:rsid w:val="00AB35D7"/>
    <w:rsid w:val="00AB3947"/>
    <w:rsid w:val="00AB40F0"/>
    <w:rsid w:val="00AB44BE"/>
    <w:rsid w:val="00AB4714"/>
    <w:rsid w:val="00AB4CAD"/>
    <w:rsid w:val="00AB4CED"/>
    <w:rsid w:val="00AB4DA7"/>
    <w:rsid w:val="00AB4F49"/>
    <w:rsid w:val="00AB629B"/>
    <w:rsid w:val="00AB6CFC"/>
    <w:rsid w:val="00AB701F"/>
    <w:rsid w:val="00AB7050"/>
    <w:rsid w:val="00AB75B4"/>
    <w:rsid w:val="00AB7C6F"/>
    <w:rsid w:val="00AC03C1"/>
    <w:rsid w:val="00AC05D5"/>
    <w:rsid w:val="00AC3D41"/>
    <w:rsid w:val="00AC42A8"/>
    <w:rsid w:val="00AC5474"/>
    <w:rsid w:val="00AC6465"/>
    <w:rsid w:val="00AC69AE"/>
    <w:rsid w:val="00AC6D6E"/>
    <w:rsid w:val="00AD0863"/>
    <w:rsid w:val="00AD153A"/>
    <w:rsid w:val="00AD26D7"/>
    <w:rsid w:val="00AD2FDE"/>
    <w:rsid w:val="00AD3330"/>
    <w:rsid w:val="00AD33A1"/>
    <w:rsid w:val="00AD42A8"/>
    <w:rsid w:val="00AD4A02"/>
    <w:rsid w:val="00AD5DF5"/>
    <w:rsid w:val="00AD66A4"/>
    <w:rsid w:val="00AD6756"/>
    <w:rsid w:val="00AD6A1E"/>
    <w:rsid w:val="00AD6CBF"/>
    <w:rsid w:val="00AD7275"/>
    <w:rsid w:val="00AD7544"/>
    <w:rsid w:val="00AD7C85"/>
    <w:rsid w:val="00AE0A7C"/>
    <w:rsid w:val="00AE0F39"/>
    <w:rsid w:val="00AE19E4"/>
    <w:rsid w:val="00AE201F"/>
    <w:rsid w:val="00AE221A"/>
    <w:rsid w:val="00AE249F"/>
    <w:rsid w:val="00AE2935"/>
    <w:rsid w:val="00AE3922"/>
    <w:rsid w:val="00AE3BED"/>
    <w:rsid w:val="00AE3D77"/>
    <w:rsid w:val="00AE49EF"/>
    <w:rsid w:val="00AE4B66"/>
    <w:rsid w:val="00AE5FC5"/>
    <w:rsid w:val="00AE6481"/>
    <w:rsid w:val="00AE6776"/>
    <w:rsid w:val="00AE680C"/>
    <w:rsid w:val="00AE68BA"/>
    <w:rsid w:val="00AF00FD"/>
    <w:rsid w:val="00AF0A5E"/>
    <w:rsid w:val="00AF158F"/>
    <w:rsid w:val="00AF15CB"/>
    <w:rsid w:val="00AF2F72"/>
    <w:rsid w:val="00AF3DDA"/>
    <w:rsid w:val="00AF422C"/>
    <w:rsid w:val="00AF4288"/>
    <w:rsid w:val="00AF42A4"/>
    <w:rsid w:val="00AF42F2"/>
    <w:rsid w:val="00AF6AE3"/>
    <w:rsid w:val="00AF7445"/>
    <w:rsid w:val="00B0027D"/>
    <w:rsid w:val="00B0047B"/>
    <w:rsid w:val="00B00619"/>
    <w:rsid w:val="00B006D5"/>
    <w:rsid w:val="00B0071A"/>
    <w:rsid w:val="00B00815"/>
    <w:rsid w:val="00B011CF"/>
    <w:rsid w:val="00B015B6"/>
    <w:rsid w:val="00B022F0"/>
    <w:rsid w:val="00B02956"/>
    <w:rsid w:val="00B0305A"/>
    <w:rsid w:val="00B032FF"/>
    <w:rsid w:val="00B03C2A"/>
    <w:rsid w:val="00B04727"/>
    <w:rsid w:val="00B05254"/>
    <w:rsid w:val="00B057D8"/>
    <w:rsid w:val="00B067FA"/>
    <w:rsid w:val="00B06FA2"/>
    <w:rsid w:val="00B07C34"/>
    <w:rsid w:val="00B07EE8"/>
    <w:rsid w:val="00B115A9"/>
    <w:rsid w:val="00B116E5"/>
    <w:rsid w:val="00B12C2E"/>
    <w:rsid w:val="00B13D63"/>
    <w:rsid w:val="00B1541A"/>
    <w:rsid w:val="00B164BC"/>
    <w:rsid w:val="00B1669F"/>
    <w:rsid w:val="00B16855"/>
    <w:rsid w:val="00B16AB9"/>
    <w:rsid w:val="00B16CAA"/>
    <w:rsid w:val="00B179DE"/>
    <w:rsid w:val="00B17BC4"/>
    <w:rsid w:val="00B20135"/>
    <w:rsid w:val="00B205CF"/>
    <w:rsid w:val="00B20685"/>
    <w:rsid w:val="00B20A4F"/>
    <w:rsid w:val="00B211C1"/>
    <w:rsid w:val="00B21403"/>
    <w:rsid w:val="00B2305A"/>
    <w:rsid w:val="00B231A9"/>
    <w:rsid w:val="00B247E3"/>
    <w:rsid w:val="00B248B8"/>
    <w:rsid w:val="00B253D1"/>
    <w:rsid w:val="00B259C6"/>
    <w:rsid w:val="00B25AE4"/>
    <w:rsid w:val="00B25D92"/>
    <w:rsid w:val="00B25E64"/>
    <w:rsid w:val="00B26A9B"/>
    <w:rsid w:val="00B26E25"/>
    <w:rsid w:val="00B26E34"/>
    <w:rsid w:val="00B3096B"/>
    <w:rsid w:val="00B30B77"/>
    <w:rsid w:val="00B319D5"/>
    <w:rsid w:val="00B31C06"/>
    <w:rsid w:val="00B31EEC"/>
    <w:rsid w:val="00B322F1"/>
    <w:rsid w:val="00B32C98"/>
    <w:rsid w:val="00B32CB4"/>
    <w:rsid w:val="00B32D49"/>
    <w:rsid w:val="00B33242"/>
    <w:rsid w:val="00B33D14"/>
    <w:rsid w:val="00B3404F"/>
    <w:rsid w:val="00B340D7"/>
    <w:rsid w:val="00B3492C"/>
    <w:rsid w:val="00B350CB"/>
    <w:rsid w:val="00B362B7"/>
    <w:rsid w:val="00B369C3"/>
    <w:rsid w:val="00B36FC0"/>
    <w:rsid w:val="00B403D1"/>
    <w:rsid w:val="00B40BB9"/>
    <w:rsid w:val="00B40D28"/>
    <w:rsid w:val="00B422D6"/>
    <w:rsid w:val="00B423D1"/>
    <w:rsid w:val="00B427C8"/>
    <w:rsid w:val="00B42CFB"/>
    <w:rsid w:val="00B43435"/>
    <w:rsid w:val="00B43528"/>
    <w:rsid w:val="00B43D42"/>
    <w:rsid w:val="00B44B01"/>
    <w:rsid w:val="00B44CC2"/>
    <w:rsid w:val="00B4560F"/>
    <w:rsid w:val="00B45BEE"/>
    <w:rsid w:val="00B46378"/>
    <w:rsid w:val="00B463F3"/>
    <w:rsid w:val="00B46E8F"/>
    <w:rsid w:val="00B473C3"/>
    <w:rsid w:val="00B47558"/>
    <w:rsid w:val="00B50BB8"/>
    <w:rsid w:val="00B510AF"/>
    <w:rsid w:val="00B51360"/>
    <w:rsid w:val="00B5138F"/>
    <w:rsid w:val="00B51D44"/>
    <w:rsid w:val="00B53A9E"/>
    <w:rsid w:val="00B53AF4"/>
    <w:rsid w:val="00B541A5"/>
    <w:rsid w:val="00B54B98"/>
    <w:rsid w:val="00B5555D"/>
    <w:rsid w:val="00B556A5"/>
    <w:rsid w:val="00B568C6"/>
    <w:rsid w:val="00B56EE4"/>
    <w:rsid w:val="00B572C3"/>
    <w:rsid w:val="00B57B32"/>
    <w:rsid w:val="00B600BB"/>
    <w:rsid w:val="00B60696"/>
    <w:rsid w:val="00B60789"/>
    <w:rsid w:val="00B611CE"/>
    <w:rsid w:val="00B61A40"/>
    <w:rsid w:val="00B61E35"/>
    <w:rsid w:val="00B61F6B"/>
    <w:rsid w:val="00B62105"/>
    <w:rsid w:val="00B62B0B"/>
    <w:rsid w:val="00B642EE"/>
    <w:rsid w:val="00B64A12"/>
    <w:rsid w:val="00B653D9"/>
    <w:rsid w:val="00B663D3"/>
    <w:rsid w:val="00B664B1"/>
    <w:rsid w:val="00B665CC"/>
    <w:rsid w:val="00B6776F"/>
    <w:rsid w:val="00B6797D"/>
    <w:rsid w:val="00B67A0B"/>
    <w:rsid w:val="00B67A3E"/>
    <w:rsid w:val="00B67DFE"/>
    <w:rsid w:val="00B70A69"/>
    <w:rsid w:val="00B715CC"/>
    <w:rsid w:val="00B719A3"/>
    <w:rsid w:val="00B72396"/>
    <w:rsid w:val="00B7298A"/>
    <w:rsid w:val="00B730A9"/>
    <w:rsid w:val="00B73D1D"/>
    <w:rsid w:val="00B73EA9"/>
    <w:rsid w:val="00B73F30"/>
    <w:rsid w:val="00B748B4"/>
    <w:rsid w:val="00B74A55"/>
    <w:rsid w:val="00B74DFA"/>
    <w:rsid w:val="00B75356"/>
    <w:rsid w:val="00B757F9"/>
    <w:rsid w:val="00B75831"/>
    <w:rsid w:val="00B75CBC"/>
    <w:rsid w:val="00B766B2"/>
    <w:rsid w:val="00B77F95"/>
    <w:rsid w:val="00B803EE"/>
    <w:rsid w:val="00B807CB"/>
    <w:rsid w:val="00B8160B"/>
    <w:rsid w:val="00B8242E"/>
    <w:rsid w:val="00B828BF"/>
    <w:rsid w:val="00B83D6C"/>
    <w:rsid w:val="00B83DB1"/>
    <w:rsid w:val="00B8451C"/>
    <w:rsid w:val="00B8703A"/>
    <w:rsid w:val="00B873EA"/>
    <w:rsid w:val="00B87750"/>
    <w:rsid w:val="00B90F55"/>
    <w:rsid w:val="00B9102C"/>
    <w:rsid w:val="00B915FF"/>
    <w:rsid w:val="00B9175A"/>
    <w:rsid w:val="00B91BFD"/>
    <w:rsid w:val="00B91DA8"/>
    <w:rsid w:val="00B91E5D"/>
    <w:rsid w:val="00B9235F"/>
    <w:rsid w:val="00B923DF"/>
    <w:rsid w:val="00B92432"/>
    <w:rsid w:val="00B92A5B"/>
    <w:rsid w:val="00B92E97"/>
    <w:rsid w:val="00B95316"/>
    <w:rsid w:val="00B95B08"/>
    <w:rsid w:val="00B96F4A"/>
    <w:rsid w:val="00B97BF9"/>
    <w:rsid w:val="00BA01BD"/>
    <w:rsid w:val="00BA0A1E"/>
    <w:rsid w:val="00BA0A28"/>
    <w:rsid w:val="00BA1355"/>
    <w:rsid w:val="00BA1AB2"/>
    <w:rsid w:val="00BA1E49"/>
    <w:rsid w:val="00BA23B2"/>
    <w:rsid w:val="00BA249B"/>
    <w:rsid w:val="00BA276B"/>
    <w:rsid w:val="00BA2DB9"/>
    <w:rsid w:val="00BA399D"/>
    <w:rsid w:val="00BA47E9"/>
    <w:rsid w:val="00BA485D"/>
    <w:rsid w:val="00BA6100"/>
    <w:rsid w:val="00BA6B10"/>
    <w:rsid w:val="00BA7362"/>
    <w:rsid w:val="00BA7D56"/>
    <w:rsid w:val="00BA7F52"/>
    <w:rsid w:val="00BB0C99"/>
    <w:rsid w:val="00BB109C"/>
    <w:rsid w:val="00BB11EA"/>
    <w:rsid w:val="00BB19C6"/>
    <w:rsid w:val="00BB1C6E"/>
    <w:rsid w:val="00BB2529"/>
    <w:rsid w:val="00BB296E"/>
    <w:rsid w:val="00BB2B11"/>
    <w:rsid w:val="00BB2F5F"/>
    <w:rsid w:val="00BB3041"/>
    <w:rsid w:val="00BB39B3"/>
    <w:rsid w:val="00BB47DE"/>
    <w:rsid w:val="00BB554A"/>
    <w:rsid w:val="00BB5B34"/>
    <w:rsid w:val="00BB74AA"/>
    <w:rsid w:val="00BB77E8"/>
    <w:rsid w:val="00BB7834"/>
    <w:rsid w:val="00BC0002"/>
    <w:rsid w:val="00BC062A"/>
    <w:rsid w:val="00BC1235"/>
    <w:rsid w:val="00BC2AA4"/>
    <w:rsid w:val="00BC4D8F"/>
    <w:rsid w:val="00BC57B8"/>
    <w:rsid w:val="00BC5B18"/>
    <w:rsid w:val="00BC6768"/>
    <w:rsid w:val="00BC67D8"/>
    <w:rsid w:val="00BC6939"/>
    <w:rsid w:val="00BC6993"/>
    <w:rsid w:val="00BC77C6"/>
    <w:rsid w:val="00BC7C1B"/>
    <w:rsid w:val="00BD1CA8"/>
    <w:rsid w:val="00BD1FDB"/>
    <w:rsid w:val="00BD20D1"/>
    <w:rsid w:val="00BD27CA"/>
    <w:rsid w:val="00BD33A6"/>
    <w:rsid w:val="00BD38EA"/>
    <w:rsid w:val="00BD3E7C"/>
    <w:rsid w:val="00BD41B3"/>
    <w:rsid w:val="00BD45BD"/>
    <w:rsid w:val="00BD62E7"/>
    <w:rsid w:val="00BD6FEC"/>
    <w:rsid w:val="00BD7A5E"/>
    <w:rsid w:val="00BE00AB"/>
    <w:rsid w:val="00BE0A86"/>
    <w:rsid w:val="00BE0BF4"/>
    <w:rsid w:val="00BE26E6"/>
    <w:rsid w:val="00BE4B7C"/>
    <w:rsid w:val="00BE541D"/>
    <w:rsid w:val="00BE63BC"/>
    <w:rsid w:val="00BE6A39"/>
    <w:rsid w:val="00BE7096"/>
    <w:rsid w:val="00BE716C"/>
    <w:rsid w:val="00BE71FD"/>
    <w:rsid w:val="00BE7DAF"/>
    <w:rsid w:val="00BF18FB"/>
    <w:rsid w:val="00BF1A1C"/>
    <w:rsid w:val="00BF1A32"/>
    <w:rsid w:val="00BF1B6F"/>
    <w:rsid w:val="00BF2363"/>
    <w:rsid w:val="00BF2402"/>
    <w:rsid w:val="00BF279C"/>
    <w:rsid w:val="00BF2BFB"/>
    <w:rsid w:val="00BF34BD"/>
    <w:rsid w:val="00BF3E60"/>
    <w:rsid w:val="00BF41BB"/>
    <w:rsid w:val="00BF4587"/>
    <w:rsid w:val="00BF51FD"/>
    <w:rsid w:val="00BF54B7"/>
    <w:rsid w:val="00BF561A"/>
    <w:rsid w:val="00BF5FFD"/>
    <w:rsid w:val="00BF6712"/>
    <w:rsid w:val="00BF6F69"/>
    <w:rsid w:val="00BF7426"/>
    <w:rsid w:val="00BF7B5E"/>
    <w:rsid w:val="00C00070"/>
    <w:rsid w:val="00C00F4E"/>
    <w:rsid w:val="00C0111B"/>
    <w:rsid w:val="00C03888"/>
    <w:rsid w:val="00C039B5"/>
    <w:rsid w:val="00C03B2F"/>
    <w:rsid w:val="00C03E49"/>
    <w:rsid w:val="00C044F1"/>
    <w:rsid w:val="00C04ACB"/>
    <w:rsid w:val="00C0517F"/>
    <w:rsid w:val="00C0533D"/>
    <w:rsid w:val="00C06768"/>
    <w:rsid w:val="00C07166"/>
    <w:rsid w:val="00C07250"/>
    <w:rsid w:val="00C11304"/>
    <w:rsid w:val="00C11826"/>
    <w:rsid w:val="00C124E8"/>
    <w:rsid w:val="00C131D3"/>
    <w:rsid w:val="00C13793"/>
    <w:rsid w:val="00C145B5"/>
    <w:rsid w:val="00C152A1"/>
    <w:rsid w:val="00C15CF9"/>
    <w:rsid w:val="00C164FA"/>
    <w:rsid w:val="00C16672"/>
    <w:rsid w:val="00C1690D"/>
    <w:rsid w:val="00C16B82"/>
    <w:rsid w:val="00C17DA7"/>
    <w:rsid w:val="00C17F04"/>
    <w:rsid w:val="00C17FFA"/>
    <w:rsid w:val="00C20984"/>
    <w:rsid w:val="00C2137B"/>
    <w:rsid w:val="00C2336D"/>
    <w:rsid w:val="00C23442"/>
    <w:rsid w:val="00C23BD5"/>
    <w:rsid w:val="00C23D85"/>
    <w:rsid w:val="00C25CC6"/>
    <w:rsid w:val="00C2610C"/>
    <w:rsid w:val="00C26F34"/>
    <w:rsid w:val="00C2766D"/>
    <w:rsid w:val="00C276C7"/>
    <w:rsid w:val="00C277BE"/>
    <w:rsid w:val="00C2785D"/>
    <w:rsid w:val="00C27B3A"/>
    <w:rsid w:val="00C307F7"/>
    <w:rsid w:val="00C30DAB"/>
    <w:rsid w:val="00C31D8C"/>
    <w:rsid w:val="00C32266"/>
    <w:rsid w:val="00C3230F"/>
    <w:rsid w:val="00C32FEF"/>
    <w:rsid w:val="00C33161"/>
    <w:rsid w:val="00C335D2"/>
    <w:rsid w:val="00C33E75"/>
    <w:rsid w:val="00C34ABF"/>
    <w:rsid w:val="00C35151"/>
    <w:rsid w:val="00C35C0B"/>
    <w:rsid w:val="00C36E3F"/>
    <w:rsid w:val="00C37AD3"/>
    <w:rsid w:val="00C37DFA"/>
    <w:rsid w:val="00C40584"/>
    <w:rsid w:val="00C415BD"/>
    <w:rsid w:val="00C41B9F"/>
    <w:rsid w:val="00C41EAE"/>
    <w:rsid w:val="00C42275"/>
    <w:rsid w:val="00C42986"/>
    <w:rsid w:val="00C43902"/>
    <w:rsid w:val="00C43C0C"/>
    <w:rsid w:val="00C470DA"/>
    <w:rsid w:val="00C47AEC"/>
    <w:rsid w:val="00C50337"/>
    <w:rsid w:val="00C503B7"/>
    <w:rsid w:val="00C50E51"/>
    <w:rsid w:val="00C515A4"/>
    <w:rsid w:val="00C51ACC"/>
    <w:rsid w:val="00C51D47"/>
    <w:rsid w:val="00C51E0F"/>
    <w:rsid w:val="00C532B3"/>
    <w:rsid w:val="00C53351"/>
    <w:rsid w:val="00C53AD6"/>
    <w:rsid w:val="00C53B29"/>
    <w:rsid w:val="00C53BC4"/>
    <w:rsid w:val="00C54007"/>
    <w:rsid w:val="00C54998"/>
    <w:rsid w:val="00C550F8"/>
    <w:rsid w:val="00C55653"/>
    <w:rsid w:val="00C557E4"/>
    <w:rsid w:val="00C5588E"/>
    <w:rsid w:val="00C56222"/>
    <w:rsid w:val="00C563AB"/>
    <w:rsid w:val="00C56B50"/>
    <w:rsid w:val="00C60149"/>
    <w:rsid w:val="00C606A0"/>
    <w:rsid w:val="00C60FA0"/>
    <w:rsid w:val="00C61E75"/>
    <w:rsid w:val="00C62CFF"/>
    <w:rsid w:val="00C62F8E"/>
    <w:rsid w:val="00C64456"/>
    <w:rsid w:val="00C644DB"/>
    <w:rsid w:val="00C652E9"/>
    <w:rsid w:val="00C665BC"/>
    <w:rsid w:val="00C6662E"/>
    <w:rsid w:val="00C66723"/>
    <w:rsid w:val="00C67A42"/>
    <w:rsid w:val="00C67C99"/>
    <w:rsid w:val="00C70587"/>
    <w:rsid w:val="00C70B41"/>
    <w:rsid w:val="00C7231D"/>
    <w:rsid w:val="00C725DE"/>
    <w:rsid w:val="00C7297A"/>
    <w:rsid w:val="00C72CEA"/>
    <w:rsid w:val="00C72F4D"/>
    <w:rsid w:val="00C744B7"/>
    <w:rsid w:val="00C745F6"/>
    <w:rsid w:val="00C74854"/>
    <w:rsid w:val="00C759A1"/>
    <w:rsid w:val="00C75CF6"/>
    <w:rsid w:val="00C778A7"/>
    <w:rsid w:val="00C8058A"/>
    <w:rsid w:val="00C8119B"/>
    <w:rsid w:val="00C813DB"/>
    <w:rsid w:val="00C83623"/>
    <w:rsid w:val="00C84682"/>
    <w:rsid w:val="00C8559D"/>
    <w:rsid w:val="00C8561F"/>
    <w:rsid w:val="00C873D9"/>
    <w:rsid w:val="00C900F4"/>
    <w:rsid w:val="00C9033D"/>
    <w:rsid w:val="00C90550"/>
    <w:rsid w:val="00C90F10"/>
    <w:rsid w:val="00C91C74"/>
    <w:rsid w:val="00C94158"/>
    <w:rsid w:val="00C94CE7"/>
    <w:rsid w:val="00C9509F"/>
    <w:rsid w:val="00C95667"/>
    <w:rsid w:val="00C9654E"/>
    <w:rsid w:val="00CA0A64"/>
    <w:rsid w:val="00CA0F27"/>
    <w:rsid w:val="00CA273B"/>
    <w:rsid w:val="00CA31DA"/>
    <w:rsid w:val="00CA3BD3"/>
    <w:rsid w:val="00CA4245"/>
    <w:rsid w:val="00CA5D04"/>
    <w:rsid w:val="00CA7137"/>
    <w:rsid w:val="00CA74DA"/>
    <w:rsid w:val="00CA767E"/>
    <w:rsid w:val="00CA7A72"/>
    <w:rsid w:val="00CB0409"/>
    <w:rsid w:val="00CB144A"/>
    <w:rsid w:val="00CB1A47"/>
    <w:rsid w:val="00CB22A6"/>
    <w:rsid w:val="00CB241E"/>
    <w:rsid w:val="00CB2634"/>
    <w:rsid w:val="00CB3EAB"/>
    <w:rsid w:val="00CB5BA0"/>
    <w:rsid w:val="00CB615B"/>
    <w:rsid w:val="00CB62D4"/>
    <w:rsid w:val="00CB66AE"/>
    <w:rsid w:val="00CB7494"/>
    <w:rsid w:val="00CB7501"/>
    <w:rsid w:val="00CB780E"/>
    <w:rsid w:val="00CB7B26"/>
    <w:rsid w:val="00CC02C8"/>
    <w:rsid w:val="00CC1BFB"/>
    <w:rsid w:val="00CC200F"/>
    <w:rsid w:val="00CC225C"/>
    <w:rsid w:val="00CC283F"/>
    <w:rsid w:val="00CC2C55"/>
    <w:rsid w:val="00CC3060"/>
    <w:rsid w:val="00CC31DC"/>
    <w:rsid w:val="00CC380F"/>
    <w:rsid w:val="00CC438D"/>
    <w:rsid w:val="00CC496F"/>
    <w:rsid w:val="00CC4F64"/>
    <w:rsid w:val="00CC522B"/>
    <w:rsid w:val="00CC6400"/>
    <w:rsid w:val="00CC6875"/>
    <w:rsid w:val="00CC6AB0"/>
    <w:rsid w:val="00CC748A"/>
    <w:rsid w:val="00CC7700"/>
    <w:rsid w:val="00CD087B"/>
    <w:rsid w:val="00CD0968"/>
    <w:rsid w:val="00CD16CC"/>
    <w:rsid w:val="00CD1A35"/>
    <w:rsid w:val="00CD1F9E"/>
    <w:rsid w:val="00CD210B"/>
    <w:rsid w:val="00CD36D0"/>
    <w:rsid w:val="00CD3C2C"/>
    <w:rsid w:val="00CD4AC3"/>
    <w:rsid w:val="00CD5E7B"/>
    <w:rsid w:val="00CD6203"/>
    <w:rsid w:val="00CD62AE"/>
    <w:rsid w:val="00CD6EE8"/>
    <w:rsid w:val="00CE0599"/>
    <w:rsid w:val="00CE082F"/>
    <w:rsid w:val="00CE0AB2"/>
    <w:rsid w:val="00CE0D0E"/>
    <w:rsid w:val="00CE1156"/>
    <w:rsid w:val="00CE14E7"/>
    <w:rsid w:val="00CE197F"/>
    <w:rsid w:val="00CE2B2E"/>
    <w:rsid w:val="00CE2BEA"/>
    <w:rsid w:val="00CE3BB4"/>
    <w:rsid w:val="00CE42B4"/>
    <w:rsid w:val="00CE43DA"/>
    <w:rsid w:val="00CE4900"/>
    <w:rsid w:val="00CE5D35"/>
    <w:rsid w:val="00CE6390"/>
    <w:rsid w:val="00CE6420"/>
    <w:rsid w:val="00CE6F87"/>
    <w:rsid w:val="00CE79CB"/>
    <w:rsid w:val="00CE7B41"/>
    <w:rsid w:val="00CE7FF3"/>
    <w:rsid w:val="00CF0D97"/>
    <w:rsid w:val="00CF149E"/>
    <w:rsid w:val="00CF2132"/>
    <w:rsid w:val="00CF3136"/>
    <w:rsid w:val="00CF3513"/>
    <w:rsid w:val="00CF39AE"/>
    <w:rsid w:val="00CF3D30"/>
    <w:rsid w:val="00CF47B4"/>
    <w:rsid w:val="00CF50DE"/>
    <w:rsid w:val="00CF6017"/>
    <w:rsid w:val="00D00FAC"/>
    <w:rsid w:val="00D018A8"/>
    <w:rsid w:val="00D01A02"/>
    <w:rsid w:val="00D01C12"/>
    <w:rsid w:val="00D01DD1"/>
    <w:rsid w:val="00D01F27"/>
    <w:rsid w:val="00D02100"/>
    <w:rsid w:val="00D02425"/>
    <w:rsid w:val="00D02847"/>
    <w:rsid w:val="00D0307C"/>
    <w:rsid w:val="00D037EC"/>
    <w:rsid w:val="00D03C5B"/>
    <w:rsid w:val="00D03C6B"/>
    <w:rsid w:val="00D054AB"/>
    <w:rsid w:val="00D0599A"/>
    <w:rsid w:val="00D05E7C"/>
    <w:rsid w:val="00D0621F"/>
    <w:rsid w:val="00D0630D"/>
    <w:rsid w:val="00D06E92"/>
    <w:rsid w:val="00D07737"/>
    <w:rsid w:val="00D100B1"/>
    <w:rsid w:val="00D103D1"/>
    <w:rsid w:val="00D114A1"/>
    <w:rsid w:val="00D11F53"/>
    <w:rsid w:val="00D120B9"/>
    <w:rsid w:val="00D14CF7"/>
    <w:rsid w:val="00D16AD3"/>
    <w:rsid w:val="00D1709D"/>
    <w:rsid w:val="00D17571"/>
    <w:rsid w:val="00D17B2B"/>
    <w:rsid w:val="00D209B0"/>
    <w:rsid w:val="00D20FB3"/>
    <w:rsid w:val="00D2238B"/>
    <w:rsid w:val="00D2453D"/>
    <w:rsid w:val="00D24EE2"/>
    <w:rsid w:val="00D25522"/>
    <w:rsid w:val="00D26090"/>
    <w:rsid w:val="00D26B94"/>
    <w:rsid w:val="00D26EAB"/>
    <w:rsid w:val="00D27E68"/>
    <w:rsid w:val="00D309AC"/>
    <w:rsid w:val="00D324F2"/>
    <w:rsid w:val="00D326CC"/>
    <w:rsid w:val="00D329F4"/>
    <w:rsid w:val="00D33BE6"/>
    <w:rsid w:val="00D33E6D"/>
    <w:rsid w:val="00D34254"/>
    <w:rsid w:val="00D346C2"/>
    <w:rsid w:val="00D35E04"/>
    <w:rsid w:val="00D37D6B"/>
    <w:rsid w:val="00D37E75"/>
    <w:rsid w:val="00D40508"/>
    <w:rsid w:val="00D409FF"/>
    <w:rsid w:val="00D40A07"/>
    <w:rsid w:val="00D413A8"/>
    <w:rsid w:val="00D42F1C"/>
    <w:rsid w:val="00D43AAC"/>
    <w:rsid w:val="00D43EE1"/>
    <w:rsid w:val="00D44A4B"/>
    <w:rsid w:val="00D4534E"/>
    <w:rsid w:val="00D45EDA"/>
    <w:rsid w:val="00D45F2C"/>
    <w:rsid w:val="00D46376"/>
    <w:rsid w:val="00D46656"/>
    <w:rsid w:val="00D47130"/>
    <w:rsid w:val="00D475FB"/>
    <w:rsid w:val="00D4794A"/>
    <w:rsid w:val="00D47CE6"/>
    <w:rsid w:val="00D502C2"/>
    <w:rsid w:val="00D50CCF"/>
    <w:rsid w:val="00D52424"/>
    <w:rsid w:val="00D5246D"/>
    <w:rsid w:val="00D52AA3"/>
    <w:rsid w:val="00D530F2"/>
    <w:rsid w:val="00D54631"/>
    <w:rsid w:val="00D549F9"/>
    <w:rsid w:val="00D54AFA"/>
    <w:rsid w:val="00D55277"/>
    <w:rsid w:val="00D555D5"/>
    <w:rsid w:val="00D557D4"/>
    <w:rsid w:val="00D5621C"/>
    <w:rsid w:val="00D56788"/>
    <w:rsid w:val="00D56D2A"/>
    <w:rsid w:val="00D57FAD"/>
    <w:rsid w:val="00D60505"/>
    <w:rsid w:val="00D6153F"/>
    <w:rsid w:val="00D61E51"/>
    <w:rsid w:val="00D62A7E"/>
    <w:rsid w:val="00D639AE"/>
    <w:rsid w:val="00D63BD7"/>
    <w:rsid w:val="00D63ED8"/>
    <w:rsid w:val="00D6409B"/>
    <w:rsid w:val="00D641AF"/>
    <w:rsid w:val="00D64919"/>
    <w:rsid w:val="00D652F1"/>
    <w:rsid w:val="00D65714"/>
    <w:rsid w:val="00D66090"/>
    <w:rsid w:val="00D663CE"/>
    <w:rsid w:val="00D671D2"/>
    <w:rsid w:val="00D6781D"/>
    <w:rsid w:val="00D70F66"/>
    <w:rsid w:val="00D72112"/>
    <w:rsid w:val="00D7266E"/>
    <w:rsid w:val="00D72AC0"/>
    <w:rsid w:val="00D72B19"/>
    <w:rsid w:val="00D72C77"/>
    <w:rsid w:val="00D72DC6"/>
    <w:rsid w:val="00D736E9"/>
    <w:rsid w:val="00D738AF"/>
    <w:rsid w:val="00D7393F"/>
    <w:rsid w:val="00D74989"/>
    <w:rsid w:val="00D75038"/>
    <w:rsid w:val="00D7679E"/>
    <w:rsid w:val="00D76834"/>
    <w:rsid w:val="00D76E67"/>
    <w:rsid w:val="00D773FE"/>
    <w:rsid w:val="00D77B69"/>
    <w:rsid w:val="00D77D52"/>
    <w:rsid w:val="00D80014"/>
    <w:rsid w:val="00D805EA"/>
    <w:rsid w:val="00D80CF1"/>
    <w:rsid w:val="00D81B34"/>
    <w:rsid w:val="00D82776"/>
    <w:rsid w:val="00D842B5"/>
    <w:rsid w:val="00D86074"/>
    <w:rsid w:val="00D86A79"/>
    <w:rsid w:val="00D870F1"/>
    <w:rsid w:val="00D872C5"/>
    <w:rsid w:val="00D91C48"/>
    <w:rsid w:val="00D9261F"/>
    <w:rsid w:val="00D93B88"/>
    <w:rsid w:val="00D93DB1"/>
    <w:rsid w:val="00D93DB8"/>
    <w:rsid w:val="00D955E4"/>
    <w:rsid w:val="00D96500"/>
    <w:rsid w:val="00D96808"/>
    <w:rsid w:val="00D96BD3"/>
    <w:rsid w:val="00D96BF2"/>
    <w:rsid w:val="00D9735C"/>
    <w:rsid w:val="00DA0320"/>
    <w:rsid w:val="00DA0B04"/>
    <w:rsid w:val="00DA0FCE"/>
    <w:rsid w:val="00DA1179"/>
    <w:rsid w:val="00DA13C6"/>
    <w:rsid w:val="00DA1A19"/>
    <w:rsid w:val="00DA271A"/>
    <w:rsid w:val="00DA2FA5"/>
    <w:rsid w:val="00DA3386"/>
    <w:rsid w:val="00DA3B74"/>
    <w:rsid w:val="00DA4350"/>
    <w:rsid w:val="00DA4C63"/>
    <w:rsid w:val="00DA4EE0"/>
    <w:rsid w:val="00DA5085"/>
    <w:rsid w:val="00DA6A98"/>
    <w:rsid w:val="00DA6F1E"/>
    <w:rsid w:val="00DA7123"/>
    <w:rsid w:val="00DA7240"/>
    <w:rsid w:val="00DA731A"/>
    <w:rsid w:val="00DA75DF"/>
    <w:rsid w:val="00DA7B32"/>
    <w:rsid w:val="00DB049D"/>
    <w:rsid w:val="00DB0541"/>
    <w:rsid w:val="00DB0AC3"/>
    <w:rsid w:val="00DB0EA2"/>
    <w:rsid w:val="00DB1EA9"/>
    <w:rsid w:val="00DB31D2"/>
    <w:rsid w:val="00DB3E0D"/>
    <w:rsid w:val="00DB433D"/>
    <w:rsid w:val="00DB65BD"/>
    <w:rsid w:val="00DB7AB7"/>
    <w:rsid w:val="00DC0090"/>
    <w:rsid w:val="00DC0300"/>
    <w:rsid w:val="00DC08BB"/>
    <w:rsid w:val="00DC0A19"/>
    <w:rsid w:val="00DC143E"/>
    <w:rsid w:val="00DC15A5"/>
    <w:rsid w:val="00DC16DA"/>
    <w:rsid w:val="00DC2AA0"/>
    <w:rsid w:val="00DC2AB1"/>
    <w:rsid w:val="00DC2ED3"/>
    <w:rsid w:val="00DC2EDC"/>
    <w:rsid w:val="00DC3A4B"/>
    <w:rsid w:val="00DC3F96"/>
    <w:rsid w:val="00DC424D"/>
    <w:rsid w:val="00DC5042"/>
    <w:rsid w:val="00DC5D33"/>
    <w:rsid w:val="00DC7EE3"/>
    <w:rsid w:val="00DD0403"/>
    <w:rsid w:val="00DD0D67"/>
    <w:rsid w:val="00DD159A"/>
    <w:rsid w:val="00DD22E8"/>
    <w:rsid w:val="00DD27F5"/>
    <w:rsid w:val="00DD2B84"/>
    <w:rsid w:val="00DD51CE"/>
    <w:rsid w:val="00DD5502"/>
    <w:rsid w:val="00DD578B"/>
    <w:rsid w:val="00DD5FC0"/>
    <w:rsid w:val="00DD61E2"/>
    <w:rsid w:val="00DD64C6"/>
    <w:rsid w:val="00DD6742"/>
    <w:rsid w:val="00DD6B71"/>
    <w:rsid w:val="00DD7414"/>
    <w:rsid w:val="00DD7B15"/>
    <w:rsid w:val="00DD7D74"/>
    <w:rsid w:val="00DE176F"/>
    <w:rsid w:val="00DE2AB7"/>
    <w:rsid w:val="00DE4840"/>
    <w:rsid w:val="00DE493B"/>
    <w:rsid w:val="00DE4D4A"/>
    <w:rsid w:val="00DE639F"/>
    <w:rsid w:val="00DE65A9"/>
    <w:rsid w:val="00DE6D19"/>
    <w:rsid w:val="00DE6FEE"/>
    <w:rsid w:val="00DE7256"/>
    <w:rsid w:val="00DE764E"/>
    <w:rsid w:val="00DE7945"/>
    <w:rsid w:val="00DE7F4B"/>
    <w:rsid w:val="00DF0786"/>
    <w:rsid w:val="00DF108E"/>
    <w:rsid w:val="00DF147F"/>
    <w:rsid w:val="00DF18FC"/>
    <w:rsid w:val="00DF232E"/>
    <w:rsid w:val="00DF2369"/>
    <w:rsid w:val="00DF24F2"/>
    <w:rsid w:val="00DF3156"/>
    <w:rsid w:val="00DF3FD9"/>
    <w:rsid w:val="00DF4548"/>
    <w:rsid w:val="00DF47BE"/>
    <w:rsid w:val="00DF4ED2"/>
    <w:rsid w:val="00DF566E"/>
    <w:rsid w:val="00DF6CA1"/>
    <w:rsid w:val="00DF7CB3"/>
    <w:rsid w:val="00DF7D5C"/>
    <w:rsid w:val="00DF7E8E"/>
    <w:rsid w:val="00DF7ECB"/>
    <w:rsid w:val="00E00A29"/>
    <w:rsid w:val="00E01308"/>
    <w:rsid w:val="00E01AFE"/>
    <w:rsid w:val="00E01BB7"/>
    <w:rsid w:val="00E02F78"/>
    <w:rsid w:val="00E0304A"/>
    <w:rsid w:val="00E03AA5"/>
    <w:rsid w:val="00E04663"/>
    <w:rsid w:val="00E05412"/>
    <w:rsid w:val="00E05CB9"/>
    <w:rsid w:val="00E06705"/>
    <w:rsid w:val="00E078A3"/>
    <w:rsid w:val="00E079CA"/>
    <w:rsid w:val="00E07D1B"/>
    <w:rsid w:val="00E10872"/>
    <w:rsid w:val="00E11862"/>
    <w:rsid w:val="00E11DC7"/>
    <w:rsid w:val="00E11FF9"/>
    <w:rsid w:val="00E1269E"/>
    <w:rsid w:val="00E12767"/>
    <w:rsid w:val="00E12AF6"/>
    <w:rsid w:val="00E12F89"/>
    <w:rsid w:val="00E13772"/>
    <w:rsid w:val="00E13AAC"/>
    <w:rsid w:val="00E147BF"/>
    <w:rsid w:val="00E14CF0"/>
    <w:rsid w:val="00E1694F"/>
    <w:rsid w:val="00E17917"/>
    <w:rsid w:val="00E17C95"/>
    <w:rsid w:val="00E17EDA"/>
    <w:rsid w:val="00E20742"/>
    <w:rsid w:val="00E2081C"/>
    <w:rsid w:val="00E235AE"/>
    <w:rsid w:val="00E23824"/>
    <w:rsid w:val="00E238AE"/>
    <w:rsid w:val="00E23C59"/>
    <w:rsid w:val="00E23D8F"/>
    <w:rsid w:val="00E247B9"/>
    <w:rsid w:val="00E25581"/>
    <w:rsid w:val="00E25756"/>
    <w:rsid w:val="00E26123"/>
    <w:rsid w:val="00E2692B"/>
    <w:rsid w:val="00E27CEB"/>
    <w:rsid w:val="00E27FA1"/>
    <w:rsid w:val="00E30D68"/>
    <w:rsid w:val="00E317CE"/>
    <w:rsid w:val="00E31DEF"/>
    <w:rsid w:val="00E32135"/>
    <w:rsid w:val="00E32315"/>
    <w:rsid w:val="00E32D76"/>
    <w:rsid w:val="00E3385C"/>
    <w:rsid w:val="00E346A1"/>
    <w:rsid w:val="00E36F50"/>
    <w:rsid w:val="00E3798A"/>
    <w:rsid w:val="00E37DD4"/>
    <w:rsid w:val="00E41455"/>
    <w:rsid w:val="00E41566"/>
    <w:rsid w:val="00E419B1"/>
    <w:rsid w:val="00E41B1C"/>
    <w:rsid w:val="00E42DEB"/>
    <w:rsid w:val="00E43E1B"/>
    <w:rsid w:val="00E446EC"/>
    <w:rsid w:val="00E44D18"/>
    <w:rsid w:val="00E4695F"/>
    <w:rsid w:val="00E46A10"/>
    <w:rsid w:val="00E46A98"/>
    <w:rsid w:val="00E46E17"/>
    <w:rsid w:val="00E47C99"/>
    <w:rsid w:val="00E47D9E"/>
    <w:rsid w:val="00E52396"/>
    <w:rsid w:val="00E526E0"/>
    <w:rsid w:val="00E537EA"/>
    <w:rsid w:val="00E53CFA"/>
    <w:rsid w:val="00E54210"/>
    <w:rsid w:val="00E558CC"/>
    <w:rsid w:val="00E56898"/>
    <w:rsid w:val="00E570E2"/>
    <w:rsid w:val="00E571C9"/>
    <w:rsid w:val="00E57359"/>
    <w:rsid w:val="00E57843"/>
    <w:rsid w:val="00E60608"/>
    <w:rsid w:val="00E611A5"/>
    <w:rsid w:val="00E62521"/>
    <w:rsid w:val="00E62661"/>
    <w:rsid w:val="00E62B77"/>
    <w:rsid w:val="00E6306F"/>
    <w:rsid w:val="00E63539"/>
    <w:rsid w:val="00E639EE"/>
    <w:rsid w:val="00E63F0A"/>
    <w:rsid w:val="00E66014"/>
    <w:rsid w:val="00E66559"/>
    <w:rsid w:val="00E669EE"/>
    <w:rsid w:val="00E67C7E"/>
    <w:rsid w:val="00E70FEA"/>
    <w:rsid w:val="00E71813"/>
    <w:rsid w:val="00E71A1B"/>
    <w:rsid w:val="00E72A27"/>
    <w:rsid w:val="00E72E36"/>
    <w:rsid w:val="00E73B88"/>
    <w:rsid w:val="00E750F1"/>
    <w:rsid w:val="00E76117"/>
    <w:rsid w:val="00E77221"/>
    <w:rsid w:val="00E77358"/>
    <w:rsid w:val="00E77650"/>
    <w:rsid w:val="00E8093B"/>
    <w:rsid w:val="00E81629"/>
    <w:rsid w:val="00E8281E"/>
    <w:rsid w:val="00E82F4B"/>
    <w:rsid w:val="00E835C2"/>
    <w:rsid w:val="00E83600"/>
    <w:rsid w:val="00E83BE4"/>
    <w:rsid w:val="00E846BF"/>
    <w:rsid w:val="00E8540C"/>
    <w:rsid w:val="00E86957"/>
    <w:rsid w:val="00E86D75"/>
    <w:rsid w:val="00E903BB"/>
    <w:rsid w:val="00E909DF"/>
    <w:rsid w:val="00E9122A"/>
    <w:rsid w:val="00E91DCC"/>
    <w:rsid w:val="00E91F0B"/>
    <w:rsid w:val="00E9348C"/>
    <w:rsid w:val="00E93D6C"/>
    <w:rsid w:val="00E941C4"/>
    <w:rsid w:val="00E95ADF"/>
    <w:rsid w:val="00E95FC6"/>
    <w:rsid w:val="00E974C5"/>
    <w:rsid w:val="00EA0048"/>
    <w:rsid w:val="00EA0AAD"/>
    <w:rsid w:val="00EA0C0E"/>
    <w:rsid w:val="00EA1B4B"/>
    <w:rsid w:val="00EA1DF1"/>
    <w:rsid w:val="00EA2108"/>
    <w:rsid w:val="00EA2352"/>
    <w:rsid w:val="00EA515F"/>
    <w:rsid w:val="00EA51DF"/>
    <w:rsid w:val="00EA67FC"/>
    <w:rsid w:val="00EA7626"/>
    <w:rsid w:val="00EA7BEF"/>
    <w:rsid w:val="00EB12D0"/>
    <w:rsid w:val="00EB3094"/>
    <w:rsid w:val="00EB3D78"/>
    <w:rsid w:val="00EB4413"/>
    <w:rsid w:val="00EB52B3"/>
    <w:rsid w:val="00EB54C7"/>
    <w:rsid w:val="00EB5C9F"/>
    <w:rsid w:val="00EB5E27"/>
    <w:rsid w:val="00EB5EC4"/>
    <w:rsid w:val="00EB5F2F"/>
    <w:rsid w:val="00EB6D30"/>
    <w:rsid w:val="00EC044F"/>
    <w:rsid w:val="00EC07A9"/>
    <w:rsid w:val="00EC1C8B"/>
    <w:rsid w:val="00EC24F2"/>
    <w:rsid w:val="00EC26DC"/>
    <w:rsid w:val="00EC2CD9"/>
    <w:rsid w:val="00EC51C9"/>
    <w:rsid w:val="00EC7396"/>
    <w:rsid w:val="00EC74E4"/>
    <w:rsid w:val="00EC771B"/>
    <w:rsid w:val="00ED03F2"/>
    <w:rsid w:val="00ED0574"/>
    <w:rsid w:val="00ED0947"/>
    <w:rsid w:val="00ED09C8"/>
    <w:rsid w:val="00ED4C9F"/>
    <w:rsid w:val="00ED5048"/>
    <w:rsid w:val="00ED519E"/>
    <w:rsid w:val="00ED629D"/>
    <w:rsid w:val="00ED6A7D"/>
    <w:rsid w:val="00ED7CAC"/>
    <w:rsid w:val="00EE002C"/>
    <w:rsid w:val="00EE0A7E"/>
    <w:rsid w:val="00EE0C8A"/>
    <w:rsid w:val="00EE0DBC"/>
    <w:rsid w:val="00EE19F5"/>
    <w:rsid w:val="00EE2300"/>
    <w:rsid w:val="00EE2AEB"/>
    <w:rsid w:val="00EE2B73"/>
    <w:rsid w:val="00EE2BF0"/>
    <w:rsid w:val="00EE3547"/>
    <w:rsid w:val="00EE4A35"/>
    <w:rsid w:val="00EE5016"/>
    <w:rsid w:val="00EE5629"/>
    <w:rsid w:val="00EE5871"/>
    <w:rsid w:val="00EE6D77"/>
    <w:rsid w:val="00EE6F1C"/>
    <w:rsid w:val="00EF04FA"/>
    <w:rsid w:val="00EF2262"/>
    <w:rsid w:val="00EF2965"/>
    <w:rsid w:val="00EF2CB9"/>
    <w:rsid w:val="00EF343F"/>
    <w:rsid w:val="00EF38A6"/>
    <w:rsid w:val="00EF3F43"/>
    <w:rsid w:val="00EF43FE"/>
    <w:rsid w:val="00EF4A88"/>
    <w:rsid w:val="00EF4C90"/>
    <w:rsid w:val="00EF5C49"/>
    <w:rsid w:val="00EF62FA"/>
    <w:rsid w:val="00EF6669"/>
    <w:rsid w:val="00EF6BE1"/>
    <w:rsid w:val="00EF7752"/>
    <w:rsid w:val="00EF776C"/>
    <w:rsid w:val="00EF7EDA"/>
    <w:rsid w:val="00F00BDB"/>
    <w:rsid w:val="00F010A0"/>
    <w:rsid w:val="00F01995"/>
    <w:rsid w:val="00F01BBE"/>
    <w:rsid w:val="00F01CCD"/>
    <w:rsid w:val="00F041D8"/>
    <w:rsid w:val="00F046F5"/>
    <w:rsid w:val="00F04E02"/>
    <w:rsid w:val="00F06A38"/>
    <w:rsid w:val="00F10464"/>
    <w:rsid w:val="00F12235"/>
    <w:rsid w:val="00F1224C"/>
    <w:rsid w:val="00F122E7"/>
    <w:rsid w:val="00F1404E"/>
    <w:rsid w:val="00F14202"/>
    <w:rsid w:val="00F14242"/>
    <w:rsid w:val="00F14518"/>
    <w:rsid w:val="00F14712"/>
    <w:rsid w:val="00F14BD7"/>
    <w:rsid w:val="00F156B6"/>
    <w:rsid w:val="00F15A6A"/>
    <w:rsid w:val="00F165E0"/>
    <w:rsid w:val="00F17C44"/>
    <w:rsid w:val="00F20145"/>
    <w:rsid w:val="00F20BC2"/>
    <w:rsid w:val="00F214E5"/>
    <w:rsid w:val="00F21B14"/>
    <w:rsid w:val="00F21C26"/>
    <w:rsid w:val="00F229D0"/>
    <w:rsid w:val="00F2389F"/>
    <w:rsid w:val="00F23BF9"/>
    <w:rsid w:val="00F24053"/>
    <w:rsid w:val="00F24973"/>
    <w:rsid w:val="00F2516A"/>
    <w:rsid w:val="00F25DBE"/>
    <w:rsid w:val="00F2754D"/>
    <w:rsid w:val="00F27878"/>
    <w:rsid w:val="00F27FA6"/>
    <w:rsid w:val="00F30690"/>
    <w:rsid w:val="00F30A93"/>
    <w:rsid w:val="00F31172"/>
    <w:rsid w:val="00F319EE"/>
    <w:rsid w:val="00F31A50"/>
    <w:rsid w:val="00F31B25"/>
    <w:rsid w:val="00F32AF8"/>
    <w:rsid w:val="00F32B72"/>
    <w:rsid w:val="00F32E8B"/>
    <w:rsid w:val="00F33608"/>
    <w:rsid w:val="00F33AAC"/>
    <w:rsid w:val="00F341C3"/>
    <w:rsid w:val="00F349E9"/>
    <w:rsid w:val="00F371A0"/>
    <w:rsid w:val="00F374A7"/>
    <w:rsid w:val="00F378CC"/>
    <w:rsid w:val="00F37D6B"/>
    <w:rsid w:val="00F41752"/>
    <w:rsid w:val="00F41B03"/>
    <w:rsid w:val="00F41C1D"/>
    <w:rsid w:val="00F427B7"/>
    <w:rsid w:val="00F4434D"/>
    <w:rsid w:val="00F45069"/>
    <w:rsid w:val="00F46779"/>
    <w:rsid w:val="00F50088"/>
    <w:rsid w:val="00F51DC5"/>
    <w:rsid w:val="00F526D4"/>
    <w:rsid w:val="00F52A8D"/>
    <w:rsid w:val="00F5367D"/>
    <w:rsid w:val="00F53E00"/>
    <w:rsid w:val="00F54CF5"/>
    <w:rsid w:val="00F55D68"/>
    <w:rsid w:val="00F55E74"/>
    <w:rsid w:val="00F56031"/>
    <w:rsid w:val="00F566B7"/>
    <w:rsid w:val="00F569AD"/>
    <w:rsid w:val="00F57263"/>
    <w:rsid w:val="00F5750E"/>
    <w:rsid w:val="00F57B52"/>
    <w:rsid w:val="00F6089D"/>
    <w:rsid w:val="00F61168"/>
    <w:rsid w:val="00F63958"/>
    <w:rsid w:val="00F64146"/>
    <w:rsid w:val="00F643B9"/>
    <w:rsid w:val="00F646A3"/>
    <w:rsid w:val="00F65942"/>
    <w:rsid w:val="00F66716"/>
    <w:rsid w:val="00F67F4C"/>
    <w:rsid w:val="00F7020A"/>
    <w:rsid w:val="00F70BC4"/>
    <w:rsid w:val="00F72289"/>
    <w:rsid w:val="00F72771"/>
    <w:rsid w:val="00F72E35"/>
    <w:rsid w:val="00F73519"/>
    <w:rsid w:val="00F736B7"/>
    <w:rsid w:val="00F739DB"/>
    <w:rsid w:val="00F758FE"/>
    <w:rsid w:val="00F7695F"/>
    <w:rsid w:val="00F76E2A"/>
    <w:rsid w:val="00F771A1"/>
    <w:rsid w:val="00F7739E"/>
    <w:rsid w:val="00F77497"/>
    <w:rsid w:val="00F7767E"/>
    <w:rsid w:val="00F7787D"/>
    <w:rsid w:val="00F80118"/>
    <w:rsid w:val="00F8097E"/>
    <w:rsid w:val="00F8140C"/>
    <w:rsid w:val="00F819F7"/>
    <w:rsid w:val="00F824C5"/>
    <w:rsid w:val="00F83535"/>
    <w:rsid w:val="00F8368F"/>
    <w:rsid w:val="00F84A30"/>
    <w:rsid w:val="00F84DF1"/>
    <w:rsid w:val="00F84E0B"/>
    <w:rsid w:val="00F84FB5"/>
    <w:rsid w:val="00F851D8"/>
    <w:rsid w:val="00F8536F"/>
    <w:rsid w:val="00F8704B"/>
    <w:rsid w:val="00F87C09"/>
    <w:rsid w:val="00F91078"/>
    <w:rsid w:val="00F916DE"/>
    <w:rsid w:val="00F91B99"/>
    <w:rsid w:val="00F92F17"/>
    <w:rsid w:val="00F92F18"/>
    <w:rsid w:val="00F94BB7"/>
    <w:rsid w:val="00F970D8"/>
    <w:rsid w:val="00F9731F"/>
    <w:rsid w:val="00F97B9F"/>
    <w:rsid w:val="00F97FFC"/>
    <w:rsid w:val="00FA0967"/>
    <w:rsid w:val="00FA1838"/>
    <w:rsid w:val="00FA265C"/>
    <w:rsid w:val="00FA2AF1"/>
    <w:rsid w:val="00FA2BA2"/>
    <w:rsid w:val="00FA2FEF"/>
    <w:rsid w:val="00FA3566"/>
    <w:rsid w:val="00FA3FB0"/>
    <w:rsid w:val="00FA49B1"/>
    <w:rsid w:val="00FA4B46"/>
    <w:rsid w:val="00FA56DA"/>
    <w:rsid w:val="00FA57D1"/>
    <w:rsid w:val="00FA5A52"/>
    <w:rsid w:val="00FA5A66"/>
    <w:rsid w:val="00FA6553"/>
    <w:rsid w:val="00FA6655"/>
    <w:rsid w:val="00FA6878"/>
    <w:rsid w:val="00FA6BCC"/>
    <w:rsid w:val="00FA76E9"/>
    <w:rsid w:val="00FB0E7D"/>
    <w:rsid w:val="00FB14CE"/>
    <w:rsid w:val="00FB1DC2"/>
    <w:rsid w:val="00FB1F85"/>
    <w:rsid w:val="00FB2140"/>
    <w:rsid w:val="00FB225D"/>
    <w:rsid w:val="00FB255C"/>
    <w:rsid w:val="00FB36F4"/>
    <w:rsid w:val="00FB3819"/>
    <w:rsid w:val="00FB3D16"/>
    <w:rsid w:val="00FB3FE1"/>
    <w:rsid w:val="00FB414E"/>
    <w:rsid w:val="00FB42EC"/>
    <w:rsid w:val="00FB4DBD"/>
    <w:rsid w:val="00FB5356"/>
    <w:rsid w:val="00FB5BF6"/>
    <w:rsid w:val="00FB6751"/>
    <w:rsid w:val="00FB6D02"/>
    <w:rsid w:val="00FC05B9"/>
    <w:rsid w:val="00FC0A3A"/>
    <w:rsid w:val="00FC22CA"/>
    <w:rsid w:val="00FC279C"/>
    <w:rsid w:val="00FC2C00"/>
    <w:rsid w:val="00FC2E4D"/>
    <w:rsid w:val="00FC337F"/>
    <w:rsid w:val="00FC41EB"/>
    <w:rsid w:val="00FC5B24"/>
    <w:rsid w:val="00FC6240"/>
    <w:rsid w:val="00FC630A"/>
    <w:rsid w:val="00FC6F6B"/>
    <w:rsid w:val="00FC7344"/>
    <w:rsid w:val="00FC7CB6"/>
    <w:rsid w:val="00FD011A"/>
    <w:rsid w:val="00FD044A"/>
    <w:rsid w:val="00FD0ACA"/>
    <w:rsid w:val="00FD18AD"/>
    <w:rsid w:val="00FD25F8"/>
    <w:rsid w:val="00FD27C2"/>
    <w:rsid w:val="00FD288B"/>
    <w:rsid w:val="00FD40B4"/>
    <w:rsid w:val="00FD40DD"/>
    <w:rsid w:val="00FD6093"/>
    <w:rsid w:val="00FD615A"/>
    <w:rsid w:val="00FD6783"/>
    <w:rsid w:val="00FD6BA3"/>
    <w:rsid w:val="00FD7CCE"/>
    <w:rsid w:val="00FE1265"/>
    <w:rsid w:val="00FE165E"/>
    <w:rsid w:val="00FE17F5"/>
    <w:rsid w:val="00FE382D"/>
    <w:rsid w:val="00FE3DAE"/>
    <w:rsid w:val="00FE3F6D"/>
    <w:rsid w:val="00FE4337"/>
    <w:rsid w:val="00FE5461"/>
    <w:rsid w:val="00FE6F9D"/>
    <w:rsid w:val="00FE70E9"/>
    <w:rsid w:val="00FE7286"/>
    <w:rsid w:val="00FE7D16"/>
    <w:rsid w:val="00FF0219"/>
    <w:rsid w:val="00FF171D"/>
    <w:rsid w:val="00FF1C4E"/>
    <w:rsid w:val="00FF1F5E"/>
    <w:rsid w:val="00FF2AFB"/>
    <w:rsid w:val="00FF304C"/>
    <w:rsid w:val="00FF3392"/>
    <w:rsid w:val="00FF3422"/>
    <w:rsid w:val="00FF386D"/>
    <w:rsid w:val="00FF3FB6"/>
    <w:rsid w:val="00FF48F6"/>
    <w:rsid w:val="00FF50F0"/>
    <w:rsid w:val="00FF57BE"/>
    <w:rsid w:val="00FF5D3C"/>
    <w:rsid w:val="00FF62AA"/>
    <w:rsid w:val="00FF6832"/>
    <w:rsid w:val="00FF6DA7"/>
    <w:rsid w:val="00FF7132"/>
    <w:rsid w:val="00FF7940"/>
    <w:rsid w:val="00FF7A55"/>
    <w:rsid w:val="00FF7B33"/>
    <w:rsid w:val="00FF7CB7"/>
    <w:rsid w:val="00FF7F9E"/>
    <w:rsid w:val="01126A09"/>
    <w:rsid w:val="01451D5A"/>
    <w:rsid w:val="017B3B55"/>
    <w:rsid w:val="01A878AA"/>
    <w:rsid w:val="01CB6BC0"/>
    <w:rsid w:val="01CF32DE"/>
    <w:rsid w:val="020B0A19"/>
    <w:rsid w:val="020F3607"/>
    <w:rsid w:val="020F4475"/>
    <w:rsid w:val="021A09FD"/>
    <w:rsid w:val="023568F4"/>
    <w:rsid w:val="028C63CD"/>
    <w:rsid w:val="028D520E"/>
    <w:rsid w:val="02922C89"/>
    <w:rsid w:val="02BD4B27"/>
    <w:rsid w:val="03030C96"/>
    <w:rsid w:val="034B7FBB"/>
    <w:rsid w:val="03503073"/>
    <w:rsid w:val="035C36A5"/>
    <w:rsid w:val="037A1D45"/>
    <w:rsid w:val="03974570"/>
    <w:rsid w:val="03A717D9"/>
    <w:rsid w:val="03C50AD3"/>
    <w:rsid w:val="03E84B3C"/>
    <w:rsid w:val="043A4AC3"/>
    <w:rsid w:val="044530A5"/>
    <w:rsid w:val="04654503"/>
    <w:rsid w:val="04756E2F"/>
    <w:rsid w:val="04D26E9B"/>
    <w:rsid w:val="04E70360"/>
    <w:rsid w:val="051A1157"/>
    <w:rsid w:val="057E7745"/>
    <w:rsid w:val="05F267BD"/>
    <w:rsid w:val="06066C5E"/>
    <w:rsid w:val="061677B5"/>
    <w:rsid w:val="06316A2D"/>
    <w:rsid w:val="065621D8"/>
    <w:rsid w:val="06601AE1"/>
    <w:rsid w:val="06994B1A"/>
    <w:rsid w:val="0744651C"/>
    <w:rsid w:val="07CD5C4F"/>
    <w:rsid w:val="07E13D6B"/>
    <w:rsid w:val="08566507"/>
    <w:rsid w:val="08C00358"/>
    <w:rsid w:val="08C26F54"/>
    <w:rsid w:val="095C7B4D"/>
    <w:rsid w:val="0A431FD0"/>
    <w:rsid w:val="0A7D7D7B"/>
    <w:rsid w:val="0AAC436E"/>
    <w:rsid w:val="0AC46351"/>
    <w:rsid w:val="0AE31EB0"/>
    <w:rsid w:val="0AFC3A19"/>
    <w:rsid w:val="0B034BEB"/>
    <w:rsid w:val="0B171211"/>
    <w:rsid w:val="0B683431"/>
    <w:rsid w:val="0B7B6214"/>
    <w:rsid w:val="0B7B6855"/>
    <w:rsid w:val="0B851D74"/>
    <w:rsid w:val="0B8614EC"/>
    <w:rsid w:val="0BE72B13"/>
    <w:rsid w:val="0BED4F06"/>
    <w:rsid w:val="0C30577F"/>
    <w:rsid w:val="0C467B77"/>
    <w:rsid w:val="0C6103F4"/>
    <w:rsid w:val="0C711B61"/>
    <w:rsid w:val="0C7A1EE7"/>
    <w:rsid w:val="0C8A56A1"/>
    <w:rsid w:val="0C900581"/>
    <w:rsid w:val="0CB73E24"/>
    <w:rsid w:val="0D02124B"/>
    <w:rsid w:val="0D2026E6"/>
    <w:rsid w:val="0D4939EE"/>
    <w:rsid w:val="0D4A1410"/>
    <w:rsid w:val="0D605732"/>
    <w:rsid w:val="0D9F26AD"/>
    <w:rsid w:val="0DB4671B"/>
    <w:rsid w:val="0DC41BB8"/>
    <w:rsid w:val="0DC97E50"/>
    <w:rsid w:val="0DD66D35"/>
    <w:rsid w:val="0DD80054"/>
    <w:rsid w:val="0E157BF4"/>
    <w:rsid w:val="0E166D76"/>
    <w:rsid w:val="0EA86AE7"/>
    <w:rsid w:val="0EB83B53"/>
    <w:rsid w:val="0F484D8A"/>
    <w:rsid w:val="0F4C0664"/>
    <w:rsid w:val="0F6759A9"/>
    <w:rsid w:val="0F960F73"/>
    <w:rsid w:val="0FE80BDC"/>
    <w:rsid w:val="0FF1501A"/>
    <w:rsid w:val="0FFD684E"/>
    <w:rsid w:val="10100E8D"/>
    <w:rsid w:val="1011125F"/>
    <w:rsid w:val="101F7626"/>
    <w:rsid w:val="10525607"/>
    <w:rsid w:val="105C7506"/>
    <w:rsid w:val="105D4117"/>
    <w:rsid w:val="107078A0"/>
    <w:rsid w:val="10876A59"/>
    <w:rsid w:val="10BA4F1D"/>
    <w:rsid w:val="10D126B9"/>
    <w:rsid w:val="110F2204"/>
    <w:rsid w:val="113D5F5A"/>
    <w:rsid w:val="115D4B4F"/>
    <w:rsid w:val="11826C89"/>
    <w:rsid w:val="11854721"/>
    <w:rsid w:val="11BB35CF"/>
    <w:rsid w:val="11DD1A47"/>
    <w:rsid w:val="11E34B8A"/>
    <w:rsid w:val="129B1196"/>
    <w:rsid w:val="12C41171"/>
    <w:rsid w:val="13083D1E"/>
    <w:rsid w:val="13673754"/>
    <w:rsid w:val="13787989"/>
    <w:rsid w:val="13C50FE5"/>
    <w:rsid w:val="14002E09"/>
    <w:rsid w:val="14266E07"/>
    <w:rsid w:val="14522CC8"/>
    <w:rsid w:val="145A7396"/>
    <w:rsid w:val="151C713C"/>
    <w:rsid w:val="152F23A1"/>
    <w:rsid w:val="1552397E"/>
    <w:rsid w:val="15A24BF3"/>
    <w:rsid w:val="15B821C6"/>
    <w:rsid w:val="15D1306F"/>
    <w:rsid w:val="15F651A0"/>
    <w:rsid w:val="15F7011A"/>
    <w:rsid w:val="16226233"/>
    <w:rsid w:val="16873D30"/>
    <w:rsid w:val="16F8071E"/>
    <w:rsid w:val="1713796A"/>
    <w:rsid w:val="173C2D6C"/>
    <w:rsid w:val="17443475"/>
    <w:rsid w:val="178A0CCE"/>
    <w:rsid w:val="17B1746F"/>
    <w:rsid w:val="17E70526"/>
    <w:rsid w:val="18041ADC"/>
    <w:rsid w:val="18491FEC"/>
    <w:rsid w:val="18714176"/>
    <w:rsid w:val="18771D06"/>
    <w:rsid w:val="188319D2"/>
    <w:rsid w:val="18AE4242"/>
    <w:rsid w:val="18C915EF"/>
    <w:rsid w:val="19AA0461"/>
    <w:rsid w:val="1A210AEA"/>
    <w:rsid w:val="1A4D7B89"/>
    <w:rsid w:val="1A521ADE"/>
    <w:rsid w:val="1A84214D"/>
    <w:rsid w:val="1AB41E41"/>
    <w:rsid w:val="1B34092A"/>
    <w:rsid w:val="1B7C15D2"/>
    <w:rsid w:val="1B887676"/>
    <w:rsid w:val="1B903686"/>
    <w:rsid w:val="1BAD7F15"/>
    <w:rsid w:val="1BD619E1"/>
    <w:rsid w:val="1BF648BE"/>
    <w:rsid w:val="1C12114E"/>
    <w:rsid w:val="1C322A48"/>
    <w:rsid w:val="1C335AB9"/>
    <w:rsid w:val="1C4575B1"/>
    <w:rsid w:val="1C776FE6"/>
    <w:rsid w:val="1CEF79FF"/>
    <w:rsid w:val="1D5D1058"/>
    <w:rsid w:val="1DBF553B"/>
    <w:rsid w:val="1DC70DE4"/>
    <w:rsid w:val="1DE013BA"/>
    <w:rsid w:val="1DF846A2"/>
    <w:rsid w:val="1DFB7628"/>
    <w:rsid w:val="1E2B29CA"/>
    <w:rsid w:val="1E692455"/>
    <w:rsid w:val="1E7156C7"/>
    <w:rsid w:val="1F25093D"/>
    <w:rsid w:val="1F4C45EA"/>
    <w:rsid w:val="1F86727A"/>
    <w:rsid w:val="1F8C544E"/>
    <w:rsid w:val="1FA971E7"/>
    <w:rsid w:val="1FAC06F2"/>
    <w:rsid w:val="20121F81"/>
    <w:rsid w:val="201C7BDE"/>
    <w:rsid w:val="202772EB"/>
    <w:rsid w:val="205747C3"/>
    <w:rsid w:val="205A3F3C"/>
    <w:rsid w:val="20ED2699"/>
    <w:rsid w:val="20F55A5C"/>
    <w:rsid w:val="20FC3D05"/>
    <w:rsid w:val="20FC4056"/>
    <w:rsid w:val="21645399"/>
    <w:rsid w:val="2170147E"/>
    <w:rsid w:val="218E450E"/>
    <w:rsid w:val="21D36157"/>
    <w:rsid w:val="22030EEF"/>
    <w:rsid w:val="221A3B76"/>
    <w:rsid w:val="221E7C3E"/>
    <w:rsid w:val="222664A9"/>
    <w:rsid w:val="232703F4"/>
    <w:rsid w:val="236D4499"/>
    <w:rsid w:val="23704713"/>
    <w:rsid w:val="237869FA"/>
    <w:rsid w:val="23A34718"/>
    <w:rsid w:val="23E53576"/>
    <w:rsid w:val="24093386"/>
    <w:rsid w:val="245C19C3"/>
    <w:rsid w:val="24A51E45"/>
    <w:rsid w:val="24DB5224"/>
    <w:rsid w:val="251D4BA6"/>
    <w:rsid w:val="25320F92"/>
    <w:rsid w:val="25941596"/>
    <w:rsid w:val="25BF5294"/>
    <w:rsid w:val="25CE3AD4"/>
    <w:rsid w:val="25F97CD4"/>
    <w:rsid w:val="266E6319"/>
    <w:rsid w:val="26932ECC"/>
    <w:rsid w:val="269F29D0"/>
    <w:rsid w:val="26A91807"/>
    <w:rsid w:val="27316A88"/>
    <w:rsid w:val="273466BF"/>
    <w:rsid w:val="274B30E5"/>
    <w:rsid w:val="27A53288"/>
    <w:rsid w:val="28285A59"/>
    <w:rsid w:val="283625B9"/>
    <w:rsid w:val="287277FF"/>
    <w:rsid w:val="28B61F66"/>
    <w:rsid w:val="28C52EB3"/>
    <w:rsid w:val="28EC29C1"/>
    <w:rsid w:val="291435AD"/>
    <w:rsid w:val="291B6940"/>
    <w:rsid w:val="293767BE"/>
    <w:rsid w:val="296724BC"/>
    <w:rsid w:val="296F3B15"/>
    <w:rsid w:val="297946D9"/>
    <w:rsid w:val="298F0406"/>
    <w:rsid w:val="29994C07"/>
    <w:rsid w:val="29A41545"/>
    <w:rsid w:val="29A73CFB"/>
    <w:rsid w:val="29B2630E"/>
    <w:rsid w:val="29BF1648"/>
    <w:rsid w:val="29D6128B"/>
    <w:rsid w:val="29E84348"/>
    <w:rsid w:val="2A180B00"/>
    <w:rsid w:val="2A4E44C2"/>
    <w:rsid w:val="2A51285B"/>
    <w:rsid w:val="2A6F2FCA"/>
    <w:rsid w:val="2AD433A2"/>
    <w:rsid w:val="2AF60951"/>
    <w:rsid w:val="2B242A1C"/>
    <w:rsid w:val="2B3860EB"/>
    <w:rsid w:val="2B434637"/>
    <w:rsid w:val="2B465B0F"/>
    <w:rsid w:val="2BCE04FF"/>
    <w:rsid w:val="2C0D605A"/>
    <w:rsid w:val="2C5E4EB1"/>
    <w:rsid w:val="2C641339"/>
    <w:rsid w:val="2CCA7F6A"/>
    <w:rsid w:val="2D097FBC"/>
    <w:rsid w:val="2D626E3C"/>
    <w:rsid w:val="2D855015"/>
    <w:rsid w:val="2D9B7697"/>
    <w:rsid w:val="2DBF0596"/>
    <w:rsid w:val="2DD6238D"/>
    <w:rsid w:val="2E263A14"/>
    <w:rsid w:val="2EA95FA9"/>
    <w:rsid w:val="2EF37F15"/>
    <w:rsid w:val="2F833F4D"/>
    <w:rsid w:val="2F852A28"/>
    <w:rsid w:val="2F9F6555"/>
    <w:rsid w:val="300C557A"/>
    <w:rsid w:val="30944DEA"/>
    <w:rsid w:val="30A734F4"/>
    <w:rsid w:val="30F3231C"/>
    <w:rsid w:val="30FF6E8C"/>
    <w:rsid w:val="314F3DC3"/>
    <w:rsid w:val="317A1A8D"/>
    <w:rsid w:val="31BB28F5"/>
    <w:rsid w:val="31F833E6"/>
    <w:rsid w:val="31FF3DF3"/>
    <w:rsid w:val="321667BA"/>
    <w:rsid w:val="323976BC"/>
    <w:rsid w:val="324563C0"/>
    <w:rsid w:val="326008A9"/>
    <w:rsid w:val="329020B7"/>
    <w:rsid w:val="32CF3E0D"/>
    <w:rsid w:val="33217CDD"/>
    <w:rsid w:val="33233F4C"/>
    <w:rsid w:val="33743B62"/>
    <w:rsid w:val="33F15A11"/>
    <w:rsid w:val="34180991"/>
    <w:rsid w:val="3420424B"/>
    <w:rsid w:val="342F2C3E"/>
    <w:rsid w:val="343B642D"/>
    <w:rsid w:val="344E47A5"/>
    <w:rsid w:val="346129D0"/>
    <w:rsid w:val="34692EE7"/>
    <w:rsid w:val="348A2B2D"/>
    <w:rsid w:val="34980A19"/>
    <w:rsid w:val="349C0611"/>
    <w:rsid w:val="34B56197"/>
    <w:rsid w:val="34C74B92"/>
    <w:rsid w:val="34E04E9A"/>
    <w:rsid w:val="34F93A2F"/>
    <w:rsid w:val="35115D60"/>
    <w:rsid w:val="3517288A"/>
    <w:rsid w:val="35173CA5"/>
    <w:rsid w:val="352D054A"/>
    <w:rsid w:val="352F7D4E"/>
    <w:rsid w:val="353C6B57"/>
    <w:rsid w:val="356545F8"/>
    <w:rsid w:val="3587507F"/>
    <w:rsid w:val="35AB75E3"/>
    <w:rsid w:val="35B37D3E"/>
    <w:rsid w:val="35E219C2"/>
    <w:rsid w:val="36016B27"/>
    <w:rsid w:val="3605500B"/>
    <w:rsid w:val="36CC4EF1"/>
    <w:rsid w:val="377F2007"/>
    <w:rsid w:val="37B54F1D"/>
    <w:rsid w:val="37BF2ED1"/>
    <w:rsid w:val="37DB29A5"/>
    <w:rsid w:val="380032AF"/>
    <w:rsid w:val="38077D42"/>
    <w:rsid w:val="38113CA9"/>
    <w:rsid w:val="38251F80"/>
    <w:rsid w:val="384E0CCA"/>
    <w:rsid w:val="38801055"/>
    <w:rsid w:val="38AD69D7"/>
    <w:rsid w:val="38BE008C"/>
    <w:rsid w:val="38D44B02"/>
    <w:rsid w:val="38EC1C9F"/>
    <w:rsid w:val="3949196E"/>
    <w:rsid w:val="395B3457"/>
    <w:rsid w:val="39734D04"/>
    <w:rsid w:val="3A36729D"/>
    <w:rsid w:val="3A950F30"/>
    <w:rsid w:val="3AAC3357"/>
    <w:rsid w:val="3AD62A0C"/>
    <w:rsid w:val="3B325B3F"/>
    <w:rsid w:val="3B44013E"/>
    <w:rsid w:val="3B6447A2"/>
    <w:rsid w:val="3B8600B0"/>
    <w:rsid w:val="3BC22A6D"/>
    <w:rsid w:val="3CD97F13"/>
    <w:rsid w:val="3CF831AE"/>
    <w:rsid w:val="3CF92E73"/>
    <w:rsid w:val="3D232155"/>
    <w:rsid w:val="3D4A7315"/>
    <w:rsid w:val="3D4C3E49"/>
    <w:rsid w:val="3D6F539B"/>
    <w:rsid w:val="3D97782C"/>
    <w:rsid w:val="3DB06B7F"/>
    <w:rsid w:val="3DC060ED"/>
    <w:rsid w:val="3E1B172C"/>
    <w:rsid w:val="3E443745"/>
    <w:rsid w:val="3E9E06F2"/>
    <w:rsid w:val="3F1449AB"/>
    <w:rsid w:val="3F5E5E13"/>
    <w:rsid w:val="3FBE74C6"/>
    <w:rsid w:val="3FCE474E"/>
    <w:rsid w:val="3FF86F54"/>
    <w:rsid w:val="3FFD1724"/>
    <w:rsid w:val="404A3D50"/>
    <w:rsid w:val="40796687"/>
    <w:rsid w:val="407C4F7A"/>
    <w:rsid w:val="40AC2933"/>
    <w:rsid w:val="40D52C14"/>
    <w:rsid w:val="40FB09E9"/>
    <w:rsid w:val="411222C5"/>
    <w:rsid w:val="413E5C67"/>
    <w:rsid w:val="414954A9"/>
    <w:rsid w:val="414A5BFB"/>
    <w:rsid w:val="416A0D3E"/>
    <w:rsid w:val="418A27A2"/>
    <w:rsid w:val="418D2DB7"/>
    <w:rsid w:val="41C4067A"/>
    <w:rsid w:val="41DF1065"/>
    <w:rsid w:val="41F0404C"/>
    <w:rsid w:val="422F10E9"/>
    <w:rsid w:val="425F5348"/>
    <w:rsid w:val="42A15FF5"/>
    <w:rsid w:val="42A653BA"/>
    <w:rsid w:val="42AE16CD"/>
    <w:rsid w:val="42C8072C"/>
    <w:rsid w:val="42DD13E9"/>
    <w:rsid w:val="42FC1B9C"/>
    <w:rsid w:val="43232315"/>
    <w:rsid w:val="43460265"/>
    <w:rsid w:val="436B519B"/>
    <w:rsid w:val="438D3CFB"/>
    <w:rsid w:val="44073A06"/>
    <w:rsid w:val="44331877"/>
    <w:rsid w:val="44334A30"/>
    <w:rsid w:val="444D3EC4"/>
    <w:rsid w:val="44703ED1"/>
    <w:rsid w:val="447242BC"/>
    <w:rsid w:val="44CD16F7"/>
    <w:rsid w:val="44D1457F"/>
    <w:rsid w:val="44F93EC7"/>
    <w:rsid w:val="451475A1"/>
    <w:rsid w:val="453D39E2"/>
    <w:rsid w:val="45A864DE"/>
    <w:rsid w:val="45D348FB"/>
    <w:rsid w:val="45DB67BB"/>
    <w:rsid w:val="4603370C"/>
    <w:rsid w:val="46084EAD"/>
    <w:rsid w:val="461F1DB7"/>
    <w:rsid w:val="46905BB4"/>
    <w:rsid w:val="46983CD5"/>
    <w:rsid w:val="46E41891"/>
    <w:rsid w:val="46E826CA"/>
    <w:rsid w:val="46ED6FF4"/>
    <w:rsid w:val="4737332D"/>
    <w:rsid w:val="475F3AF7"/>
    <w:rsid w:val="47606B2C"/>
    <w:rsid w:val="477E1EEB"/>
    <w:rsid w:val="477F3DD7"/>
    <w:rsid w:val="478B55EF"/>
    <w:rsid w:val="47C3738B"/>
    <w:rsid w:val="47F22222"/>
    <w:rsid w:val="48064572"/>
    <w:rsid w:val="482D1178"/>
    <w:rsid w:val="482F0407"/>
    <w:rsid w:val="48335942"/>
    <w:rsid w:val="4847005A"/>
    <w:rsid w:val="4849173C"/>
    <w:rsid w:val="489E0EC9"/>
    <w:rsid w:val="48D74D08"/>
    <w:rsid w:val="48EB4CD4"/>
    <w:rsid w:val="48F27EA1"/>
    <w:rsid w:val="48FA0E4C"/>
    <w:rsid w:val="492B30FB"/>
    <w:rsid w:val="492B470A"/>
    <w:rsid w:val="493A69AC"/>
    <w:rsid w:val="496E565C"/>
    <w:rsid w:val="49AB1EE1"/>
    <w:rsid w:val="49C625BE"/>
    <w:rsid w:val="49F21B88"/>
    <w:rsid w:val="4A183041"/>
    <w:rsid w:val="4A1A5872"/>
    <w:rsid w:val="4A2B71C0"/>
    <w:rsid w:val="4A8F7C01"/>
    <w:rsid w:val="4A934476"/>
    <w:rsid w:val="4AB94329"/>
    <w:rsid w:val="4ADB01BD"/>
    <w:rsid w:val="4B2C0426"/>
    <w:rsid w:val="4B30525B"/>
    <w:rsid w:val="4B434C39"/>
    <w:rsid w:val="4B487F70"/>
    <w:rsid w:val="4B9C7D66"/>
    <w:rsid w:val="4BA847B5"/>
    <w:rsid w:val="4BEA61CA"/>
    <w:rsid w:val="4BF00852"/>
    <w:rsid w:val="4C5337F6"/>
    <w:rsid w:val="4C5842FC"/>
    <w:rsid w:val="4C713304"/>
    <w:rsid w:val="4CBB58A3"/>
    <w:rsid w:val="4CC95559"/>
    <w:rsid w:val="4D3430C2"/>
    <w:rsid w:val="4D4D08EC"/>
    <w:rsid w:val="4D911DD9"/>
    <w:rsid w:val="4DA44A9D"/>
    <w:rsid w:val="4E0137E7"/>
    <w:rsid w:val="4E2421D1"/>
    <w:rsid w:val="4E5C54C6"/>
    <w:rsid w:val="4E89350F"/>
    <w:rsid w:val="4E8A517F"/>
    <w:rsid w:val="4E9D211F"/>
    <w:rsid w:val="4E9F3F40"/>
    <w:rsid w:val="4EA47BDA"/>
    <w:rsid w:val="4F416B96"/>
    <w:rsid w:val="4F470A63"/>
    <w:rsid w:val="4F4835BC"/>
    <w:rsid w:val="4F4D56CB"/>
    <w:rsid w:val="4F592C46"/>
    <w:rsid w:val="4FBD7D50"/>
    <w:rsid w:val="4FFB7CBC"/>
    <w:rsid w:val="501538AD"/>
    <w:rsid w:val="50725BD5"/>
    <w:rsid w:val="50EE6A2D"/>
    <w:rsid w:val="51641800"/>
    <w:rsid w:val="51642EDC"/>
    <w:rsid w:val="517A02A4"/>
    <w:rsid w:val="517A5970"/>
    <w:rsid w:val="518024EB"/>
    <w:rsid w:val="51A31A81"/>
    <w:rsid w:val="51BD660D"/>
    <w:rsid w:val="52285024"/>
    <w:rsid w:val="522E4956"/>
    <w:rsid w:val="52C759FF"/>
    <w:rsid w:val="52FF79F0"/>
    <w:rsid w:val="53562B68"/>
    <w:rsid w:val="538058B8"/>
    <w:rsid w:val="53805C90"/>
    <w:rsid w:val="53A17D61"/>
    <w:rsid w:val="53CB01D8"/>
    <w:rsid w:val="5412739C"/>
    <w:rsid w:val="544C0533"/>
    <w:rsid w:val="54624CA8"/>
    <w:rsid w:val="54925AAA"/>
    <w:rsid w:val="54D66DCF"/>
    <w:rsid w:val="54DB59FD"/>
    <w:rsid w:val="54EA2661"/>
    <w:rsid w:val="54F5082C"/>
    <w:rsid w:val="550D6993"/>
    <w:rsid w:val="55366CD4"/>
    <w:rsid w:val="555B0F8B"/>
    <w:rsid w:val="559C353C"/>
    <w:rsid w:val="56290F31"/>
    <w:rsid w:val="56651E73"/>
    <w:rsid w:val="566F0A21"/>
    <w:rsid w:val="567710EF"/>
    <w:rsid w:val="567A6E1F"/>
    <w:rsid w:val="567C6AE3"/>
    <w:rsid w:val="569F0919"/>
    <w:rsid w:val="57064221"/>
    <w:rsid w:val="576256CF"/>
    <w:rsid w:val="57977825"/>
    <w:rsid w:val="579E2D2B"/>
    <w:rsid w:val="57A537E6"/>
    <w:rsid w:val="57A63077"/>
    <w:rsid w:val="57B81079"/>
    <w:rsid w:val="57D415D7"/>
    <w:rsid w:val="57E45513"/>
    <w:rsid w:val="580E6DE2"/>
    <w:rsid w:val="582136D1"/>
    <w:rsid w:val="58627B7D"/>
    <w:rsid w:val="58743095"/>
    <w:rsid w:val="58751556"/>
    <w:rsid w:val="58D2214D"/>
    <w:rsid w:val="58E460CF"/>
    <w:rsid w:val="591967A9"/>
    <w:rsid w:val="593C03CE"/>
    <w:rsid w:val="594F1EAF"/>
    <w:rsid w:val="59D80FB6"/>
    <w:rsid w:val="5A4748C2"/>
    <w:rsid w:val="5A4C3116"/>
    <w:rsid w:val="5A767178"/>
    <w:rsid w:val="5A7C5607"/>
    <w:rsid w:val="5AAA2D95"/>
    <w:rsid w:val="5AC41690"/>
    <w:rsid w:val="5B1B1D6A"/>
    <w:rsid w:val="5B461655"/>
    <w:rsid w:val="5B5B67E0"/>
    <w:rsid w:val="5B6F43DA"/>
    <w:rsid w:val="5BAE47AA"/>
    <w:rsid w:val="5BC21A70"/>
    <w:rsid w:val="5BFB5C39"/>
    <w:rsid w:val="5C0659D6"/>
    <w:rsid w:val="5C3D10CB"/>
    <w:rsid w:val="5C4D4411"/>
    <w:rsid w:val="5C705116"/>
    <w:rsid w:val="5C7C180C"/>
    <w:rsid w:val="5C9E5FAB"/>
    <w:rsid w:val="5D0D4BFA"/>
    <w:rsid w:val="5D2E6280"/>
    <w:rsid w:val="5D502D8C"/>
    <w:rsid w:val="5D7A14C5"/>
    <w:rsid w:val="5E4B0354"/>
    <w:rsid w:val="5E667C0D"/>
    <w:rsid w:val="5E7D126D"/>
    <w:rsid w:val="5E8D5D8F"/>
    <w:rsid w:val="5EB554C1"/>
    <w:rsid w:val="5F444B8E"/>
    <w:rsid w:val="5F4B5D8A"/>
    <w:rsid w:val="5F7316DF"/>
    <w:rsid w:val="5F8346CC"/>
    <w:rsid w:val="5FB431FD"/>
    <w:rsid w:val="5FBF69CE"/>
    <w:rsid w:val="5FCF586B"/>
    <w:rsid w:val="600414C2"/>
    <w:rsid w:val="60123C37"/>
    <w:rsid w:val="60592FC6"/>
    <w:rsid w:val="60FC1C88"/>
    <w:rsid w:val="61072A6E"/>
    <w:rsid w:val="61143DA8"/>
    <w:rsid w:val="61356638"/>
    <w:rsid w:val="61483DB4"/>
    <w:rsid w:val="615F7A8E"/>
    <w:rsid w:val="61720E31"/>
    <w:rsid w:val="618971D2"/>
    <w:rsid w:val="619B31C5"/>
    <w:rsid w:val="61BB3EF2"/>
    <w:rsid w:val="61F05E16"/>
    <w:rsid w:val="61F14480"/>
    <w:rsid w:val="61FC6655"/>
    <w:rsid w:val="625A3F35"/>
    <w:rsid w:val="62CA4F29"/>
    <w:rsid w:val="62E31522"/>
    <w:rsid w:val="62E4501E"/>
    <w:rsid w:val="62FF4F07"/>
    <w:rsid w:val="63290322"/>
    <w:rsid w:val="632C7EDA"/>
    <w:rsid w:val="63767362"/>
    <w:rsid w:val="645111D2"/>
    <w:rsid w:val="645779AB"/>
    <w:rsid w:val="64662E85"/>
    <w:rsid w:val="64923598"/>
    <w:rsid w:val="64ED07CF"/>
    <w:rsid w:val="64EE11FD"/>
    <w:rsid w:val="652B7EF0"/>
    <w:rsid w:val="65632DB7"/>
    <w:rsid w:val="6586269A"/>
    <w:rsid w:val="659D3FA3"/>
    <w:rsid w:val="65AA358D"/>
    <w:rsid w:val="65C95A90"/>
    <w:rsid w:val="65CC1012"/>
    <w:rsid w:val="65CC6EC2"/>
    <w:rsid w:val="65FF5425"/>
    <w:rsid w:val="66255FBF"/>
    <w:rsid w:val="66327856"/>
    <w:rsid w:val="664C59C7"/>
    <w:rsid w:val="666305B8"/>
    <w:rsid w:val="6696734F"/>
    <w:rsid w:val="66D9725C"/>
    <w:rsid w:val="67041093"/>
    <w:rsid w:val="67132F5B"/>
    <w:rsid w:val="676A0458"/>
    <w:rsid w:val="678E669C"/>
    <w:rsid w:val="67B342FA"/>
    <w:rsid w:val="67DA120A"/>
    <w:rsid w:val="67E74F99"/>
    <w:rsid w:val="67F9337F"/>
    <w:rsid w:val="6848708D"/>
    <w:rsid w:val="684F5E9F"/>
    <w:rsid w:val="686E380E"/>
    <w:rsid w:val="68EA4FE6"/>
    <w:rsid w:val="692831AF"/>
    <w:rsid w:val="692E43BC"/>
    <w:rsid w:val="69331AD8"/>
    <w:rsid w:val="69C33D10"/>
    <w:rsid w:val="69DD7064"/>
    <w:rsid w:val="69E13922"/>
    <w:rsid w:val="69F25317"/>
    <w:rsid w:val="6A137EA0"/>
    <w:rsid w:val="6A7055FB"/>
    <w:rsid w:val="6A836A4E"/>
    <w:rsid w:val="6A860390"/>
    <w:rsid w:val="6A9515C6"/>
    <w:rsid w:val="6A9734F1"/>
    <w:rsid w:val="6AA057EC"/>
    <w:rsid w:val="6B080A49"/>
    <w:rsid w:val="6B0F75F0"/>
    <w:rsid w:val="6B14353C"/>
    <w:rsid w:val="6B2B0FAC"/>
    <w:rsid w:val="6B4F3935"/>
    <w:rsid w:val="6B52495B"/>
    <w:rsid w:val="6B70632E"/>
    <w:rsid w:val="6BCB7ABB"/>
    <w:rsid w:val="6BEF7F81"/>
    <w:rsid w:val="6BF8154F"/>
    <w:rsid w:val="6BFE6C2D"/>
    <w:rsid w:val="6C343791"/>
    <w:rsid w:val="6C4C0BDA"/>
    <w:rsid w:val="6C4E6374"/>
    <w:rsid w:val="6C9D7EB8"/>
    <w:rsid w:val="6CD217D9"/>
    <w:rsid w:val="6CE95D1F"/>
    <w:rsid w:val="6D0E517D"/>
    <w:rsid w:val="6D3D65F0"/>
    <w:rsid w:val="6D795C74"/>
    <w:rsid w:val="6DBB4CB9"/>
    <w:rsid w:val="6DE17B6E"/>
    <w:rsid w:val="6E1947DF"/>
    <w:rsid w:val="6E61533E"/>
    <w:rsid w:val="6EF233C1"/>
    <w:rsid w:val="6EFC61DE"/>
    <w:rsid w:val="6F1E31FC"/>
    <w:rsid w:val="6F8D1C46"/>
    <w:rsid w:val="6F8E6713"/>
    <w:rsid w:val="6FAE4FF0"/>
    <w:rsid w:val="6FDC5678"/>
    <w:rsid w:val="6FF87E10"/>
    <w:rsid w:val="702C664F"/>
    <w:rsid w:val="70490379"/>
    <w:rsid w:val="706A3B82"/>
    <w:rsid w:val="70886136"/>
    <w:rsid w:val="709C210A"/>
    <w:rsid w:val="70D017B3"/>
    <w:rsid w:val="70E17742"/>
    <w:rsid w:val="711364DA"/>
    <w:rsid w:val="712B1BC6"/>
    <w:rsid w:val="71464D28"/>
    <w:rsid w:val="7165431E"/>
    <w:rsid w:val="717E5C14"/>
    <w:rsid w:val="718C67DA"/>
    <w:rsid w:val="719459D5"/>
    <w:rsid w:val="72387430"/>
    <w:rsid w:val="72B4450F"/>
    <w:rsid w:val="72ED50C3"/>
    <w:rsid w:val="732D27E0"/>
    <w:rsid w:val="73521C70"/>
    <w:rsid w:val="737A5923"/>
    <w:rsid w:val="73975328"/>
    <w:rsid w:val="73C810E6"/>
    <w:rsid w:val="73E27629"/>
    <w:rsid w:val="74365CEE"/>
    <w:rsid w:val="74520DE6"/>
    <w:rsid w:val="74535BCE"/>
    <w:rsid w:val="749B1FF5"/>
    <w:rsid w:val="74B56940"/>
    <w:rsid w:val="74E5472D"/>
    <w:rsid w:val="75635D41"/>
    <w:rsid w:val="758B4C18"/>
    <w:rsid w:val="758E2F80"/>
    <w:rsid w:val="75914F29"/>
    <w:rsid w:val="75DF11E2"/>
    <w:rsid w:val="761C33B6"/>
    <w:rsid w:val="7627187F"/>
    <w:rsid w:val="76417A5E"/>
    <w:rsid w:val="76961786"/>
    <w:rsid w:val="76A33953"/>
    <w:rsid w:val="76A40C78"/>
    <w:rsid w:val="76D17F50"/>
    <w:rsid w:val="76D84AD1"/>
    <w:rsid w:val="76E726D3"/>
    <w:rsid w:val="76FB51D5"/>
    <w:rsid w:val="7743486E"/>
    <w:rsid w:val="774C75D7"/>
    <w:rsid w:val="77594322"/>
    <w:rsid w:val="776A5CA6"/>
    <w:rsid w:val="77781645"/>
    <w:rsid w:val="77D84215"/>
    <w:rsid w:val="77EB2679"/>
    <w:rsid w:val="77F75050"/>
    <w:rsid w:val="781B2F2A"/>
    <w:rsid w:val="782948D2"/>
    <w:rsid w:val="78554AD0"/>
    <w:rsid w:val="788D7EA7"/>
    <w:rsid w:val="78902BE4"/>
    <w:rsid w:val="78A84524"/>
    <w:rsid w:val="78AA5B6E"/>
    <w:rsid w:val="78C85507"/>
    <w:rsid w:val="790D03AA"/>
    <w:rsid w:val="791049CF"/>
    <w:rsid w:val="791E6B02"/>
    <w:rsid w:val="794F138A"/>
    <w:rsid w:val="79C515B9"/>
    <w:rsid w:val="79CA229B"/>
    <w:rsid w:val="79E8212F"/>
    <w:rsid w:val="7A037371"/>
    <w:rsid w:val="7A4B2969"/>
    <w:rsid w:val="7B201ECE"/>
    <w:rsid w:val="7B251F85"/>
    <w:rsid w:val="7BA26CA1"/>
    <w:rsid w:val="7BEF7E24"/>
    <w:rsid w:val="7C0E04A3"/>
    <w:rsid w:val="7C0E2898"/>
    <w:rsid w:val="7C3319AD"/>
    <w:rsid w:val="7C527E93"/>
    <w:rsid w:val="7C5B0876"/>
    <w:rsid w:val="7C6C0E45"/>
    <w:rsid w:val="7C760BFA"/>
    <w:rsid w:val="7CB07596"/>
    <w:rsid w:val="7CB5445C"/>
    <w:rsid w:val="7CDC13FD"/>
    <w:rsid w:val="7D3346AC"/>
    <w:rsid w:val="7D40373A"/>
    <w:rsid w:val="7D9E29BE"/>
    <w:rsid w:val="7DC316EB"/>
    <w:rsid w:val="7DCD5E4E"/>
    <w:rsid w:val="7DEB13D7"/>
    <w:rsid w:val="7DEC38C1"/>
    <w:rsid w:val="7E175BEE"/>
    <w:rsid w:val="7E30577F"/>
    <w:rsid w:val="7E435EEE"/>
    <w:rsid w:val="7E97572C"/>
    <w:rsid w:val="7EA97A6D"/>
    <w:rsid w:val="7EE10862"/>
    <w:rsid w:val="7EEC3D2D"/>
    <w:rsid w:val="7EF42A2E"/>
    <w:rsid w:val="7F074197"/>
    <w:rsid w:val="7F3B44C9"/>
    <w:rsid w:val="7F51681B"/>
    <w:rsid w:val="7F565496"/>
    <w:rsid w:val="7FB945FA"/>
    <w:rsid w:val="7FDC04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4"/>
    <w:autoRedefine/>
    <w:qFormat/>
    <w:uiPriority w:val="9"/>
    <w:pPr>
      <w:keepNext/>
      <w:keepLines/>
      <w:spacing w:before="340" w:after="330" w:line="576" w:lineRule="auto"/>
      <w:outlineLvl w:val="0"/>
    </w:pPr>
    <w:rPr>
      <w:b/>
      <w:kern w:val="44"/>
      <w:sz w:val="44"/>
      <w:szCs w:val="20"/>
    </w:rPr>
  </w:style>
  <w:style w:type="paragraph" w:styleId="4">
    <w:name w:val="heading 2"/>
    <w:basedOn w:val="1"/>
    <w:next w:val="1"/>
    <w:link w:val="115"/>
    <w:autoRedefine/>
    <w:qFormat/>
    <w:uiPriority w:val="0"/>
    <w:pPr>
      <w:keepNext/>
      <w:keepLines/>
      <w:tabs>
        <w:tab w:val="left" w:pos="1276"/>
      </w:tabs>
      <w:adjustRightInd w:val="0"/>
      <w:spacing w:before="100" w:after="100" w:line="360" w:lineRule="auto"/>
      <w:ind w:left="851"/>
      <w:jc w:val="left"/>
      <w:textAlignment w:val="baseline"/>
      <w:outlineLvl w:val="1"/>
    </w:pPr>
    <w:rPr>
      <w:rFonts w:ascii="Arial" w:hAnsi="Arial" w:eastAsia="黑体"/>
      <w:b/>
      <w:sz w:val="28"/>
      <w:szCs w:val="20"/>
    </w:rPr>
  </w:style>
  <w:style w:type="paragraph" w:styleId="5">
    <w:name w:val="heading 3"/>
    <w:basedOn w:val="1"/>
    <w:next w:val="1"/>
    <w:link w:val="116"/>
    <w:autoRedefine/>
    <w:unhideWhenUsed/>
    <w:qFormat/>
    <w:uiPriority w:val="0"/>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6">
    <w:name w:val="heading 4"/>
    <w:basedOn w:val="1"/>
    <w:next w:val="1"/>
    <w:link w:val="117"/>
    <w:autoRedefine/>
    <w:qFormat/>
    <w:uiPriority w:val="9"/>
    <w:pPr>
      <w:keepNext/>
      <w:keepLines/>
      <w:tabs>
        <w:tab w:val="left" w:pos="2976"/>
      </w:tabs>
      <w:spacing w:before="280" w:after="290" w:line="376" w:lineRule="auto"/>
      <w:ind w:left="2551"/>
      <w:outlineLvl w:val="3"/>
    </w:pPr>
    <w:rPr>
      <w:rFonts w:ascii="Arial" w:hAnsi="Arial" w:eastAsia="黑体"/>
      <w:b/>
      <w:bCs/>
      <w:sz w:val="28"/>
      <w:szCs w:val="28"/>
    </w:rPr>
  </w:style>
  <w:style w:type="paragraph" w:styleId="7">
    <w:name w:val="heading 5"/>
    <w:basedOn w:val="1"/>
    <w:next w:val="1"/>
    <w:link w:val="118"/>
    <w:autoRedefine/>
    <w:qFormat/>
    <w:uiPriority w:val="0"/>
    <w:pPr>
      <w:keepNext/>
      <w:keepLines/>
      <w:tabs>
        <w:tab w:val="left" w:pos="3827"/>
      </w:tabs>
      <w:spacing w:before="280" w:after="290" w:line="376" w:lineRule="auto"/>
      <w:ind w:left="3402"/>
      <w:outlineLvl w:val="4"/>
    </w:pPr>
    <w:rPr>
      <w:b/>
      <w:bCs/>
      <w:sz w:val="28"/>
      <w:szCs w:val="28"/>
    </w:rPr>
  </w:style>
  <w:style w:type="paragraph" w:styleId="8">
    <w:name w:val="heading 6"/>
    <w:basedOn w:val="1"/>
    <w:next w:val="1"/>
    <w:link w:val="119"/>
    <w:autoRedefine/>
    <w:qFormat/>
    <w:uiPriority w:val="0"/>
    <w:pPr>
      <w:keepNext/>
      <w:keepLines/>
      <w:tabs>
        <w:tab w:val="left" w:pos="4677"/>
      </w:tabs>
      <w:spacing w:before="240" w:after="64" w:line="320" w:lineRule="auto"/>
      <w:ind w:left="4252"/>
      <w:outlineLvl w:val="5"/>
    </w:pPr>
    <w:rPr>
      <w:rFonts w:ascii="Arial" w:hAnsi="Arial" w:eastAsia="黑体"/>
      <w:b/>
      <w:bCs/>
      <w:sz w:val="24"/>
    </w:rPr>
  </w:style>
  <w:style w:type="paragraph" w:styleId="9">
    <w:name w:val="heading 7"/>
    <w:basedOn w:val="1"/>
    <w:next w:val="1"/>
    <w:link w:val="120"/>
    <w:autoRedefine/>
    <w:qFormat/>
    <w:uiPriority w:val="0"/>
    <w:pPr>
      <w:keepNext/>
      <w:keepLines/>
      <w:tabs>
        <w:tab w:val="left" w:pos="5528"/>
      </w:tabs>
      <w:spacing w:before="240" w:after="64" w:line="320" w:lineRule="auto"/>
      <w:ind w:left="5102"/>
      <w:outlineLvl w:val="6"/>
    </w:pPr>
    <w:rPr>
      <w:b/>
      <w:bCs/>
      <w:sz w:val="24"/>
    </w:rPr>
  </w:style>
  <w:style w:type="paragraph" w:styleId="10">
    <w:name w:val="heading 8"/>
    <w:basedOn w:val="1"/>
    <w:next w:val="1"/>
    <w:link w:val="121"/>
    <w:autoRedefine/>
    <w:qFormat/>
    <w:uiPriority w:val="0"/>
    <w:pPr>
      <w:keepNext/>
      <w:keepLines/>
      <w:tabs>
        <w:tab w:val="left" w:pos="6378"/>
      </w:tabs>
      <w:spacing w:before="240" w:after="64" w:line="320" w:lineRule="auto"/>
      <w:ind w:left="5953"/>
      <w:outlineLvl w:val="7"/>
    </w:pPr>
    <w:rPr>
      <w:rFonts w:ascii="Arial" w:hAnsi="Arial" w:eastAsia="黑体"/>
      <w:sz w:val="24"/>
    </w:rPr>
  </w:style>
  <w:style w:type="paragraph" w:styleId="11">
    <w:name w:val="heading 9"/>
    <w:basedOn w:val="1"/>
    <w:next w:val="1"/>
    <w:link w:val="122"/>
    <w:autoRedefine/>
    <w:qFormat/>
    <w:uiPriority w:val="0"/>
    <w:pPr>
      <w:keepNext/>
      <w:keepLines/>
      <w:tabs>
        <w:tab w:val="left" w:pos="7228"/>
      </w:tabs>
      <w:spacing w:before="240" w:after="64" w:line="320" w:lineRule="auto"/>
      <w:ind w:left="6803"/>
      <w:outlineLvl w:val="8"/>
    </w:pPr>
    <w:rPr>
      <w:rFonts w:ascii="Arial" w:hAnsi="Arial" w:eastAsia="黑体"/>
      <w:szCs w:val="21"/>
    </w:rPr>
  </w:style>
  <w:style w:type="character" w:default="1" w:styleId="94">
    <w:name w:val="Default Paragraph Font"/>
    <w:autoRedefine/>
    <w:semiHidden/>
    <w:unhideWhenUsed/>
    <w:qFormat/>
    <w:uiPriority w:val="1"/>
  </w:style>
  <w:style w:type="table" w:default="1" w:styleId="89">
    <w:name w:val="Normal Table"/>
    <w:autoRedefine/>
    <w:semiHidden/>
    <w:unhideWhenUsed/>
    <w:qFormat/>
    <w:uiPriority w:val="99"/>
    <w:tblPr>
      <w:tblCellMar>
        <w:top w:w="0" w:type="dxa"/>
        <w:left w:w="108" w:type="dxa"/>
        <w:bottom w:w="0" w:type="dxa"/>
        <w:right w:w="108" w:type="dxa"/>
      </w:tblCellMar>
    </w:tblPr>
  </w:style>
  <w:style w:type="paragraph" w:styleId="2">
    <w:name w:val="macro"/>
    <w:link w:val="123"/>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601"/>
      <w:textAlignment w:val="baseline"/>
    </w:pPr>
    <w:rPr>
      <w:rFonts w:ascii="Courier New" w:hAnsi="Courier New" w:eastAsia="Times New Roman" w:cs="Courier New"/>
      <w:spacing w:val="8"/>
      <w:sz w:val="24"/>
      <w:szCs w:val="24"/>
      <w:lang w:val="en-US" w:eastAsia="zh-CN" w:bidi="ar-SA"/>
    </w:rPr>
  </w:style>
  <w:style w:type="paragraph" w:styleId="12">
    <w:name w:val="List 3"/>
    <w:basedOn w:val="1"/>
    <w:autoRedefine/>
    <w:qFormat/>
    <w:uiPriority w:val="0"/>
    <w:pPr>
      <w:adjustRightInd w:val="0"/>
      <w:spacing w:line="400" w:lineRule="exact"/>
      <w:ind w:left="100" w:leftChars="400" w:hanging="200" w:hangingChars="200"/>
      <w:textAlignment w:val="baseline"/>
    </w:pPr>
    <w:rPr>
      <w:rFonts w:ascii="宋体"/>
      <w:spacing w:val="30"/>
      <w:kern w:val="0"/>
      <w:sz w:val="24"/>
      <w:szCs w:val="20"/>
    </w:rPr>
  </w:style>
  <w:style w:type="paragraph" w:styleId="13">
    <w:name w:val="toc 7"/>
    <w:basedOn w:val="1"/>
    <w:next w:val="1"/>
    <w:autoRedefine/>
    <w:qFormat/>
    <w:uiPriority w:val="39"/>
    <w:pPr>
      <w:jc w:val="left"/>
    </w:pPr>
    <w:rPr>
      <w:sz w:val="22"/>
      <w:szCs w:val="22"/>
    </w:rPr>
  </w:style>
  <w:style w:type="paragraph" w:styleId="14">
    <w:name w:val="List Number 2"/>
    <w:basedOn w:val="1"/>
    <w:autoRedefine/>
    <w:qFormat/>
    <w:uiPriority w:val="0"/>
    <w:pPr>
      <w:tabs>
        <w:tab w:val="left" w:pos="780"/>
        <w:tab w:val="left" w:pos="948"/>
      </w:tabs>
      <w:adjustRightInd w:val="0"/>
      <w:spacing w:line="400" w:lineRule="exact"/>
      <w:ind w:left="948" w:hanging="312"/>
      <w:textAlignment w:val="baseline"/>
    </w:pPr>
    <w:rPr>
      <w:rFonts w:ascii="宋体"/>
      <w:spacing w:val="30"/>
      <w:kern w:val="0"/>
      <w:sz w:val="24"/>
      <w:szCs w:val="20"/>
    </w:rPr>
  </w:style>
  <w:style w:type="paragraph" w:styleId="15">
    <w:name w:val="table of authorities"/>
    <w:basedOn w:val="1"/>
    <w:next w:val="1"/>
    <w:autoRedefine/>
    <w:qFormat/>
    <w:uiPriority w:val="0"/>
    <w:pPr>
      <w:adjustRightInd w:val="0"/>
      <w:spacing w:line="400" w:lineRule="exact"/>
      <w:ind w:left="420" w:leftChars="200" w:firstLine="601"/>
      <w:textAlignment w:val="baseline"/>
    </w:pPr>
    <w:rPr>
      <w:rFonts w:ascii="宋体"/>
      <w:spacing w:val="30"/>
      <w:kern w:val="0"/>
      <w:sz w:val="24"/>
      <w:szCs w:val="20"/>
    </w:rPr>
  </w:style>
  <w:style w:type="paragraph" w:styleId="16">
    <w:name w:val="Note Heading"/>
    <w:basedOn w:val="1"/>
    <w:next w:val="1"/>
    <w:link w:val="124"/>
    <w:autoRedefine/>
    <w:qFormat/>
    <w:uiPriority w:val="0"/>
    <w:pPr>
      <w:adjustRightInd w:val="0"/>
      <w:spacing w:line="400" w:lineRule="exact"/>
      <w:ind w:firstLine="601"/>
      <w:jc w:val="center"/>
      <w:textAlignment w:val="baseline"/>
    </w:pPr>
    <w:rPr>
      <w:rFonts w:eastAsia="楷体_GB2312"/>
      <w:spacing w:val="8"/>
      <w:kern w:val="0"/>
      <w:sz w:val="28"/>
      <w:szCs w:val="20"/>
    </w:rPr>
  </w:style>
  <w:style w:type="paragraph" w:styleId="17">
    <w:name w:val="List Bullet 4"/>
    <w:basedOn w:val="1"/>
    <w:autoRedefine/>
    <w:qFormat/>
    <w:uiPriority w:val="0"/>
    <w:pPr>
      <w:tabs>
        <w:tab w:val="left" w:pos="420"/>
        <w:tab w:val="left" w:pos="1620"/>
      </w:tabs>
      <w:adjustRightInd w:val="0"/>
      <w:spacing w:line="400" w:lineRule="exact"/>
      <w:ind w:left="420" w:hanging="420"/>
      <w:textAlignment w:val="baseline"/>
    </w:pPr>
    <w:rPr>
      <w:rFonts w:ascii="宋体"/>
      <w:spacing w:val="30"/>
      <w:kern w:val="0"/>
      <w:sz w:val="24"/>
      <w:szCs w:val="20"/>
    </w:rPr>
  </w:style>
  <w:style w:type="paragraph" w:styleId="18">
    <w:name w:val="index 8"/>
    <w:basedOn w:val="1"/>
    <w:next w:val="1"/>
    <w:autoRedefine/>
    <w:qFormat/>
    <w:uiPriority w:val="0"/>
    <w:pPr>
      <w:ind w:left="1680" w:hanging="210"/>
      <w:jc w:val="left"/>
    </w:pPr>
    <w:rPr>
      <w:sz w:val="18"/>
      <w:szCs w:val="18"/>
    </w:rPr>
  </w:style>
  <w:style w:type="paragraph" w:styleId="19">
    <w:name w:val="E-mail Signature"/>
    <w:basedOn w:val="1"/>
    <w:link w:val="125"/>
    <w:autoRedefine/>
    <w:qFormat/>
    <w:uiPriority w:val="0"/>
    <w:pPr>
      <w:adjustRightInd w:val="0"/>
      <w:spacing w:line="400" w:lineRule="exact"/>
      <w:ind w:firstLine="601"/>
      <w:textAlignment w:val="baseline"/>
    </w:pPr>
    <w:rPr>
      <w:rFonts w:eastAsia="楷体_GB2312"/>
      <w:spacing w:val="8"/>
      <w:kern w:val="0"/>
      <w:sz w:val="28"/>
      <w:szCs w:val="20"/>
    </w:rPr>
  </w:style>
  <w:style w:type="paragraph" w:styleId="20">
    <w:name w:val="List Number"/>
    <w:basedOn w:val="1"/>
    <w:autoRedefine/>
    <w:qFormat/>
    <w:uiPriority w:val="0"/>
    <w:pPr>
      <w:tabs>
        <w:tab w:val="left" w:pos="360"/>
        <w:tab w:val="left" w:pos="432"/>
      </w:tabs>
      <w:adjustRightInd w:val="0"/>
      <w:spacing w:line="400" w:lineRule="exact"/>
      <w:ind w:left="432" w:hanging="432"/>
      <w:textAlignment w:val="baseline"/>
    </w:pPr>
    <w:rPr>
      <w:rFonts w:ascii="宋体"/>
      <w:spacing w:val="30"/>
      <w:kern w:val="0"/>
      <w:sz w:val="24"/>
      <w:szCs w:val="20"/>
    </w:rPr>
  </w:style>
  <w:style w:type="paragraph" w:styleId="21">
    <w:name w:val="Normal Indent"/>
    <w:basedOn w:val="1"/>
    <w:link w:val="126"/>
    <w:autoRedefine/>
    <w:qFormat/>
    <w:uiPriority w:val="0"/>
    <w:pPr>
      <w:ind w:firstLine="420" w:firstLineChars="200"/>
    </w:pPr>
  </w:style>
  <w:style w:type="paragraph" w:styleId="22">
    <w:name w:val="caption"/>
    <w:basedOn w:val="1"/>
    <w:next w:val="1"/>
    <w:link w:val="127"/>
    <w:autoRedefine/>
    <w:qFormat/>
    <w:uiPriority w:val="0"/>
    <w:pPr>
      <w:adjustRightInd w:val="0"/>
      <w:spacing w:line="400" w:lineRule="exact"/>
      <w:ind w:firstLine="601"/>
      <w:textAlignment w:val="baseline"/>
    </w:pPr>
    <w:rPr>
      <w:rFonts w:ascii="Arial" w:hAnsi="Arial" w:eastAsia="黑体" w:cs="Arial"/>
      <w:spacing w:val="30"/>
      <w:kern w:val="0"/>
      <w:sz w:val="20"/>
      <w:szCs w:val="20"/>
    </w:rPr>
  </w:style>
  <w:style w:type="paragraph" w:styleId="23">
    <w:name w:val="index 5"/>
    <w:basedOn w:val="1"/>
    <w:next w:val="1"/>
    <w:autoRedefine/>
    <w:qFormat/>
    <w:uiPriority w:val="0"/>
    <w:pPr>
      <w:ind w:left="1050" w:hanging="210"/>
      <w:jc w:val="left"/>
    </w:pPr>
    <w:rPr>
      <w:sz w:val="18"/>
      <w:szCs w:val="18"/>
    </w:rPr>
  </w:style>
  <w:style w:type="paragraph" w:styleId="24">
    <w:name w:val="List Bullet"/>
    <w:basedOn w:val="1"/>
    <w:autoRedefine/>
    <w:qFormat/>
    <w:uiPriority w:val="0"/>
    <w:pPr>
      <w:tabs>
        <w:tab w:val="left" w:pos="360"/>
      </w:tabs>
      <w:adjustRightInd w:val="0"/>
      <w:spacing w:line="400" w:lineRule="exact"/>
      <w:ind w:left="360" w:hanging="360"/>
      <w:textAlignment w:val="baseline"/>
    </w:pPr>
    <w:rPr>
      <w:rFonts w:ascii="宋体"/>
      <w:spacing w:val="30"/>
      <w:kern w:val="0"/>
      <w:sz w:val="24"/>
      <w:szCs w:val="20"/>
    </w:rPr>
  </w:style>
  <w:style w:type="paragraph" w:styleId="25">
    <w:name w:val="envelope address"/>
    <w:basedOn w:val="1"/>
    <w:autoRedefine/>
    <w:qFormat/>
    <w:uiPriority w:val="0"/>
    <w:pPr>
      <w:adjustRightInd w:val="0"/>
      <w:snapToGrid w:val="0"/>
      <w:spacing w:line="400" w:lineRule="exact"/>
      <w:ind w:left="100" w:leftChars="1400" w:firstLine="601"/>
      <w:textAlignment w:val="baseline"/>
    </w:pPr>
    <w:rPr>
      <w:rFonts w:ascii="Arial" w:hAnsi="Arial" w:cs="Arial"/>
      <w:spacing w:val="30"/>
      <w:kern w:val="0"/>
      <w:sz w:val="24"/>
    </w:rPr>
  </w:style>
  <w:style w:type="paragraph" w:styleId="26">
    <w:name w:val="Document Map"/>
    <w:basedOn w:val="1"/>
    <w:link w:val="128"/>
    <w:autoRedefine/>
    <w:qFormat/>
    <w:uiPriority w:val="0"/>
    <w:pPr>
      <w:shd w:val="clear" w:color="auto" w:fill="000080"/>
    </w:pPr>
  </w:style>
  <w:style w:type="paragraph" w:styleId="27">
    <w:name w:val="toa heading"/>
    <w:basedOn w:val="1"/>
    <w:next w:val="1"/>
    <w:autoRedefine/>
    <w:qFormat/>
    <w:uiPriority w:val="0"/>
    <w:pPr>
      <w:adjustRightInd w:val="0"/>
      <w:spacing w:before="120" w:line="400" w:lineRule="exact"/>
      <w:ind w:firstLine="601"/>
      <w:textAlignment w:val="baseline"/>
    </w:pPr>
    <w:rPr>
      <w:rFonts w:ascii="Arial" w:hAnsi="Arial" w:cs="Arial"/>
      <w:spacing w:val="30"/>
      <w:kern w:val="0"/>
      <w:sz w:val="24"/>
    </w:rPr>
  </w:style>
  <w:style w:type="paragraph" w:styleId="28">
    <w:name w:val="annotation text"/>
    <w:basedOn w:val="1"/>
    <w:link w:val="129"/>
    <w:autoRedefine/>
    <w:qFormat/>
    <w:uiPriority w:val="0"/>
    <w:pPr>
      <w:jc w:val="left"/>
    </w:pPr>
  </w:style>
  <w:style w:type="paragraph" w:styleId="29">
    <w:name w:val="index 6"/>
    <w:basedOn w:val="1"/>
    <w:next w:val="1"/>
    <w:autoRedefine/>
    <w:qFormat/>
    <w:uiPriority w:val="0"/>
    <w:pPr>
      <w:ind w:left="1260" w:hanging="210"/>
      <w:jc w:val="left"/>
    </w:pPr>
    <w:rPr>
      <w:sz w:val="18"/>
      <w:szCs w:val="18"/>
    </w:rPr>
  </w:style>
  <w:style w:type="paragraph" w:styleId="30">
    <w:name w:val="Salutation"/>
    <w:basedOn w:val="1"/>
    <w:next w:val="1"/>
    <w:link w:val="130"/>
    <w:autoRedefine/>
    <w:qFormat/>
    <w:uiPriority w:val="0"/>
    <w:pPr>
      <w:adjustRightInd w:val="0"/>
      <w:spacing w:line="400" w:lineRule="exact"/>
      <w:ind w:firstLine="601"/>
      <w:textAlignment w:val="baseline"/>
    </w:pPr>
    <w:rPr>
      <w:rFonts w:eastAsia="楷体_GB2312"/>
      <w:spacing w:val="8"/>
      <w:kern w:val="0"/>
      <w:sz w:val="28"/>
      <w:szCs w:val="20"/>
    </w:rPr>
  </w:style>
  <w:style w:type="paragraph" w:styleId="31">
    <w:name w:val="Body Text 3"/>
    <w:basedOn w:val="1"/>
    <w:link w:val="131"/>
    <w:autoRedefine/>
    <w:qFormat/>
    <w:uiPriority w:val="0"/>
    <w:pPr>
      <w:spacing w:line="360" w:lineRule="auto"/>
    </w:pPr>
    <w:rPr>
      <w:color w:val="FF0000"/>
    </w:rPr>
  </w:style>
  <w:style w:type="paragraph" w:styleId="32">
    <w:name w:val="Closing"/>
    <w:basedOn w:val="1"/>
    <w:link w:val="132"/>
    <w:autoRedefine/>
    <w:qFormat/>
    <w:uiPriority w:val="0"/>
    <w:pPr>
      <w:adjustRightInd w:val="0"/>
      <w:spacing w:line="400" w:lineRule="exact"/>
      <w:ind w:left="100" w:leftChars="2100" w:firstLine="601"/>
      <w:textAlignment w:val="baseline"/>
    </w:pPr>
    <w:rPr>
      <w:rFonts w:eastAsia="楷体_GB2312"/>
      <w:spacing w:val="8"/>
      <w:kern w:val="0"/>
      <w:sz w:val="28"/>
      <w:szCs w:val="20"/>
    </w:rPr>
  </w:style>
  <w:style w:type="paragraph" w:styleId="33">
    <w:name w:val="List Bullet 3"/>
    <w:basedOn w:val="1"/>
    <w:autoRedefine/>
    <w:qFormat/>
    <w:uiPriority w:val="0"/>
    <w:pPr>
      <w:tabs>
        <w:tab w:val="left" w:pos="1200"/>
      </w:tabs>
      <w:adjustRightInd w:val="0"/>
      <w:spacing w:line="400" w:lineRule="exact"/>
      <w:ind w:left="420" w:hanging="420"/>
      <w:textAlignment w:val="baseline"/>
    </w:pPr>
    <w:rPr>
      <w:rFonts w:ascii="宋体"/>
      <w:spacing w:val="30"/>
      <w:kern w:val="0"/>
      <w:sz w:val="24"/>
      <w:szCs w:val="20"/>
    </w:rPr>
  </w:style>
  <w:style w:type="paragraph" w:styleId="34">
    <w:name w:val="Body Text"/>
    <w:basedOn w:val="1"/>
    <w:link w:val="133"/>
    <w:autoRedefine/>
    <w:qFormat/>
    <w:uiPriority w:val="0"/>
    <w:pPr>
      <w:spacing w:after="120"/>
    </w:pPr>
  </w:style>
  <w:style w:type="paragraph" w:styleId="35">
    <w:name w:val="Body Text Indent"/>
    <w:basedOn w:val="1"/>
    <w:next w:val="1"/>
    <w:link w:val="134"/>
    <w:autoRedefine/>
    <w:qFormat/>
    <w:uiPriority w:val="0"/>
    <w:pPr>
      <w:snapToGrid w:val="0"/>
      <w:spacing w:before="120" w:line="360" w:lineRule="atLeast"/>
      <w:ind w:firstLine="539"/>
    </w:pPr>
    <w:rPr>
      <w:sz w:val="24"/>
    </w:rPr>
  </w:style>
  <w:style w:type="paragraph" w:styleId="36">
    <w:name w:val="List Number 3"/>
    <w:basedOn w:val="1"/>
    <w:autoRedefine/>
    <w:qFormat/>
    <w:uiPriority w:val="0"/>
    <w:pPr>
      <w:tabs>
        <w:tab w:val="left" w:pos="900"/>
        <w:tab w:val="left" w:pos="1200"/>
      </w:tabs>
      <w:adjustRightInd w:val="0"/>
      <w:spacing w:line="400" w:lineRule="exact"/>
      <w:ind w:left="900" w:hanging="420"/>
      <w:textAlignment w:val="baseline"/>
    </w:pPr>
    <w:rPr>
      <w:rFonts w:ascii="宋体"/>
      <w:spacing w:val="30"/>
      <w:kern w:val="0"/>
      <w:sz w:val="24"/>
      <w:szCs w:val="20"/>
    </w:rPr>
  </w:style>
  <w:style w:type="paragraph" w:styleId="37">
    <w:name w:val="List 2"/>
    <w:basedOn w:val="1"/>
    <w:autoRedefine/>
    <w:qFormat/>
    <w:uiPriority w:val="0"/>
    <w:pPr>
      <w:ind w:left="100" w:leftChars="200" w:hanging="200" w:hangingChars="200"/>
      <w:contextualSpacing/>
    </w:pPr>
  </w:style>
  <w:style w:type="paragraph" w:styleId="38">
    <w:name w:val="List Continue"/>
    <w:basedOn w:val="1"/>
    <w:autoRedefine/>
    <w:qFormat/>
    <w:uiPriority w:val="0"/>
    <w:pPr>
      <w:adjustRightInd w:val="0"/>
      <w:spacing w:after="120" w:line="400" w:lineRule="exact"/>
      <w:ind w:left="420" w:leftChars="200" w:firstLine="601"/>
      <w:textAlignment w:val="baseline"/>
    </w:pPr>
    <w:rPr>
      <w:rFonts w:ascii="宋体"/>
      <w:spacing w:val="30"/>
      <w:kern w:val="0"/>
      <w:sz w:val="24"/>
      <w:szCs w:val="20"/>
    </w:rPr>
  </w:style>
  <w:style w:type="paragraph" w:styleId="39">
    <w:name w:val="Block Text"/>
    <w:basedOn w:val="1"/>
    <w:autoRedefine/>
    <w:qFormat/>
    <w:uiPriority w:val="0"/>
    <w:pPr>
      <w:adjustRightInd w:val="0"/>
      <w:spacing w:after="120" w:line="400" w:lineRule="exact"/>
      <w:ind w:left="1440" w:leftChars="700" w:right="1440" w:rightChars="700" w:firstLine="601"/>
      <w:textAlignment w:val="baseline"/>
    </w:pPr>
    <w:rPr>
      <w:rFonts w:ascii="宋体"/>
      <w:spacing w:val="30"/>
      <w:kern w:val="0"/>
      <w:sz w:val="24"/>
      <w:szCs w:val="20"/>
    </w:rPr>
  </w:style>
  <w:style w:type="paragraph" w:styleId="40">
    <w:name w:val="List Bullet 2"/>
    <w:basedOn w:val="1"/>
    <w:autoRedefine/>
    <w:qFormat/>
    <w:uiPriority w:val="0"/>
    <w:pPr>
      <w:tabs>
        <w:tab w:val="left" w:pos="420"/>
        <w:tab w:val="left" w:pos="780"/>
      </w:tabs>
      <w:adjustRightInd w:val="0"/>
      <w:spacing w:line="400" w:lineRule="exact"/>
      <w:ind w:left="420" w:hanging="420"/>
      <w:textAlignment w:val="baseline"/>
    </w:pPr>
    <w:rPr>
      <w:rFonts w:ascii="宋体"/>
      <w:spacing w:val="30"/>
      <w:kern w:val="0"/>
      <w:sz w:val="24"/>
      <w:szCs w:val="20"/>
    </w:rPr>
  </w:style>
  <w:style w:type="paragraph" w:styleId="41">
    <w:name w:val="HTML Address"/>
    <w:basedOn w:val="1"/>
    <w:link w:val="135"/>
    <w:autoRedefine/>
    <w:qFormat/>
    <w:uiPriority w:val="0"/>
    <w:pPr>
      <w:adjustRightInd w:val="0"/>
      <w:spacing w:line="400" w:lineRule="exact"/>
      <w:ind w:firstLine="601"/>
      <w:textAlignment w:val="baseline"/>
    </w:pPr>
    <w:rPr>
      <w:rFonts w:eastAsia="楷体_GB2312"/>
      <w:i/>
      <w:iCs/>
      <w:spacing w:val="8"/>
      <w:kern w:val="0"/>
      <w:sz w:val="28"/>
      <w:szCs w:val="20"/>
    </w:rPr>
  </w:style>
  <w:style w:type="paragraph" w:styleId="42">
    <w:name w:val="index 4"/>
    <w:basedOn w:val="1"/>
    <w:next w:val="1"/>
    <w:autoRedefine/>
    <w:qFormat/>
    <w:uiPriority w:val="0"/>
    <w:pPr>
      <w:ind w:left="840" w:hanging="210"/>
      <w:jc w:val="left"/>
    </w:pPr>
    <w:rPr>
      <w:sz w:val="18"/>
      <w:szCs w:val="18"/>
    </w:rPr>
  </w:style>
  <w:style w:type="paragraph" w:styleId="43">
    <w:name w:val="toc 5"/>
    <w:basedOn w:val="1"/>
    <w:next w:val="1"/>
    <w:autoRedefine/>
    <w:qFormat/>
    <w:uiPriority w:val="39"/>
    <w:pPr>
      <w:jc w:val="left"/>
    </w:pPr>
    <w:rPr>
      <w:sz w:val="22"/>
      <w:szCs w:val="22"/>
    </w:rPr>
  </w:style>
  <w:style w:type="paragraph" w:styleId="44">
    <w:name w:val="toc 3"/>
    <w:basedOn w:val="1"/>
    <w:next w:val="1"/>
    <w:autoRedefine/>
    <w:qFormat/>
    <w:uiPriority w:val="39"/>
    <w:pPr>
      <w:jc w:val="left"/>
    </w:pPr>
    <w:rPr>
      <w:smallCaps/>
      <w:sz w:val="22"/>
      <w:szCs w:val="22"/>
    </w:rPr>
  </w:style>
  <w:style w:type="paragraph" w:styleId="45">
    <w:name w:val="Plain Text"/>
    <w:basedOn w:val="1"/>
    <w:next w:val="46"/>
    <w:link w:val="136"/>
    <w:autoRedefine/>
    <w:qFormat/>
    <w:uiPriority w:val="0"/>
    <w:pPr>
      <w:adjustRightInd w:val="0"/>
      <w:spacing w:before="120" w:line="400" w:lineRule="exact"/>
      <w:textAlignment w:val="baseline"/>
    </w:pPr>
    <w:rPr>
      <w:rFonts w:ascii="宋体" w:hAnsi="Courier New"/>
      <w:spacing w:val="-2"/>
      <w:kern w:val="28"/>
      <w:szCs w:val="20"/>
    </w:rPr>
  </w:style>
  <w:style w:type="paragraph" w:styleId="46">
    <w:name w:val="toc 1"/>
    <w:basedOn w:val="1"/>
    <w:next w:val="1"/>
    <w:autoRedefine/>
    <w:qFormat/>
    <w:uiPriority w:val="39"/>
    <w:pPr>
      <w:spacing w:before="360" w:after="360"/>
      <w:jc w:val="left"/>
    </w:pPr>
    <w:rPr>
      <w:b/>
      <w:bCs/>
      <w:caps/>
      <w:sz w:val="22"/>
      <w:szCs w:val="22"/>
      <w:u w:val="single"/>
    </w:rPr>
  </w:style>
  <w:style w:type="paragraph" w:styleId="47">
    <w:name w:val="List Bullet 5"/>
    <w:basedOn w:val="1"/>
    <w:autoRedefine/>
    <w:qFormat/>
    <w:uiPriority w:val="0"/>
    <w:pPr>
      <w:tabs>
        <w:tab w:val="left" w:pos="420"/>
        <w:tab w:val="left" w:pos="2040"/>
      </w:tabs>
      <w:adjustRightInd w:val="0"/>
      <w:spacing w:line="400" w:lineRule="exact"/>
      <w:ind w:left="420" w:hanging="420"/>
      <w:textAlignment w:val="baseline"/>
    </w:pPr>
    <w:rPr>
      <w:rFonts w:ascii="宋体"/>
      <w:spacing w:val="30"/>
      <w:kern w:val="0"/>
      <w:sz w:val="24"/>
      <w:szCs w:val="20"/>
    </w:rPr>
  </w:style>
  <w:style w:type="paragraph" w:styleId="48">
    <w:name w:val="List Number 4"/>
    <w:basedOn w:val="1"/>
    <w:autoRedefine/>
    <w:qFormat/>
    <w:uiPriority w:val="0"/>
    <w:pPr>
      <w:tabs>
        <w:tab w:val="left" w:pos="1620"/>
      </w:tabs>
      <w:adjustRightInd w:val="0"/>
      <w:spacing w:line="400" w:lineRule="exact"/>
      <w:ind w:left="1620" w:leftChars="600" w:hanging="360" w:hangingChars="200"/>
      <w:textAlignment w:val="baseline"/>
    </w:pPr>
    <w:rPr>
      <w:rFonts w:ascii="宋体"/>
      <w:spacing w:val="30"/>
      <w:kern w:val="0"/>
      <w:sz w:val="24"/>
      <w:szCs w:val="20"/>
    </w:rPr>
  </w:style>
  <w:style w:type="paragraph" w:styleId="49">
    <w:name w:val="toc 8"/>
    <w:basedOn w:val="1"/>
    <w:next w:val="1"/>
    <w:autoRedefine/>
    <w:qFormat/>
    <w:uiPriority w:val="39"/>
    <w:pPr>
      <w:jc w:val="left"/>
    </w:pPr>
    <w:rPr>
      <w:sz w:val="22"/>
      <w:szCs w:val="22"/>
    </w:rPr>
  </w:style>
  <w:style w:type="paragraph" w:styleId="50">
    <w:name w:val="index 3"/>
    <w:basedOn w:val="1"/>
    <w:next w:val="1"/>
    <w:autoRedefine/>
    <w:qFormat/>
    <w:uiPriority w:val="0"/>
    <w:pPr>
      <w:ind w:left="630" w:hanging="210"/>
      <w:jc w:val="left"/>
    </w:pPr>
    <w:rPr>
      <w:sz w:val="18"/>
      <w:szCs w:val="18"/>
    </w:rPr>
  </w:style>
  <w:style w:type="paragraph" w:styleId="51">
    <w:name w:val="Date"/>
    <w:basedOn w:val="1"/>
    <w:next w:val="1"/>
    <w:link w:val="137"/>
    <w:autoRedefine/>
    <w:qFormat/>
    <w:uiPriority w:val="0"/>
    <w:pPr>
      <w:adjustRightInd w:val="0"/>
      <w:spacing w:beforeLines="50" w:line="312" w:lineRule="atLeast"/>
      <w:textAlignment w:val="baseline"/>
    </w:pPr>
    <w:rPr>
      <w:kern w:val="0"/>
      <w:szCs w:val="20"/>
    </w:rPr>
  </w:style>
  <w:style w:type="paragraph" w:styleId="52">
    <w:name w:val="Body Text Indent 2"/>
    <w:basedOn w:val="1"/>
    <w:link w:val="138"/>
    <w:autoRedefine/>
    <w:qFormat/>
    <w:uiPriority w:val="0"/>
    <w:pPr>
      <w:spacing w:before="15" w:line="480" w:lineRule="exact"/>
      <w:ind w:firstLine="496" w:firstLineChars="200"/>
    </w:pPr>
    <w:rPr>
      <w:rFonts w:ascii="宋体" w:hAnsi="宋体"/>
      <w:spacing w:val="4"/>
      <w:sz w:val="24"/>
    </w:rPr>
  </w:style>
  <w:style w:type="paragraph" w:styleId="53">
    <w:name w:val="endnote text"/>
    <w:basedOn w:val="1"/>
    <w:link w:val="139"/>
    <w:autoRedefine/>
    <w:qFormat/>
    <w:uiPriority w:val="99"/>
    <w:pPr>
      <w:adjustRightInd w:val="0"/>
      <w:snapToGrid w:val="0"/>
      <w:spacing w:line="400" w:lineRule="exact"/>
      <w:ind w:firstLine="601"/>
      <w:jc w:val="left"/>
      <w:textAlignment w:val="baseline"/>
    </w:pPr>
    <w:rPr>
      <w:rFonts w:ascii="宋体"/>
      <w:spacing w:val="30"/>
      <w:kern w:val="0"/>
      <w:sz w:val="24"/>
      <w:szCs w:val="20"/>
    </w:rPr>
  </w:style>
  <w:style w:type="paragraph" w:styleId="54">
    <w:name w:val="List Continue 5"/>
    <w:basedOn w:val="1"/>
    <w:autoRedefine/>
    <w:qFormat/>
    <w:uiPriority w:val="0"/>
    <w:pPr>
      <w:adjustRightInd w:val="0"/>
      <w:spacing w:after="120" w:line="400" w:lineRule="exact"/>
      <w:ind w:left="2100" w:leftChars="1000" w:firstLine="601"/>
      <w:textAlignment w:val="baseline"/>
    </w:pPr>
    <w:rPr>
      <w:rFonts w:ascii="宋体"/>
      <w:spacing w:val="30"/>
      <w:kern w:val="0"/>
      <w:sz w:val="24"/>
      <w:szCs w:val="20"/>
    </w:rPr>
  </w:style>
  <w:style w:type="paragraph" w:styleId="55">
    <w:name w:val="Balloon Text"/>
    <w:basedOn w:val="1"/>
    <w:link w:val="140"/>
    <w:autoRedefine/>
    <w:unhideWhenUsed/>
    <w:qFormat/>
    <w:uiPriority w:val="99"/>
    <w:rPr>
      <w:rFonts w:asciiTheme="minorHAnsi" w:hAnsiTheme="minorHAnsi" w:eastAsiaTheme="minorEastAsia" w:cstheme="minorBidi"/>
      <w:sz w:val="18"/>
      <w:szCs w:val="18"/>
    </w:rPr>
  </w:style>
  <w:style w:type="paragraph" w:styleId="56">
    <w:name w:val="footer"/>
    <w:basedOn w:val="1"/>
    <w:link w:val="141"/>
    <w:autoRedefine/>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57">
    <w:name w:val="envelope return"/>
    <w:basedOn w:val="1"/>
    <w:autoRedefine/>
    <w:qFormat/>
    <w:uiPriority w:val="0"/>
    <w:pPr>
      <w:adjustRightInd w:val="0"/>
      <w:snapToGrid w:val="0"/>
      <w:spacing w:line="400" w:lineRule="exact"/>
      <w:ind w:firstLine="601"/>
      <w:textAlignment w:val="baseline"/>
    </w:pPr>
    <w:rPr>
      <w:rFonts w:ascii="Arial" w:hAnsi="Arial" w:cs="Arial"/>
      <w:spacing w:val="30"/>
      <w:kern w:val="0"/>
      <w:sz w:val="24"/>
      <w:szCs w:val="20"/>
    </w:rPr>
  </w:style>
  <w:style w:type="paragraph" w:styleId="58">
    <w:name w:val="header"/>
    <w:basedOn w:val="1"/>
    <w:next w:val="59"/>
    <w:link w:val="142"/>
    <w:autoRedefine/>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customStyle="1" w:styleId="59">
    <w:name w:val="样式5"/>
    <w:basedOn w:val="58"/>
    <w:next w:val="1"/>
    <w:autoRedefine/>
    <w:qFormat/>
    <w:uiPriority w:val="0"/>
    <w:pPr>
      <w:pBdr>
        <w:bottom w:val="none" w:color="auto" w:sz="0" w:space="0"/>
      </w:pBdr>
      <w:spacing w:line="240" w:lineRule="atLeast"/>
    </w:pPr>
    <w:rPr>
      <w:rFonts w:ascii="仿宋_GB2312" w:hAnsi="Times New Roman" w:eastAsia="仿宋_GB2312" w:cs="Times New Roman"/>
      <w:spacing w:val="30"/>
    </w:rPr>
  </w:style>
  <w:style w:type="paragraph" w:styleId="60">
    <w:name w:val="Signature"/>
    <w:basedOn w:val="1"/>
    <w:link w:val="143"/>
    <w:autoRedefine/>
    <w:qFormat/>
    <w:uiPriority w:val="0"/>
    <w:pPr>
      <w:adjustRightInd w:val="0"/>
      <w:spacing w:line="400" w:lineRule="exact"/>
      <w:ind w:left="100" w:leftChars="2100" w:firstLine="601"/>
      <w:textAlignment w:val="baseline"/>
    </w:pPr>
    <w:rPr>
      <w:rFonts w:eastAsia="楷体_GB2312"/>
      <w:spacing w:val="8"/>
      <w:kern w:val="0"/>
      <w:sz w:val="28"/>
      <w:szCs w:val="20"/>
    </w:rPr>
  </w:style>
  <w:style w:type="paragraph" w:styleId="61">
    <w:name w:val="List Continue 4"/>
    <w:basedOn w:val="1"/>
    <w:autoRedefine/>
    <w:qFormat/>
    <w:uiPriority w:val="0"/>
    <w:pPr>
      <w:adjustRightInd w:val="0"/>
      <w:spacing w:after="120" w:line="400" w:lineRule="exact"/>
      <w:ind w:left="1680" w:leftChars="800" w:firstLine="601"/>
      <w:textAlignment w:val="baseline"/>
    </w:pPr>
    <w:rPr>
      <w:rFonts w:ascii="宋体"/>
      <w:spacing w:val="30"/>
      <w:kern w:val="0"/>
      <w:sz w:val="24"/>
      <w:szCs w:val="20"/>
    </w:rPr>
  </w:style>
  <w:style w:type="paragraph" w:styleId="62">
    <w:name w:val="toc 4"/>
    <w:basedOn w:val="1"/>
    <w:next w:val="1"/>
    <w:autoRedefine/>
    <w:qFormat/>
    <w:uiPriority w:val="39"/>
    <w:pPr>
      <w:jc w:val="left"/>
    </w:pPr>
    <w:rPr>
      <w:sz w:val="22"/>
      <w:szCs w:val="22"/>
    </w:rPr>
  </w:style>
  <w:style w:type="paragraph" w:styleId="63">
    <w:name w:val="index heading"/>
    <w:basedOn w:val="1"/>
    <w:next w:val="64"/>
    <w:autoRedefine/>
    <w:qFormat/>
    <w:uiPriority w:val="0"/>
    <w:pPr>
      <w:spacing w:before="240" w:after="120"/>
      <w:jc w:val="center"/>
    </w:pPr>
    <w:rPr>
      <w:b/>
      <w:bCs/>
      <w:sz w:val="26"/>
      <w:szCs w:val="26"/>
    </w:rPr>
  </w:style>
  <w:style w:type="paragraph" w:styleId="64">
    <w:name w:val="index 1"/>
    <w:basedOn w:val="1"/>
    <w:next w:val="1"/>
    <w:autoRedefine/>
    <w:unhideWhenUsed/>
    <w:qFormat/>
    <w:uiPriority w:val="0"/>
    <w:rPr>
      <w:rFonts w:asciiTheme="minorHAnsi" w:hAnsiTheme="minorHAnsi" w:eastAsiaTheme="minorEastAsia" w:cstheme="minorBidi"/>
      <w:szCs w:val="22"/>
    </w:rPr>
  </w:style>
  <w:style w:type="paragraph" w:styleId="65">
    <w:name w:val="Subtitle"/>
    <w:basedOn w:val="1"/>
    <w:link w:val="144"/>
    <w:autoRedefine/>
    <w:qFormat/>
    <w:uiPriority w:val="0"/>
    <w:pPr>
      <w:adjustRightInd w:val="0"/>
      <w:spacing w:before="240" w:after="60" w:line="312" w:lineRule="atLeast"/>
      <w:ind w:firstLine="601"/>
      <w:jc w:val="center"/>
      <w:textAlignment w:val="baseline"/>
      <w:outlineLvl w:val="1"/>
    </w:pPr>
    <w:rPr>
      <w:rFonts w:ascii="Arial" w:hAnsi="Arial"/>
      <w:b/>
      <w:bCs/>
      <w:spacing w:val="8"/>
      <w:kern w:val="28"/>
      <w:sz w:val="32"/>
      <w:szCs w:val="32"/>
    </w:rPr>
  </w:style>
  <w:style w:type="paragraph" w:styleId="66">
    <w:name w:val="List Number 5"/>
    <w:basedOn w:val="1"/>
    <w:autoRedefine/>
    <w:qFormat/>
    <w:uiPriority w:val="0"/>
    <w:pPr>
      <w:tabs>
        <w:tab w:val="left" w:pos="420"/>
        <w:tab w:val="left" w:pos="2040"/>
      </w:tabs>
      <w:adjustRightInd w:val="0"/>
      <w:spacing w:line="400" w:lineRule="exact"/>
      <w:ind w:left="420" w:hanging="244"/>
      <w:textAlignment w:val="baseline"/>
    </w:pPr>
    <w:rPr>
      <w:rFonts w:ascii="宋体"/>
      <w:spacing w:val="30"/>
      <w:kern w:val="0"/>
      <w:sz w:val="24"/>
      <w:szCs w:val="20"/>
    </w:rPr>
  </w:style>
  <w:style w:type="paragraph" w:styleId="67">
    <w:name w:val="List"/>
    <w:basedOn w:val="1"/>
    <w:link w:val="145"/>
    <w:autoRedefine/>
    <w:unhideWhenUsed/>
    <w:qFormat/>
    <w:uiPriority w:val="0"/>
    <w:pPr>
      <w:spacing w:line="400" w:lineRule="exact"/>
      <w:jc w:val="center"/>
    </w:pPr>
    <w:rPr>
      <w:rFonts w:ascii="宋体" w:hAnsi="宋体"/>
      <w:sz w:val="24"/>
      <w:szCs w:val="20"/>
    </w:rPr>
  </w:style>
  <w:style w:type="paragraph" w:styleId="68">
    <w:name w:val="footnote text"/>
    <w:basedOn w:val="1"/>
    <w:link w:val="146"/>
    <w:autoRedefine/>
    <w:qFormat/>
    <w:uiPriority w:val="0"/>
    <w:pPr>
      <w:adjustRightInd w:val="0"/>
      <w:snapToGrid w:val="0"/>
      <w:spacing w:line="360" w:lineRule="auto"/>
      <w:ind w:firstLine="200" w:firstLineChars="200"/>
      <w:jc w:val="left"/>
      <w:textAlignment w:val="baseline"/>
    </w:pPr>
    <w:rPr>
      <w:rFonts w:ascii="宋体"/>
      <w:spacing w:val="30"/>
      <w:kern w:val="0"/>
      <w:sz w:val="18"/>
      <w:szCs w:val="18"/>
    </w:rPr>
  </w:style>
  <w:style w:type="paragraph" w:styleId="69">
    <w:name w:val="toc 6"/>
    <w:basedOn w:val="1"/>
    <w:next w:val="1"/>
    <w:autoRedefine/>
    <w:qFormat/>
    <w:uiPriority w:val="39"/>
    <w:pPr>
      <w:jc w:val="left"/>
    </w:pPr>
    <w:rPr>
      <w:sz w:val="22"/>
      <w:szCs w:val="22"/>
    </w:rPr>
  </w:style>
  <w:style w:type="paragraph" w:styleId="70">
    <w:name w:val="List 5"/>
    <w:basedOn w:val="1"/>
    <w:autoRedefine/>
    <w:qFormat/>
    <w:uiPriority w:val="0"/>
    <w:pPr>
      <w:adjustRightInd w:val="0"/>
      <w:spacing w:line="400" w:lineRule="exact"/>
      <w:ind w:left="100" w:leftChars="800" w:hanging="200" w:hangingChars="200"/>
      <w:textAlignment w:val="baseline"/>
    </w:pPr>
    <w:rPr>
      <w:rFonts w:ascii="宋体"/>
      <w:spacing w:val="30"/>
      <w:kern w:val="0"/>
      <w:sz w:val="24"/>
      <w:szCs w:val="20"/>
    </w:rPr>
  </w:style>
  <w:style w:type="paragraph" w:styleId="71">
    <w:name w:val="Body Text Indent 3"/>
    <w:basedOn w:val="1"/>
    <w:link w:val="147"/>
    <w:autoRedefine/>
    <w:qFormat/>
    <w:uiPriority w:val="99"/>
    <w:pPr>
      <w:spacing w:before="120" w:line="460" w:lineRule="atLeast"/>
      <w:ind w:firstLine="480" w:firstLineChars="200"/>
    </w:pPr>
    <w:rPr>
      <w:sz w:val="24"/>
    </w:rPr>
  </w:style>
  <w:style w:type="paragraph" w:styleId="72">
    <w:name w:val="index 7"/>
    <w:basedOn w:val="1"/>
    <w:next w:val="1"/>
    <w:autoRedefine/>
    <w:qFormat/>
    <w:uiPriority w:val="0"/>
    <w:pPr>
      <w:ind w:left="1470" w:hanging="210"/>
      <w:jc w:val="left"/>
    </w:pPr>
    <w:rPr>
      <w:sz w:val="18"/>
      <w:szCs w:val="18"/>
    </w:rPr>
  </w:style>
  <w:style w:type="paragraph" w:styleId="73">
    <w:name w:val="index 9"/>
    <w:basedOn w:val="1"/>
    <w:next w:val="1"/>
    <w:autoRedefine/>
    <w:qFormat/>
    <w:uiPriority w:val="0"/>
    <w:pPr>
      <w:ind w:left="1890" w:hanging="210"/>
      <w:jc w:val="left"/>
    </w:pPr>
    <w:rPr>
      <w:sz w:val="18"/>
      <w:szCs w:val="18"/>
    </w:rPr>
  </w:style>
  <w:style w:type="paragraph" w:styleId="74">
    <w:name w:val="table of figures"/>
    <w:basedOn w:val="1"/>
    <w:next w:val="1"/>
    <w:autoRedefine/>
    <w:qFormat/>
    <w:uiPriority w:val="0"/>
    <w:pPr>
      <w:adjustRightInd w:val="0"/>
      <w:spacing w:line="400" w:lineRule="exact"/>
      <w:ind w:left="200" w:leftChars="200" w:hanging="200" w:hangingChars="200"/>
      <w:textAlignment w:val="baseline"/>
    </w:pPr>
    <w:rPr>
      <w:rFonts w:ascii="宋体"/>
      <w:spacing w:val="30"/>
      <w:kern w:val="0"/>
      <w:sz w:val="24"/>
      <w:szCs w:val="20"/>
    </w:rPr>
  </w:style>
  <w:style w:type="paragraph" w:styleId="75">
    <w:name w:val="toc 2"/>
    <w:basedOn w:val="1"/>
    <w:next w:val="1"/>
    <w:link w:val="148"/>
    <w:autoRedefine/>
    <w:qFormat/>
    <w:uiPriority w:val="39"/>
    <w:pPr>
      <w:tabs>
        <w:tab w:val="left" w:pos="540"/>
        <w:tab w:val="right" w:leader="dot" w:pos="8302"/>
      </w:tabs>
      <w:spacing w:line="480" w:lineRule="auto"/>
      <w:jc w:val="left"/>
    </w:pPr>
    <w:rPr>
      <w:bCs/>
      <w:smallCaps/>
      <w:sz w:val="22"/>
      <w:szCs w:val="22"/>
    </w:rPr>
  </w:style>
  <w:style w:type="paragraph" w:styleId="76">
    <w:name w:val="toc 9"/>
    <w:basedOn w:val="1"/>
    <w:next w:val="1"/>
    <w:autoRedefine/>
    <w:qFormat/>
    <w:uiPriority w:val="39"/>
    <w:pPr>
      <w:adjustRightInd w:val="0"/>
      <w:snapToGrid w:val="0"/>
      <w:jc w:val="center"/>
    </w:pPr>
    <w:rPr>
      <w:szCs w:val="21"/>
    </w:rPr>
  </w:style>
  <w:style w:type="paragraph" w:styleId="77">
    <w:name w:val="Body Text 2"/>
    <w:basedOn w:val="1"/>
    <w:link w:val="149"/>
    <w:autoRedefine/>
    <w:qFormat/>
    <w:uiPriority w:val="0"/>
    <w:pPr>
      <w:adjustRightInd w:val="0"/>
      <w:spacing w:line="400" w:lineRule="exact"/>
      <w:jc w:val="center"/>
      <w:textAlignment w:val="baseline"/>
    </w:pPr>
    <w:rPr>
      <w:rFonts w:eastAsia="楷体_GB2312"/>
      <w:spacing w:val="8"/>
      <w:kern w:val="0"/>
      <w:sz w:val="28"/>
      <w:szCs w:val="20"/>
    </w:rPr>
  </w:style>
  <w:style w:type="paragraph" w:styleId="78">
    <w:name w:val="List 4"/>
    <w:basedOn w:val="1"/>
    <w:autoRedefine/>
    <w:qFormat/>
    <w:uiPriority w:val="0"/>
    <w:pPr>
      <w:adjustRightInd w:val="0"/>
      <w:spacing w:line="400" w:lineRule="exact"/>
      <w:ind w:left="100" w:leftChars="600" w:hanging="200" w:hangingChars="200"/>
      <w:textAlignment w:val="baseline"/>
    </w:pPr>
    <w:rPr>
      <w:rFonts w:ascii="宋体"/>
      <w:spacing w:val="30"/>
      <w:kern w:val="0"/>
      <w:sz w:val="24"/>
      <w:szCs w:val="20"/>
    </w:rPr>
  </w:style>
  <w:style w:type="paragraph" w:styleId="79">
    <w:name w:val="List Continue 2"/>
    <w:basedOn w:val="1"/>
    <w:autoRedefine/>
    <w:qFormat/>
    <w:uiPriority w:val="0"/>
    <w:pPr>
      <w:adjustRightInd w:val="0"/>
      <w:spacing w:after="120" w:line="400" w:lineRule="exact"/>
      <w:ind w:left="840" w:leftChars="400" w:firstLine="601"/>
      <w:textAlignment w:val="baseline"/>
    </w:pPr>
    <w:rPr>
      <w:rFonts w:ascii="宋体"/>
      <w:spacing w:val="30"/>
      <w:kern w:val="0"/>
      <w:sz w:val="24"/>
      <w:szCs w:val="20"/>
    </w:rPr>
  </w:style>
  <w:style w:type="paragraph" w:styleId="80">
    <w:name w:val="Message Header"/>
    <w:basedOn w:val="1"/>
    <w:link w:val="150"/>
    <w:autoRedefine/>
    <w:qFormat/>
    <w:uiPriority w:val="0"/>
    <w:pPr>
      <w:pBdr>
        <w:top w:val="single" w:color="auto" w:sz="6" w:space="1"/>
        <w:left w:val="single" w:color="auto" w:sz="6" w:space="1"/>
        <w:bottom w:val="single" w:color="auto" w:sz="6" w:space="1"/>
        <w:right w:val="single" w:color="auto" w:sz="6" w:space="1"/>
      </w:pBdr>
      <w:shd w:val="pct20" w:color="auto" w:fill="auto"/>
      <w:adjustRightInd w:val="0"/>
      <w:spacing w:line="400" w:lineRule="exact"/>
      <w:ind w:left="1080" w:leftChars="500" w:hanging="1080" w:hangingChars="500"/>
      <w:textAlignment w:val="baseline"/>
    </w:pPr>
    <w:rPr>
      <w:rFonts w:ascii="Arial" w:hAnsi="Arial" w:eastAsia="楷体_GB2312"/>
      <w:spacing w:val="8"/>
      <w:kern w:val="0"/>
      <w:sz w:val="24"/>
      <w:shd w:val="pct20" w:color="auto" w:fill="auto"/>
    </w:rPr>
  </w:style>
  <w:style w:type="paragraph" w:styleId="81">
    <w:name w:val="HTML Preformatted"/>
    <w:basedOn w:val="1"/>
    <w:link w:val="15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82">
    <w:name w:val="Normal (Web)"/>
    <w:basedOn w:val="1"/>
    <w:link w:val="152"/>
    <w:autoRedefine/>
    <w:qFormat/>
    <w:uiPriority w:val="99"/>
    <w:pPr>
      <w:widowControl/>
      <w:spacing w:before="100" w:beforeAutospacing="1" w:after="100" w:afterAutospacing="1"/>
      <w:jc w:val="left"/>
    </w:pPr>
    <w:rPr>
      <w:rFonts w:ascii="宋体" w:hAnsi="宋体" w:cstheme="minorBidi"/>
      <w:sz w:val="24"/>
      <w:szCs w:val="22"/>
    </w:rPr>
  </w:style>
  <w:style w:type="paragraph" w:styleId="83">
    <w:name w:val="List Continue 3"/>
    <w:basedOn w:val="1"/>
    <w:autoRedefine/>
    <w:qFormat/>
    <w:uiPriority w:val="0"/>
    <w:pPr>
      <w:adjustRightInd w:val="0"/>
      <w:spacing w:after="120" w:line="400" w:lineRule="exact"/>
      <w:ind w:left="1260" w:leftChars="600" w:firstLine="601"/>
      <w:textAlignment w:val="baseline"/>
    </w:pPr>
    <w:rPr>
      <w:rFonts w:ascii="宋体"/>
      <w:spacing w:val="30"/>
      <w:kern w:val="0"/>
      <w:sz w:val="24"/>
      <w:szCs w:val="20"/>
    </w:rPr>
  </w:style>
  <w:style w:type="paragraph" w:styleId="84">
    <w:name w:val="index 2"/>
    <w:basedOn w:val="1"/>
    <w:next w:val="1"/>
    <w:autoRedefine/>
    <w:qFormat/>
    <w:uiPriority w:val="0"/>
    <w:pPr>
      <w:ind w:left="420" w:hanging="210"/>
      <w:jc w:val="left"/>
    </w:pPr>
    <w:rPr>
      <w:sz w:val="18"/>
      <w:szCs w:val="18"/>
    </w:rPr>
  </w:style>
  <w:style w:type="paragraph" w:styleId="85">
    <w:name w:val="Title"/>
    <w:basedOn w:val="1"/>
    <w:link w:val="153"/>
    <w:autoRedefine/>
    <w:qFormat/>
    <w:uiPriority w:val="0"/>
    <w:pPr>
      <w:widowControl/>
      <w:adjustRightInd w:val="0"/>
      <w:spacing w:before="120" w:after="120" w:line="360" w:lineRule="auto"/>
      <w:jc w:val="center"/>
      <w:outlineLvl w:val="0"/>
    </w:pPr>
    <w:rPr>
      <w:b/>
      <w:bCs/>
      <w:kern w:val="0"/>
      <w:sz w:val="48"/>
      <w:szCs w:val="32"/>
      <w:lang w:val="de-DE"/>
    </w:rPr>
  </w:style>
  <w:style w:type="paragraph" w:styleId="86">
    <w:name w:val="annotation subject"/>
    <w:basedOn w:val="28"/>
    <w:next w:val="28"/>
    <w:link w:val="154"/>
    <w:autoRedefine/>
    <w:qFormat/>
    <w:uiPriority w:val="99"/>
    <w:rPr>
      <w:b/>
      <w:bCs/>
    </w:rPr>
  </w:style>
  <w:style w:type="paragraph" w:styleId="87">
    <w:name w:val="Body Text First Indent"/>
    <w:basedOn w:val="34"/>
    <w:next w:val="1"/>
    <w:link w:val="155"/>
    <w:autoRedefine/>
    <w:qFormat/>
    <w:uiPriority w:val="0"/>
    <w:pPr>
      <w:ind w:firstLine="420" w:firstLineChars="100"/>
    </w:pPr>
  </w:style>
  <w:style w:type="paragraph" w:styleId="88">
    <w:name w:val="Body Text First Indent 2"/>
    <w:basedOn w:val="35"/>
    <w:next w:val="1"/>
    <w:link w:val="156"/>
    <w:autoRedefine/>
    <w:qFormat/>
    <w:uiPriority w:val="99"/>
    <w:pPr>
      <w:spacing w:after="120"/>
      <w:ind w:left="420" w:leftChars="200" w:firstLine="420" w:firstLineChars="200"/>
    </w:pPr>
  </w:style>
  <w:style w:type="table" w:styleId="90">
    <w:name w:val="Table Grid"/>
    <w:basedOn w:val="8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Grid 5"/>
    <w:basedOn w:val="89"/>
    <w:autoRedefine/>
    <w:qFormat/>
    <w:uiPriority w:val="0"/>
    <w:pPr>
      <w:widowControl w:val="0"/>
      <w:adjustRightInd w:val="0"/>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3">
    <w:name w:val="Table Professional"/>
    <w:basedOn w:val="8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5">
    <w:name w:val="Strong"/>
    <w:autoRedefine/>
    <w:qFormat/>
    <w:uiPriority w:val="22"/>
    <w:rPr>
      <w:b/>
      <w:bCs/>
    </w:rPr>
  </w:style>
  <w:style w:type="character" w:styleId="96">
    <w:name w:val="endnote reference"/>
    <w:autoRedefine/>
    <w:qFormat/>
    <w:uiPriority w:val="99"/>
    <w:rPr>
      <w:vertAlign w:val="superscript"/>
    </w:rPr>
  </w:style>
  <w:style w:type="character" w:styleId="97">
    <w:name w:val="page number"/>
    <w:basedOn w:val="94"/>
    <w:autoRedefine/>
    <w:qFormat/>
    <w:uiPriority w:val="0"/>
  </w:style>
  <w:style w:type="character" w:styleId="98">
    <w:name w:val="FollowedHyperlink"/>
    <w:autoRedefine/>
    <w:qFormat/>
    <w:uiPriority w:val="0"/>
    <w:rPr>
      <w:color w:val="000000"/>
      <w:u w:val="none"/>
    </w:rPr>
  </w:style>
  <w:style w:type="character" w:styleId="99">
    <w:name w:val="Emphasis"/>
    <w:autoRedefine/>
    <w:qFormat/>
    <w:uiPriority w:val="0"/>
    <w:rPr>
      <w:i/>
      <w:iCs/>
    </w:rPr>
  </w:style>
  <w:style w:type="character" w:styleId="100">
    <w:name w:val="line number"/>
    <w:basedOn w:val="94"/>
    <w:autoRedefine/>
    <w:qFormat/>
    <w:uiPriority w:val="0"/>
  </w:style>
  <w:style w:type="character" w:styleId="101">
    <w:name w:val="HTML Definition"/>
    <w:autoRedefine/>
    <w:qFormat/>
    <w:uiPriority w:val="0"/>
    <w:rPr>
      <w:i/>
      <w:iCs/>
    </w:rPr>
  </w:style>
  <w:style w:type="character" w:styleId="102">
    <w:name w:val="HTML Typewriter"/>
    <w:autoRedefine/>
    <w:qFormat/>
    <w:uiPriority w:val="0"/>
    <w:rPr>
      <w:rFonts w:ascii="Courier New" w:hAnsi="Courier New" w:cs="Courier New"/>
      <w:sz w:val="20"/>
      <w:szCs w:val="20"/>
    </w:rPr>
  </w:style>
  <w:style w:type="character" w:styleId="103">
    <w:name w:val="HTML Acronym"/>
    <w:basedOn w:val="94"/>
    <w:autoRedefine/>
    <w:qFormat/>
    <w:uiPriority w:val="0"/>
  </w:style>
  <w:style w:type="character" w:styleId="104">
    <w:name w:val="HTML Variable"/>
    <w:autoRedefine/>
    <w:qFormat/>
    <w:uiPriority w:val="0"/>
    <w:rPr>
      <w:i/>
      <w:iCs/>
    </w:rPr>
  </w:style>
  <w:style w:type="character" w:styleId="105">
    <w:name w:val="Hyperlink"/>
    <w:autoRedefine/>
    <w:qFormat/>
    <w:uiPriority w:val="99"/>
    <w:rPr>
      <w:color w:val="000000"/>
      <w:u w:val="none"/>
    </w:rPr>
  </w:style>
  <w:style w:type="character" w:styleId="106">
    <w:name w:val="HTML Code"/>
    <w:autoRedefine/>
    <w:qFormat/>
    <w:uiPriority w:val="0"/>
    <w:rPr>
      <w:rFonts w:ascii="Courier New" w:hAnsi="Courier New" w:cs="Courier New"/>
      <w:sz w:val="20"/>
      <w:szCs w:val="20"/>
    </w:rPr>
  </w:style>
  <w:style w:type="character" w:styleId="107">
    <w:name w:val="annotation reference"/>
    <w:autoRedefine/>
    <w:unhideWhenUsed/>
    <w:qFormat/>
    <w:uiPriority w:val="0"/>
    <w:rPr>
      <w:sz w:val="21"/>
      <w:szCs w:val="21"/>
    </w:rPr>
  </w:style>
  <w:style w:type="character" w:styleId="108">
    <w:name w:val="HTML Cite"/>
    <w:autoRedefine/>
    <w:qFormat/>
    <w:uiPriority w:val="0"/>
    <w:rPr>
      <w:i/>
      <w:iCs/>
    </w:rPr>
  </w:style>
  <w:style w:type="character" w:styleId="109">
    <w:name w:val="footnote reference"/>
    <w:autoRedefine/>
    <w:qFormat/>
    <w:uiPriority w:val="0"/>
    <w:rPr>
      <w:vertAlign w:val="superscript"/>
    </w:rPr>
  </w:style>
  <w:style w:type="character" w:styleId="110">
    <w:name w:val="HTML Keyboard"/>
    <w:autoRedefine/>
    <w:qFormat/>
    <w:uiPriority w:val="0"/>
    <w:rPr>
      <w:rFonts w:ascii="Courier New" w:hAnsi="Courier New" w:cs="Courier New"/>
      <w:sz w:val="20"/>
      <w:szCs w:val="20"/>
    </w:rPr>
  </w:style>
  <w:style w:type="character" w:styleId="111">
    <w:name w:val="HTML Sample"/>
    <w:autoRedefine/>
    <w:qFormat/>
    <w:uiPriority w:val="0"/>
    <w:rPr>
      <w:rFonts w:ascii="Courier New" w:hAnsi="Courier New" w:cs="Courier New"/>
    </w:rPr>
  </w:style>
  <w:style w:type="paragraph" w:customStyle="1" w:styleId="112">
    <w:name w:val="Default"/>
    <w:basedOn w:val="113"/>
    <w:autoRedefine/>
    <w:qFormat/>
    <w:uiPriority w:val="0"/>
    <w:pPr>
      <w:widowControl w:val="0"/>
      <w:autoSpaceDE w:val="0"/>
      <w:autoSpaceDN w:val="0"/>
      <w:adjustRightInd w:val="0"/>
    </w:pPr>
    <w:rPr>
      <w:rFonts w:ascii="仿宋_GB2312" w:cs="仿宋_GB2312"/>
      <w:color w:val="000000"/>
      <w:sz w:val="24"/>
    </w:rPr>
  </w:style>
  <w:style w:type="paragraph" w:customStyle="1" w:styleId="113">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character" w:customStyle="1" w:styleId="114">
    <w:name w:val="标题 1 Char"/>
    <w:basedOn w:val="94"/>
    <w:link w:val="3"/>
    <w:autoRedefine/>
    <w:qFormat/>
    <w:uiPriority w:val="9"/>
    <w:rPr>
      <w:rFonts w:ascii="Times New Roman" w:hAnsi="Times New Roman" w:eastAsia="宋体" w:cs="Times New Roman"/>
      <w:b/>
      <w:kern w:val="44"/>
      <w:sz w:val="44"/>
      <w:szCs w:val="20"/>
    </w:rPr>
  </w:style>
  <w:style w:type="character" w:customStyle="1" w:styleId="115">
    <w:name w:val="标题 2 Char"/>
    <w:basedOn w:val="94"/>
    <w:link w:val="4"/>
    <w:autoRedefine/>
    <w:qFormat/>
    <w:uiPriority w:val="0"/>
    <w:rPr>
      <w:rFonts w:ascii="Arial" w:hAnsi="Arial" w:eastAsia="黑体" w:cs="Times New Roman"/>
      <w:b/>
      <w:sz w:val="28"/>
      <w:szCs w:val="20"/>
    </w:rPr>
  </w:style>
  <w:style w:type="character" w:customStyle="1" w:styleId="116">
    <w:name w:val="标题 3 Char"/>
    <w:basedOn w:val="94"/>
    <w:link w:val="5"/>
    <w:autoRedefine/>
    <w:qFormat/>
    <w:uiPriority w:val="0"/>
    <w:rPr>
      <w:b/>
      <w:bCs/>
      <w:sz w:val="32"/>
      <w:szCs w:val="32"/>
    </w:rPr>
  </w:style>
  <w:style w:type="character" w:customStyle="1" w:styleId="117">
    <w:name w:val="标题 4 Char"/>
    <w:basedOn w:val="94"/>
    <w:link w:val="6"/>
    <w:autoRedefine/>
    <w:qFormat/>
    <w:uiPriority w:val="9"/>
    <w:rPr>
      <w:rFonts w:ascii="Arial" w:hAnsi="Arial" w:eastAsia="黑体" w:cs="Times New Roman"/>
      <w:b/>
      <w:bCs/>
      <w:sz w:val="28"/>
      <w:szCs w:val="28"/>
    </w:rPr>
  </w:style>
  <w:style w:type="character" w:customStyle="1" w:styleId="118">
    <w:name w:val="标题 5 Char1"/>
    <w:basedOn w:val="94"/>
    <w:link w:val="7"/>
    <w:autoRedefine/>
    <w:qFormat/>
    <w:uiPriority w:val="9"/>
    <w:rPr>
      <w:rFonts w:ascii="Times New Roman" w:hAnsi="Times New Roman" w:eastAsia="宋体" w:cs="Times New Roman"/>
      <w:b/>
      <w:bCs/>
      <w:sz w:val="28"/>
      <w:szCs w:val="28"/>
    </w:rPr>
  </w:style>
  <w:style w:type="character" w:customStyle="1" w:styleId="119">
    <w:name w:val="标题 6 Char"/>
    <w:basedOn w:val="94"/>
    <w:link w:val="8"/>
    <w:autoRedefine/>
    <w:qFormat/>
    <w:uiPriority w:val="9"/>
    <w:rPr>
      <w:rFonts w:ascii="Arial" w:hAnsi="Arial" w:eastAsia="黑体" w:cs="Times New Roman"/>
      <w:b/>
      <w:bCs/>
      <w:sz w:val="24"/>
      <w:szCs w:val="24"/>
    </w:rPr>
  </w:style>
  <w:style w:type="character" w:customStyle="1" w:styleId="120">
    <w:name w:val="标题 7 Char"/>
    <w:basedOn w:val="94"/>
    <w:link w:val="9"/>
    <w:autoRedefine/>
    <w:qFormat/>
    <w:uiPriority w:val="9"/>
    <w:rPr>
      <w:rFonts w:ascii="Times New Roman" w:hAnsi="Times New Roman" w:eastAsia="宋体" w:cs="Times New Roman"/>
      <w:b/>
      <w:bCs/>
      <w:sz w:val="24"/>
      <w:szCs w:val="24"/>
    </w:rPr>
  </w:style>
  <w:style w:type="character" w:customStyle="1" w:styleId="121">
    <w:name w:val="标题 8 Char"/>
    <w:basedOn w:val="94"/>
    <w:link w:val="10"/>
    <w:autoRedefine/>
    <w:qFormat/>
    <w:uiPriority w:val="9"/>
    <w:rPr>
      <w:rFonts w:ascii="Arial" w:hAnsi="Arial" w:eastAsia="黑体" w:cs="Times New Roman"/>
      <w:sz w:val="24"/>
      <w:szCs w:val="24"/>
    </w:rPr>
  </w:style>
  <w:style w:type="character" w:customStyle="1" w:styleId="122">
    <w:name w:val="标题 9 Char"/>
    <w:basedOn w:val="94"/>
    <w:link w:val="11"/>
    <w:autoRedefine/>
    <w:qFormat/>
    <w:uiPriority w:val="9"/>
    <w:rPr>
      <w:rFonts w:ascii="Arial" w:hAnsi="Arial" w:eastAsia="黑体" w:cs="Times New Roman"/>
      <w:szCs w:val="21"/>
    </w:rPr>
  </w:style>
  <w:style w:type="character" w:customStyle="1" w:styleId="123">
    <w:name w:val="宏文本 Char"/>
    <w:basedOn w:val="94"/>
    <w:link w:val="2"/>
    <w:autoRedefine/>
    <w:qFormat/>
    <w:uiPriority w:val="0"/>
    <w:rPr>
      <w:rFonts w:ascii="Courier New" w:hAnsi="Courier New" w:eastAsia="Times New Roman" w:cs="Courier New"/>
      <w:spacing w:val="8"/>
      <w:kern w:val="0"/>
      <w:sz w:val="24"/>
      <w:szCs w:val="24"/>
    </w:rPr>
  </w:style>
  <w:style w:type="character" w:customStyle="1" w:styleId="124">
    <w:name w:val="注释标题 Char"/>
    <w:basedOn w:val="94"/>
    <w:link w:val="16"/>
    <w:autoRedefine/>
    <w:qFormat/>
    <w:uiPriority w:val="0"/>
    <w:rPr>
      <w:rFonts w:ascii="Times New Roman" w:hAnsi="Times New Roman" w:eastAsia="楷体_GB2312" w:cs="Times New Roman"/>
      <w:spacing w:val="8"/>
      <w:kern w:val="0"/>
      <w:sz w:val="28"/>
      <w:szCs w:val="20"/>
    </w:rPr>
  </w:style>
  <w:style w:type="character" w:customStyle="1" w:styleId="125">
    <w:name w:val="电子邮件签名 Char"/>
    <w:basedOn w:val="94"/>
    <w:link w:val="19"/>
    <w:autoRedefine/>
    <w:qFormat/>
    <w:uiPriority w:val="0"/>
    <w:rPr>
      <w:rFonts w:ascii="Times New Roman" w:hAnsi="Times New Roman" w:eastAsia="楷体_GB2312" w:cs="Times New Roman"/>
      <w:spacing w:val="8"/>
      <w:kern w:val="0"/>
      <w:sz w:val="28"/>
      <w:szCs w:val="20"/>
    </w:rPr>
  </w:style>
  <w:style w:type="character" w:customStyle="1" w:styleId="126">
    <w:name w:val="正文缩进 Char"/>
    <w:link w:val="21"/>
    <w:autoRedefine/>
    <w:qFormat/>
    <w:uiPriority w:val="0"/>
    <w:rPr>
      <w:rFonts w:ascii="Times New Roman" w:hAnsi="Times New Roman" w:eastAsia="宋体" w:cs="Times New Roman"/>
      <w:szCs w:val="24"/>
    </w:rPr>
  </w:style>
  <w:style w:type="character" w:customStyle="1" w:styleId="127">
    <w:name w:val="题注 Char"/>
    <w:link w:val="22"/>
    <w:autoRedefine/>
    <w:qFormat/>
    <w:uiPriority w:val="0"/>
    <w:rPr>
      <w:rFonts w:ascii="Arial" w:hAnsi="Arial" w:eastAsia="黑体" w:cs="Arial"/>
      <w:spacing w:val="30"/>
    </w:rPr>
  </w:style>
  <w:style w:type="character" w:customStyle="1" w:styleId="128">
    <w:name w:val="文档结构图 Char"/>
    <w:basedOn w:val="94"/>
    <w:link w:val="26"/>
    <w:autoRedefine/>
    <w:qFormat/>
    <w:uiPriority w:val="99"/>
    <w:rPr>
      <w:rFonts w:ascii="Times New Roman" w:hAnsi="Times New Roman" w:eastAsia="宋体" w:cs="Times New Roman"/>
      <w:szCs w:val="24"/>
      <w:shd w:val="clear" w:color="auto" w:fill="000080"/>
    </w:rPr>
  </w:style>
  <w:style w:type="character" w:customStyle="1" w:styleId="129">
    <w:name w:val="批注文字 Char"/>
    <w:basedOn w:val="94"/>
    <w:link w:val="28"/>
    <w:autoRedefine/>
    <w:qFormat/>
    <w:uiPriority w:val="0"/>
    <w:rPr>
      <w:rFonts w:ascii="Times New Roman" w:hAnsi="Times New Roman" w:eastAsia="宋体" w:cs="Times New Roman"/>
      <w:szCs w:val="24"/>
    </w:rPr>
  </w:style>
  <w:style w:type="character" w:customStyle="1" w:styleId="130">
    <w:name w:val="称呼 Char"/>
    <w:basedOn w:val="94"/>
    <w:link w:val="30"/>
    <w:autoRedefine/>
    <w:qFormat/>
    <w:uiPriority w:val="0"/>
    <w:rPr>
      <w:rFonts w:ascii="Times New Roman" w:hAnsi="Times New Roman" w:eastAsia="楷体_GB2312" w:cs="Times New Roman"/>
      <w:spacing w:val="8"/>
      <w:kern w:val="0"/>
      <w:sz w:val="28"/>
      <w:szCs w:val="20"/>
    </w:rPr>
  </w:style>
  <w:style w:type="character" w:customStyle="1" w:styleId="131">
    <w:name w:val="正文文本 3 Char"/>
    <w:basedOn w:val="94"/>
    <w:link w:val="31"/>
    <w:autoRedefine/>
    <w:qFormat/>
    <w:uiPriority w:val="99"/>
    <w:rPr>
      <w:rFonts w:ascii="Times New Roman" w:hAnsi="Times New Roman" w:eastAsia="宋体" w:cs="Times New Roman"/>
      <w:color w:val="FF0000"/>
      <w:szCs w:val="24"/>
    </w:rPr>
  </w:style>
  <w:style w:type="character" w:customStyle="1" w:styleId="132">
    <w:name w:val="结束语 Char"/>
    <w:basedOn w:val="94"/>
    <w:link w:val="32"/>
    <w:autoRedefine/>
    <w:qFormat/>
    <w:uiPriority w:val="0"/>
    <w:rPr>
      <w:rFonts w:ascii="Times New Roman" w:hAnsi="Times New Roman" w:eastAsia="楷体_GB2312" w:cs="Times New Roman"/>
      <w:spacing w:val="8"/>
      <w:kern w:val="0"/>
      <w:sz w:val="28"/>
      <w:szCs w:val="20"/>
    </w:rPr>
  </w:style>
  <w:style w:type="character" w:customStyle="1" w:styleId="133">
    <w:name w:val="正文文本 Char"/>
    <w:basedOn w:val="94"/>
    <w:link w:val="34"/>
    <w:autoRedefine/>
    <w:qFormat/>
    <w:uiPriority w:val="0"/>
    <w:rPr>
      <w:rFonts w:ascii="Times New Roman" w:hAnsi="Times New Roman" w:eastAsia="宋体" w:cs="Times New Roman"/>
      <w:szCs w:val="24"/>
    </w:rPr>
  </w:style>
  <w:style w:type="character" w:customStyle="1" w:styleId="134">
    <w:name w:val="正文文本缩进 Char"/>
    <w:basedOn w:val="94"/>
    <w:link w:val="35"/>
    <w:autoRedefine/>
    <w:qFormat/>
    <w:uiPriority w:val="0"/>
    <w:rPr>
      <w:rFonts w:ascii="Times New Roman" w:hAnsi="Times New Roman" w:eastAsia="宋体" w:cs="Times New Roman"/>
      <w:sz w:val="24"/>
      <w:szCs w:val="24"/>
    </w:rPr>
  </w:style>
  <w:style w:type="character" w:customStyle="1" w:styleId="135">
    <w:name w:val="HTML 地址 Char"/>
    <w:basedOn w:val="94"/>
    <w:link w:val="41"/>
    <w:autoRedefine/>
    <w:qFormat/>
    <w:uiPriority w:val="0"/>
    <w:rPr>
      <w:rFonts w:ascii="Times New Roman" w:hAnsi="Times New Roman" w:eastAsia="楷体_GB2312" w:cs="Times New Roman"/>
      <w:i/>
      <w:iCs/>
      <w:spacing w:val="8"/>
      <w:kern w:val="0"/>
      <w:sz w:val="28"/>
      <w:szCs w:val="20"/>
    </w:rPr>
  </w:style>
  <w:style w:type="character" w:customStyle="1" w:styleId="136">
    <w:name w:val="纯文本 Char"/>
    <w:basedOn w:val="94"/>
    <w:link w:val="45"/>
    <w:autoRedefine/>
    <w:qFormat/>
    <w:uiPriority w:val="0"/>
    <w:rPr>
      <w:rFonts w:ascii="宋体" w:hAnsi="Courier New" w:eastAsia="宋体" w:cs="Times New Roman"/>
      <w:spacing w:val="-2"/>
      <w:kern w:val="28"/>
      <w:szCs w:val="20"/>
    </w:rPr>
  </w:style>
  <w:style w:type="character" w:customStyle="1" w:styleId="137">
    <w:name w:val="日期 Char"/>
    <w:basedOn w:val="94"/>
    <w:link w:val="51"/>
    <w:autoRedefine/>
    <w:qFormat/>
    <w:uiPriority w:val="99"/>
    <w:rPr>
      <w:rFonts w:ascii="Times New Roman" w:hAnsi="Times New Roman" w:eastAsia="宋体" w:cs="Times New Roman"/>
      <w:kern w:val="0"/>
      <w:szCs w:val="20"/>
    </w:rPr>
  </w:style>
  <w:style w:type="character" w:customStyle="1" w:styleId="138">
    <w:name w:val="正文文本缩进 2 Char"/>
    <w:basedOn w:val="94"/>
    <w:link w:val="52"/>
    <w:autoRedefine/>
    <w:qFormat/>
    <w:uiPriority w:val="0"/>
    <w:rPr>
      <w:rFonts w:ascii="宋体" w:hAnsi="宋体" w:eastAsia="宋体" w:cs="Times New Roman"/>
      <w:spacing w:val="4"/>
      <w:sz w:val="24"/>
      <w:szCs w:val="24"/>
    </w:rPr>
  </w:style>
  <w:style w:type="character" w:customStyle="1" w:styleId="139">
    <w:name w:val="尾注文本 Char"/>
    <w:basedOn w:val="94"/>
    <w:link w:val="53"/>
    <w:autoRedefine/>
    <w:qFormat/>
    <w:uiPriority w:val="99"/>
    <w:rPr>
      <w:rFonts w:ascii="宋体" w:hAnsi="Times New Roman" w:eastAsia="宋体" w:cs="Times New Roman"/>
      <w:spacing w:val="30"/>
      <w:kern w:val="0"/>
      <w:sz w:val="24"/>
      <w:szCs w:val="20"/>
    </w:rPr>
  </w:style>
  <w:style w:type="character" w:customStyle="1" w:styleId="140">
    <w:name w:val="批注框文本 Char"/>
    <w:basedOn w:val="94"/>
    <w:link w:val="55"/>
    <w:autoRedefine/>
    <w:qFormat/>
    <w:uiPriority w:val="99"/>
    <w:rPr>
      <w:sz w:val="18"/>
      <w:szCs w:val="18"/>
    </w:rPr>
  </w:style>
  <w:style w:type="character" w:customStyle="1" w:styleId="141">
    <w:name w:val="页脚 Char"/>
    <w:basedOn w:val="94"/>
    <w:link w:val="56"/>
    <w:autoRedefine/>
    <w:qFormat/>
    <w:uiPriority w:val="0"/>
    <w:rPr>
      <w:sz w:val="18"/>
      <w:szCs w:val="18"/>
    </w:rPr>
  </w:style>
  <w:style w:type="character" w:customStyle="1" w:styleId="142">
    <w:name w:val="页眉 Char"/>
    <w:basedOn w:val="94"/>
    <w:link w:val="58"/>
    <w:autoRedefine/>
    <w:qFormat/>
    <w:uiPriority w:val="0"/>
    <w:rPr>
      <w:sz w:val="18"/>
      <w:szCs w:val="18"/>
    </w:rPr>
  </w:style>
  <w:style w:type="character" w:customStyle="1" w:styleId="143">
    <w:name w:val="签名 Char"/>
    <w:basedOn w:val="94"/>
    <w:link w:val="60"/>
    <w:autoRedefine/>
    <w:qFormat/>
    <w:uiPriority w:val="0"/>
    <w:rPr>
      <w:rFonts w:ascii="Times New Roman" w:hAnsi="Times New Roman" w:eastAsia="楷体_GB2312" w:cs="Times New Roman"/>
      <w:spacing w:val="8"/>
      <w:kern w:val="0"/>
      <w:sz w:val="28"/>
      <w:szCs w:val="20"/>
    </w:rPr>
  </w:style>
  <w:style w:type="character" w:customStyle="1" w:styleId="144">
    <w:name w:val="副标题 Char"/>
    <w:basedOn w:val="94"/>
    <w:link w:val="65"/>
    <w:autoRedefine/>
    <w:qFormat/>
    <w:uiPriority w:val="0"/>
    <w:rPr>
      <w:rFonts w:ascii="Arial" w:hAnsi="Arial" w:eastAsia="宋体" w:cs="Times New Roman"/>
      <w:b/>
      <w:bCs/>
      <w:spacing w:val="8"/>
      <w:kern w:val="28"/>
      <w:sz w:val="32"/>
      <w:szCs w:val="32"/>
    </w:rPr>
  </w:style>
  <w:style w:type="character" w:customStyle="1" w:styleId="145">
    <w:name w:val="列表 Char"/>
    <w:link w:val="67"/>
    <w:autoRedefine/>
    <w:qFormat/>
    <w:uiPriority w:val="0"/>
    <w:rPr>
      <w:rFonts w:ascii="宋体" w:hAnsi="宋体" w:eastAsia="宋体" w:cs="Times New Roman"/>
      <w:sz w:val="24"/>
      <w:szCs w:val="20"/>
    </w:rPr>
  </w:style>
  <w:style w:type="character" w:customStyle="1" w:styleId="146">
    <w:name w:val="脚注文本 Char"/>
    <w:basedOn w:val="94"/>
    <w:link w:val="68"/>
    <w:autoRedefine/>
    <w:qFormat/>
    <w:uiPriority w:val="0"/>
    <w:rPr>
      <w:rFonts w:ascii="宋体" w:hAnsi="Times New Roman" w:eastAsia="宋体" w:cs="Times New Roman"/>
      <w:spacing w:val="30"/>
      <w:kern w:val="0"/>
      <w:sz w:val="18"/>
      <w:szCs w:val="18"/>
    </w:rPr>
  </w:style>
  <w:style w:type="character" w:customStyle="1" w:styleId="147">
    <w:name w:val="正文文本缩进 3 Char"/>
    <w:basedOn w:val="94"/>
    <w:link w:val="71"/>
    <w:autoRedefine/>
    <w:qFormat/>
    <w:uiPriority w:val="0"/>
    <w:rPr>
      <w:rFonts w:ascii="Times New Roman" w:hAnsi="Times New Roman" w:eastAsia="宋体" w:cs="Times New Roman"/>
      <w:sz w:val="24"/>
      <w:szCs w:val="24"/>
    </w:rPr>
  </w:style>
  <w:style w:type="character" w:customStyle="1" w:styleId="148">
    <w:name w:val="目录 2 Char"/>
    <w:link w:val="75"/>
    <w:autoRedefine/>
    <w:semiHidden/>
    <w:qFormat/>
    <w:uiPriority w:val="0"/>
    <w:rPr>
      <w:rFonts w:ascii="Times New Roman" w:hAnsi="Times New Roman" w:eastAsia="宋体" w:cs="Times New Roman"/>
      <w:bCs/>
      <w:smallCaps/>
      <w:sz w:val="22"/>
    </w:rPr>
  </w:style>
  <w:style w:type="character" w:customStyle="1" w:styleId="149">
    <w:name w:val="正文文本 2 Char"/>
    <w:basedOn w:val="94"/>
    <w:link w:val="77"/>
    <w:autoRedefine/>
    <w:qFormat/>
    <w:uiPriority w:val="99"/>
    <w:rPr>
      <w:rFonts w:ascii="Times New Roman" w:hAnsi="Times New Roman" w:eastAsia="楷体_GB2312" w:cs="Times New Roman"/>
      <w:spacing w:val="8"/>
      <w:kern w:val="0"/>
      <w:sz w:val="28"/>
      <w:szCs w:val="20"/>
    </w:rPr>
  </w:style>
  <w:style w:type="character" w:customStyle="1" w:styleId="150">
    <w:name w:val="信息标题 Char"/>
    <w:basedOn w:val="94"/>
    <w:link w:val="80"/>
    <w:autoRedefine/>
    <w:qFormat/>
    <w:uiPriority w:val="0"/>
    <w:rPr>
      <w:rFonts w:ascii="Arial" w:hAnsi="Arial" w:eastAsia="楷体_GB2312" w:cs="Times New Roman"/>
      <w:spacing w:val="8"/>
      <w:kern w:val="0"/>
      <w:sz w:val="24"/>
      <w:szCs w:val="24"/>
      <w:shd w:val="pct20" w:color="auto" w:fill="auto"/>
    </w:rPr>
  </w:style>
  <w:style w:type="character" w:customStyle="1" w:styleId="151">
    <w:name w:val="HTML 预设格式 Char"/>
    <w:basedOn w:val="94"/>
    <w:link w:val="81"/>
    <w:autoRedefine/>
    <w:qFormat/>
    <w:uiPriority w:val="99"/>
    <w:rPr>
      <w:rFonts w:ascii="宋体" w:hAnsi="宋体" w:eastAsia="宋体" w:cs="Times New Roman"/>
      <w:kern w:val="0"/>
      <w:sz w:val="24"/>
      <w:szCs w:val="24"/>
    </w:rPr>
  </w:style>
  <w:style w:type="character" w:customStyle="1" w:styleId="152">
    <w:name w:val="普通(网站) Char"/>
    <w:link w:val="82"/>
    <w:autoRedefine/>
    <w:qFormat/>
    <w:locked/>
    <w:uiPriority w:val="0"/>
    <w:rPr>
      <w:rFonts w:ascii="宋体" w:hAnsi="宋体" w:eastAsia="宋体"/>
      <w:sz w:val="24"/>
    </w:rPr>
  </w:style>
  <w:style w:type="character" w:customStyle="1" w:styleId="153">
    <w:name w:val="标题 Char"/>
    <w:basedOn w:val="94"/>
    <w:link w:val="85"/>
    <w:autoRedefine/>
    <w:qFormat/>
    <w:uiPriority w:val="0"/>
    <w:rPr>
      <w:rFonts w:ascii="Times New Roman" w:hAnsi="Times New Roman" w:eastAsia="宋体" w:cs="Times New Roman"/>
      <w:b/>
      <w:bCs/>
      <w:kern w:val="0"/>
      <w:sz w:val="48"/>
      <w:szCs w:val="32"/>
      <w:lang w:val="de-DE"/>
    </w:rPr>
  </w:style>
  <w:style w:type="character" w:customStyle="1" w:styleId="154">
    <w:name w:val="批注主题 Char"/>
    <w:basedOn w:val="129"/>
    <w:link w:val="86"/>
    <w:autoRedefine/>
    <w:qFormat/>
    <w:uiPriority w:val="99"/>
    <w:rPr>
      <w:rFonts w:ascii="Times New Roman" w:hAnsi="Times New Roman" w:eastAsia="宋体" w:cs="Times New Roman"/>
      <w:b/>
      <w:bCs/>
      <w:szCs w:val="24"/>
    </w:rPr>
  </w:style>
  <w:style w:type="character" w:customStyle="1" w:styleId="155">
    <w:name w:val="正文首行缩进 Char"/>
    <w:basedOn w:val="133"/>
    <w:link w:val="87"/>
    <w:autoRedefine/>
    <w:qFormat/>
    <w:uiPriority w:val="0"/>
    <w:rPr>
      <w:rFonts w:ascii="Times New Roman" w:hAnsi="Times New Roman" w:eastAsia="宋体" w:cs="Times New Roman"/>
      <w:szCs w:val="24"/>
    </w:rPr>
  </w:style>
  <w:style w:type="character" w:customStyle="1" w:styleId="156">
    <w:name w:val="正文首行缩进 2 Char"/>
    <w:basedOn w:val="134"/>
    <w:link w:val="88"/>
    <w:autoRedefine/>
    <w:qFormat/>
    <w:uiPriority w:val="99"/>
    <w:rPr>
      <w:rFonts w:ascii="Times New Roman" w:hAnsi="Times New Roman" w:eastAsia="宋体" w:cs="Times New Roman"/>
      <w:sz w:val="24"/>
      <w:szCs w:val="24"/>
    </w:rPr>
  </w:style>
  <w:style w:type="paragraph" w:styleId="157">
    <w:name w:val="List Paragraph"/>
    <w:basedOn w:val="1"/>
    <w:link w:val="158"/>
    <w:autoRedefine/>
    <w:qFormat/>
    <w:uiPriority w:val="34"/>
    <w:pPr>
      <w:ind w:firstLine="420" w:firstLineChars="200"/>
    </w:pPr>
    <w:rPr>
      <w:rFonts w:asciiTheme="minorHAnsi" w:hAnsiTheme="minorHAnsi" w:eastAsiaTheme="minorEastAsia" w:cstheme="minorBidi"/>
      <w:szCs w:val="22"/>
    </w:rPr>
  </w:style>
  <w:style w:type="character" w:customStyle="1" w:styleId="158">
    <w:name w:val="列出段落 Char"/>
    <w:link w:val="157"/>
    <w:autoRedefine/>
    <w:qFormat/>
    <w:uiPriority w:val="34"/>
    <w:rPr>
      <w:rFonts w:asciiTheme="minorHAnsi" w:hAnsiTheme="minorHAnsi" w:eastAsiaTheme="minorEastAsia" w:cstheme="minorBidi"/>
      <w:kern w:val="2"/>
      <w:sz w:val="21"/>
      <w:szCs w:val="22"/>
    </w:rPr>
  </w:style>
  <w:style w:type="table" w:customStyle="1" w:styleId="159">
    <w:name w:val="网格型1"/>
    <w:basedOn w:val="8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0">
    <w:name w:val="表头 Char Char"/>
    <w:link w:val="161"/>
    <w:autoRedefine/>
    <w:qFormat/>
    <w:locked/>
    <w:uiPriority w:val="0"/>
    <w:rPr>
      <w:rFonts w:ascii="黑体" w:hAnsi="黑体" w:eastAsia="黑体"/>
      <w:spacing w:val="-10"/>
    </w:rPr>
  </w:style>
  <w:style w:type="paragraph" w:customStyle="1" w:styleId="161">
    <w:name w:val="表头"/>
    <w:basedOn w:val="1"/>
    <w:next w:val="1"/>
    <w:link w:val="160"/>
    <w:autoRedefine/>
    <w:qFormat/>
    <w:uiPriority w:val="0"/>
    <w:pPr>
      <w:adjustRightInd w:val="0"/>
      <w:snapToGrid w:val="0"/>
      <w:spacing w:line="320" w:lineRule="atLeast"/>
      <w:jc w:val="center"/>
    </w:pPr>
    <w:rPr>
      <w:rFonts w:ascii="黑体" w:hAnsi="黑体" w:eastAsia="黑体" w:cstheme="minorBidi"/>
      <w:spacing w:val="-10"/>
      <w:szCs w:val="22"/>
    </w:rPr>
  </w:style>
  <w:style w:type="character" w:customStyle="1" w:styleId="162">
    <w:name w:val="表格文字 Char Char"/>
    <w:link w:val="163"/>
    <w:autoRedefine/>
    <w:qFormat/>
    <w:locked/>
    <w:uiPriority w:val="0"/>
    <w:rPr>
      <w:rFonts w:ascii="仿宋_GB2312" w:hAnsi="Arial Black" w:eastAsia="仿宋_GB2312"/>
      <w:kern w:val="44"/>
      <w:sz w:val="24"/>
    </w:rPr>
  </w:style>
  <w:style w:type="paragraph" w:customStyle="1" w:styleId="163">
    <w:name w:val="表格文字"/>
    <w:basedOn w:val="1"/>
    <w:link w:val="162"/>
    <w:autoRedefine/>
    <w:qFormat/>
    <w:uiPriority w:val="0"/>
    <w:pPr>
      <w:jc w:val="center"/>
    </w:pPr>
    <w:rPr>
      <w:rFonts w:ascii="仿宋_GB2312" w:hAnsi="Arial Black" w:eastAsia="仿宋_GB2312" w:cstheme="minorBidi"/>
      <w:kern w:val="44"/>
      <w:sz w:val="24"/>
      <w:szCs w:val="22"/>
    </w:rPr>
  </w:style>
  <w:style w:type="character" w:customStyle="1" w:styleId="164">
    <w:name w:val="表格文字2 Char"/>
    <w:link w:val="165"/>
    <w:autoRedefine/>
    <w:qFormat/>
    <w:locked/>
    <w:uiPriority w:val="0"/>
    <w:rPr>
      <w:szCs w:val="21"/>
    </w:rPr>
  </w:style>
  <w:style w:type="paragraph" w:customStyle="1" w:styleId="165">
    <w:name w:val="表格文字2"/>
    <w:basedOn w:val="1"/>
    <w:link w:val="164"/>
    <w:autoRedefine/>
    <w:qFormat/>
    <w:uiPriority w:val="0"/>
    <w:pPr>
      <w:tabs>
        <w:tab w:val="left" w:pos="277"/>
        <w:tab w:val="left" w:pos="600"/>
        <w:tab w:val="left" w:pos="780"/>
        <w:tab w:val="left" w:pos="2517"/>
      </w:tabs>
      <w:adjustRightInd w:val="0"/>
      <w:snapToGrid w:val="0"/>
      <w:jc w:val="center"/>
    </w:pPr>
    <w:rPr>
      <w:rFonts w:asciiTheme="minorHAnsi" w:hAnsiTheme="minorHAnsi" w:eastAsiaTheme="minorEastAsia" w:cstheme="minorBidi"/>
      <w:szCs w:val="21"/>
    </w:rPr>
  </w:style>
  <w:style w:type="table" w:customStyle="1" w:styleId="166">
    <w:name w:val="网格型2"/>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7">
    <w:name w:val="fonttitle"/>
    <w:basedOn w:val="94"/>
    <w:autoRedefine/>
    <w:qFormat/>
    <w:uiPriority w:val="0"/>
  </w:style>
  <w:style w:type="character" w:customStyle="1" w:styleId="168">
    <w:name w:val="z-窗体底端 Char"/>
    <w:link w:val="169"/>
    <w:autoRedefine/>
    <w:qFormat/>
    <w:uiPriority w:val="0"/>
    <w:rPr>
      <w:rFonts w:ascii="Arial" w:hAnsi="Arial"/>
      <w:vanish/>
      <w:sz w:val="16"/>
      <w:szCs w:val="16"/>
    </w:rPr>
  </w:style>
  <w:style w:type="paragraph" w:customStyle="1" w:styleId="169">
    <w:name w:val="z-窗体底端1"/>
    <w:basedOn w:val="1"/>
    <w:next w:val="1"/>
    <w:link w:val="168"/>
    <w:autoRedefine/>
    <w:qFormat/>
    <w:uiPriority w:val="0"/>
    <w:pPr>
      <w:widowControl/>
      <w:pBdr>
        <w:top w:val="single" w:color="auto" w:sz="6" w:space="1"/>
      </w:pBdr>
      <w:jc w:val="center"/>
    </w:pPr>
    <w:rPr>
      <w:rFonts w:ascii="Arial" w:hAnsi="Arial" w:eastAsiaTheme="minorEastAsia" w:cstheme="minorBidi"/>
      <w:vanish/>
      <w:sz w:val="16"/>
      <w:szCs w:val="16"/>
    </w:rPr>
  </w:style>
  <w:style w:type="character" w:customStyle="1" w:styleId="170">
    <w:name w:val="节 Char"/>
    <w:autoRedefine/>
    <w:qFormat/>
    <w:uiPriority w:val="0"/>
    <w:rPr>
      <w:rFonts w:ascii="Arial" w:hAnsi="Arial" w:eastAsia="黑体" w:cs="Times New Roman"/>
      <w:b/>
      <w:sz w:val="32"/>
      <w:szCs w:val="20"/>
    </w:rPr>
  </w:style>
  <w:style w:type="character" w:customStyle="1" w:styleId="171">
    <w:name w:val="fontborder"/>
    <w:autoRedefine/>
    <w:qFormat/>
    <w:uiPriority w:val="0"/>
    <w:rPr>
      <w:bdr w:val="single" w:color="000000" w:sz="6" w:space="0"/>
    </w:rPr>
  </w:style>
  <w:style w:type="character" w:customStyle="1" w:styleId="172">
    <w:name w:val="普通文字 Char1"/>
    <w:autoRedefine/>
    <w:qFormat/>
    <w:uiPriority w:val="0"/>
    <w:rPr>
      <w:rFonts w:ascii="宋体" w:hAnsi="Courier New" w:eastAsia="楷体_GB2312"/>
      <w:spacing w:val="8"/>
      <w:sz w:val="21"/>
    </w:rPr>
  </w:style>
  <w:style w:type="character" w:customStyle="1" w:styleId="173">
    <w:name w:val="Char Char26"/>
    <w:autoRedefine/>
    <w:qFormat/>
    <w:uiPriority w:val="0"/>
    <w:rPr>
      <w:rFonts w:ascii="Times New Roman" w:eastAsia="楷体_GB2312"/>
      <w:smallCaps/>
      <w:spacing w:val="8"/>
      <w:sz w:val="24"/>
    </w:rPr>
  </w:style>
  <w:style w:type="character" w:customStyle="1" w:styleId="174">
    <w:name w:val="EB-HL-正文 Char Char"/>
    <w:link w:val="175"/>
    <w:autoRedefine/>
    <w:qFormat/>
    <w:uiPriority w:val="0"/>
    <w:rPr>
      <w:rFonts w:eastAsia="宋体"/>
      <w:color w:val="000000"/>
      <w:sz w:val="24"/>
      <w:szCs w:val="15"/>
    </w:rPr>
  </w:style>
  <w:style w:type="paragraph" w:customStyle="1" w:styleId="175">
    <w:name w:val="EB-HL-正文"/>
    <w:basedOn w:val="1"/>
    <w:link w:val="174"/>
    <w:autoRedefine/>
    <w:qFormat/>
    <w:uiPriority w:val="0"/>
    <w:pPr>
      <w:spacing w:before="156" w:beforeLines="50" w:after="156" w:afterLines="50" w:line="360" w:lineRule="auto"/>
      <w:ind w:firstLine="480" w:firstLineChars="200"/>
    </w:pPr>
    <w:rPr>
      <w:rFonts w:asciiTheme="minorHAnsi" w:hAnsiTheme="minorHAnsi" w:cstheme="minorBidi"/>
      <w:color w:val="000000"/>
      <w:sz w:val="24"/>
      <w:szCs w:val="15"/>
    </w:rPr>
  </w:style>
  <w:style w:type="character" w:customStyle="1" w:styleId="176">
    <w:name w:val="mailaddr1"/>
    <w:autoRedefine/>
    <w:qFormat/>
    <w:uiPriority w:val="0"/>
    <w:rPr>
      <w:color w:val="999999"/>
    </w:rPr>
  </w:style>
  <w:style w:type="character" w:customStyle="1" w:styleId="177">
    <w:name w:val="style12"/>
    <w:basedOn w:val="94"/>
    <w:autoRedefine/>
    <w:qFormat/>
    <w:uiPriority w:val="0"/>
  </w:style>
  <w:style w:type="character" w:customStyle="1" w:styleId="178">
    <w:name w:val="样式 0 + (符号) 宋体 行距: 固定值 22 磅 Char Char"/>
    <w:link w:val="179"/>
    <w:autoRedefine/>
    <w:qFormat/>
    <w:uiPriority w:val="0"/>
    <w:rPr>
      <w:rFonts w:hAnsi="宋体" w:eastAsia="宋体" w:cs="宋体"/>
      <w:spacing w:val="8"/>
      <w:sz w:val="28"/>
    </w:rPr>
  </w:style>
  <w:style w:type="paragraph" w:customStyle="1" w:styleId="179">
    <w:name w:val="样式 0 + (符号) 宋体 行距: 固定值 22 磅"/>
    <w:basedOn w:val="1"/>
    <w:link w:val="178"/>
    <w:autoRedefine/>
    <w:qFormat/>
    <w:uiPriority w:val="0"/>
    <w:pPr>
      <w:widowControl/>
      <w:snapToGrid w:val="0"/>
      <w:spacing w:line="480" w:lineRule="exact"/>
      <w:ind w:firstLine="200" w:firstLineChars="200"/>
      <w:textAlignment w:val="baseline"/>
    </w:pPr>
    <w:rPr>
      <w:rFonts w:hAnsi="宋体" w:cs="宋体" w:asciiTheme="minorHAnsi"/>
      <w:spacing w:val="8"/>
      <w:sz w:val="28"/>
      <w:szCs w:val="22"/>
    </w:rPr>
  </w:style>
  <w:style w:type="character" w:customStyle="1" w:styleId="180">
    <w:name w:val="font131"/>
    <w:autoRedefine/>
    <w:qFormat/>
    <w:uiPriority w:val="0"/>
    <w:rPr>
      <w:color w:val="333333"/>
      <w:sz w:val="18"/>
      <w:szCs w:val="18"/>
    </w:rPr>
  </w:style>
  <w:style w:type="character" w:customStyle="1" w:styleId="181">
    <w:name w:val="MTEquationSection"/>
    <w:autoRedefine/>
    <w:qFormat/>
    <w:uiPriority w:val="0"/>
    <w:rPr>
      <w:vanish/>
    </w:rPr>
  </w:style>
  <w:style w:type="character" w:customStyle="1" w:styleId="182">
    <w:name w:val="style361"/>
    <w:autoRedefine/>
    <w:qFormat/>
    <w:uiPriority w:val="0"/>
    <w:rPr>
      <w:sz w:val="18"/>
      <w:szCs w:val="18"/>
    </w:rPr>
  </w:style>
  <w:style w:type="character" w:customStyle="1" w:styleId="183">
    <w:name w:val="p141"/>
    <w:autoRedefine/>
    <w:qFormat/>
    <w:uiPriority w:val="0"/>
    <w:rPr>
      <w:sz w:val="21"/>
      <w:szCs w:val="21"/>
      <w:u w:val="none"/>
    </w:rPr>
  </w:style>
  <w:style w:type="character" w:customStyle="1" w:styleId="184">
    <w:name w:val="正文B Char Char Char Char Char Char"/>
    <w:autoRedefine/>
    <w:qFormat/>
    <w:uiPriority w:val="0"/>
    <w:rPr>
      <w:rFonts w:ascii="Times New Roman" w:hAnsi="Times New Roman" w:eastAsia="楷体_GB2312" w:cs="Times New Roman"/>
      <w:spacing w:val="8"/>
      <w:kern w:val="0"/>
      <w:sz w:val="28"/>
      <w:szCs w:val="20"/>
    </w:rPr>
  </w:style>
  <w:style w:type="character" w:customStyle="1" w:styleId="185">
    <w:name w:val="Char Char30"/>
    <w:autoRedefine/>
    <w:qFormat/>
    <w:uiPriority w:val="0"/>
    <w:rPr>
      <w:rFonts w:ascii="Arial" w:hAnsi="Arial" w:eastAsia="黑体"/>
      <w:spacing w:val="8"/>
      <w:sz w:val="24"/>
      <w:lang w:val="en-US" w:eastAsia="zh-CN" w:bidi="ar-SA"/>
    </w:rPr>
  </w:style>
  <w:style w:type="character" w:customStyle="1" w:styleId="186">
    <w:name w:val="font31"/>
    <w:autoRedefine/>
    <w:qFormat/>
    <w:uiPriority w:val="0"/>
    <w:rPr>
      <w:rFonts w:hint="eastAsia" w:ascii="宋体" w:hAnsi="宋体" w:eastAsia="宋体" w:cs="宋体"/>
      <w:color w:val="000000"/>
      <w:sz w:val="21"/>
      <w:szCs w:val="21"/>
      <w:u w:val="none"/>
    </w:rPr>
  </w:style>
  <w:style w:type="character" w:customStyle="1" w:styleId="187">
    <w:name w:val="style81"/>
    <w:autoRedefine/>
    <w:qFormat/>
    <w:uiPriority w:val="0"/>
    <w:rPr>
      <w:sz w:val="26"/>
      <w:szCs w:val="26"/>
    </w:rPr>
  </w:style>
  <w:style w:type="character" w:customStyle="1" w:styleId="188">
    <w:name w:val="Body Text(ch) Char4"/>
    <w:autoRedefine/>
    <w:qFormat/>
    <w:uiPriority w:val="0"/>
    <w:rPr>
      <w:rFonts w:eastAsia="楷体_GB2312"/>
      <w:spacing w:val="8"/>
      <w:sz w:val="28"/>
      <w:lang w:val="en-US" w:eastAsia="zh-CN" w:bidi="ar-SA"/>
    </w:rPr>
  </w:style>
  <w:style w:type="character" w:customStyle="1" w:styleId="189">
    <w:name w:val="tdline1"/>
    <w:basedOn w:val="94"/>
    <w:autoRedefine/>
    <w:qFormat/>
    <w:uiPriority w:val="0"/>
  </w:style>
  <w:style w:type="character" w:customStyle="1" w:styleId="190">
    <w:name w:val="count8"/>
    <w:autoRedefine/>
    <w:qFormat/>
    <w:uiPriority w:val="0"/>
    <w:rPr>
      <w:color w:val="999999"/>
    </w:rPr>
  </w:style>
  <w:style w:type="character" w:customStyle="1" w:styleId="191">
    <w:name w:val="title12"/>
    <w:basedOn w:val="94"/>
    <w:autoRedefine/>
    <w:qFormat/>
    <w:uiPriority w:val="0"/>
  </w:style>
  <w:style w:type="character" w:customStyle="1" w:styleId="192">
    <w:name w:val="text1"/>
    <w:autoRedefine/>
    <w:qFormat/>
    <w:uiPriority w:val="0"/>
    <w:rPr>
      <w:color w:val="000000"/>
      <w:sz w:val="20"/>
      <w:szCs w:val="20"/>
      <w:u w:val="none"/>
    </w:rPr>
  </w:style>
  <w:style w:type="character" w:customStyle="1" w:styleId="193">
    <w:name w:val="正文文字 Char Char"/>
    <w:autoRedefine/>
    <w:qFormat/>
    <w:uiPriority w:val="0"/>
    <w:rPr>
      <w:rFonts w:eastAsia="仿宋_GB2312"/>
      <w:kern w:val="2"/>
      <w:sz w:val="24"/>
      <w:szCs w:val="24"/>
      <w:lang w:val="en-US" w:eastAsia="zh-CN" w:bidi="ar-SA"/>
    </w:rPr>
  </w:style>
  <w:style w:type="character" w:customStyle="1" w:styleId="194">
    <w:name w:val="cucd-0 Char Char"/>
    <w:link w:val="195"/>
    <w:autoRedefine/>
    <w:qFormat/>
    <w:uiPriority w:val="0"/>
    <w:rPr>
      <w:rFonts w:ascii="Arial" w:hAnsi="Arial" w:eastAsia="Times New Roman"/>
      <w:sz w:val="24"/>
      <w:szCs w:val="24"/>
    </w:rPr>
  </w:style>
  <w:style w:type="paragraph" w:customStyle="1" w:styleId="195">
    <w:name w:val="cucd-0"/>
    <w:link w:val="194"/>
    <w:autoRedefine/>
    <w:qFormat/>
    <w:uiPriority w:val="0"/>
    <w:pPr>
      <w:spacing w:line="360" w:lineRule="auto"/>
      <w:ind w:firstLine="480" w:firstLineChars="200"/>
    </w:pPr>
    <w:rPr>
      <w:rFonts w:ascii="Arial" w:hAnsi="Arial" w:eastAsia="Times New Roman" w:cstheme="minorBidi"/>
      <w:kern w:val="2"/>
      <w:sz w:val="24"/>
      <w:szCs w:val="24"/>
      <w:lang w:val="en-US" w:eastAsia="zh-CN" w:bidi="ar-SA"/>
    </w:rPr>
  </w:style>
  <w:style w:type="character" w:customStyle="1" w:styleId="196">
    <w:name w:val="WW8Num12z0"/>
    <w:autoRedefine/>
    <w:qFormat/>
    <w:uiPriority w:val="0"/>
    <w:rPr>
      <w:rFonts w:ascii="Wingdings" w:hAnsi="Wingdings"/>
    </w:rPr>
  </w:style>
  <w:style w:type="character" w:customStyle="1" w:styleId="197">
    <w:name w:val="Char Char64"/>
    <w:autoRedefine/>
    <w:qFormat/>
    <w:uiPriority w:val="0"/>
    <w:rPr>
      <w:rFonts w:ascii="Arial Rounded MT Bold" w:hAnsi="Arial Rounded MT Bold" w:eastAsia="文鼎大标宋简"/>
      <w:spacing w:val="8"/>
      <w:sz w:val="28"/>
      <w:lang w:val="en-US" w:eastAsia="zh-CN" w:bidi="ar-SA"/>
    </w:rPr>
  </w:style>
  <w:style w:type="character" w:customStyle="1" w:styleId="198">
    <w:name w:val="newtitle1"/>
    <w:autoRedefine/>
    <w:qFormat/>
    <w:uiPriority w:val="0"/>
    <w:rPr>
      <w:b/>
      <w:bCs/>
      <w:color w:val="104264"/>
    </w:rPr>
  </w:style>
  <w:style w:type="character" w:customStyle="1" w:styleId="199">
    <w:name w:val="1.1.1.1 Char Char Char"/>
    <w:autoRedefine/>
    <w:qFormat/>
    <w:uiPriority w:val="0"/>
    <w:rPr>
      <w:rFonts w:ascii="仿宋_GB2312" w:eastAsia="仿宋_GB2312"/>
      <w:sz w:val="24"/>
      <w:szCs w:val="24"/>
      <w:lang w:bidi="ar-SA"/>
    </w:rPr>
  </w:style>
  <w:style w:type="character" w:customStyle="1" w:styleId="200">
    <w:name w:val="gray s"/>
    <w:basedOn w:val="94"/>
    <w:autoRedefine/>
    <w:qFormat/>
    <w:uiPriority w:val="0"/>
  </w:style>
  <w:style w:type="character" w:customStyle="1" w:styleId="201">
    <w:name w:val="unnamed21"/>
    <w:autoRedefine/>
    <w:qFormat/>
    <w:uiPriority w:val="0"/>
    <w:rPr>
      <w:rFonts w:hint="default"/>
      <w:color w:val="000000"/>
      <w:sz w:val="24"/>
      <w:szCs w:val="24"/>
    </w:rPr>
  </w:style>
  <w:style w:type="character" w:customStyle="1" w:styleId="202">
    <w:name w:val="样式 代建人投标样本正文 + 非加粗 Char Char"/>
    <w:link w:val="203"/>
    <w:autoRedefine/>
    <w:qFormat/>
    <w:uiPriority w:val="0"/>
    <w:rPr>
      <w:rFonts w:ascii="宋体" w:hAnsi="宋体" w:eastAsia="楷体_GB2312" w:cs="宋体"/>
      <w:spacing w:val="8"/>
      <w:sz w:val="24"/>
      <w:szCs w:val="24"/>
    </w:rPr>
  </w:style>
  <w:style w:type="paragraph" w:customStyle="1" w:styleId="203">
    <w:name w:val="样式 代建人投标样本正文 + 非加粗"/>
    <w:basedOn w:val="1"/>
    <w:link w:val="202"/>
    <w:autoRedefine/>
    <w:qFormat/>
    <w:uiPriority w:val="0"/>
    <w:pPr>
      <w:adjustRightInd w:val="0"/>
      <w:spacing w:line="440" w:lineRule="exact"/>
      <w:ind w:firstLine="22" w:firstLineChars="9"/>
      <w:jc w:val="center"/>
      <w:textAlignment w:val="baseline"/>
    </w:pPr>
    <w:rPr>
      <w:rFonts w:ascii="宋体" w:hAnsi="宋体" w:eastAsia="楷体_GB2312" w:cs="宋体"/>
      <w:spacing w:val="8"/>
      <w:sz w:val="24"/>
    </w:rPr>
  </w:style>
  <w:style w:type="character" w:customStyle="1" w:styleId="204">
    <w:name w:val="articledate1"/>
    <w:autoRedefine/>
    <w:qFormat/>
    <w:uiPriority w:val="0"/>
    <w:rPr>
      <w:rFonts w:hint="default" w:ascii="Arial" w:hAnsi="Arial" w:cs="Arial"/>
      <w:color w:val="848B90"/>
      <w:spacing w:val="15"/>
      <w:sz w:val="17"/>
      <w:szCs w:val="17"/>
      <w:u w:val="none"/>
    </w:rPr>
  </w:style>
  <w:style w:type="character" w:customStyle="1" w:styleId="205">
    <w:name w:val="last-child"/>
    <w:autoRedefine/>
    <w:qFormat/>
    <w:uiPriority w:val="0"/>
    <w:rPr>
      <w:sz w:val="19"/>
      <w:szCs w:val="19"/>
    </w:rPr>
  </w:style>
  <w:style w:type="character" w:customStyle="1" w:styleId="206">
    <w:name w:val="title1"/>
    <w:autoRedefine/>
    <w:qFormat/>
    <w:uiPriority w:val="0"/>
    <w:rPr>
      <w:b/>
      <w:bCs/>
      <w:color w:val="03A2D0"/>
      <w:sz w:val="22"/>
      <w:szCs w:val="22"/>
    </w:rPr>
  </w:style>
  <w:style w:type="character" w:customStyle="1" w:styleId="207">
    <w:name w:val="style1081"/>
    <w:autoRedefine/>
    <w:qFormat/>
    <w:uiPriority w:val="0"/>
    <w:rPr>
      <w:rFonts w:hint="eastAsia" w:ascii="楷体_GB2312" w:eastAsia="楷体_GB2312"/>
      <w:sz w:val="27"/>
      <w:szCs w:val="27"/>
    </w:rPr>
  </w:style>
  <w:style w:type="character" w:customStyle="1" w:styleId="208">
    <w:name w:val="第一章 标题 2 Char1"/>
    <w:autoRedefine/>
    <w:qFormat/>
    <w:uiPriority w:val="0"/>
    <w:rPr>
      <w:rFonts w:ascii="Arial Rounded MT Bold" w:hAnsi="Arial Rounded MT Bold" w:eastAsia="黑体"/>
      <w:spacing w:val="8"/>
      <w:sz w:val="32"/>
      <w:lang w:val="en-US" w:eastAsia="zh-CN" w:bidi="ar-SA"/>
    </w:rPr>
  </w:style>
  <w:style w:type="character" w:customStyle="1" w:styleId="209">
    <w:name w:val="图号标题 Char Char Char Char Char"/>
    <w:autoRedefine/>
    <w:qFormat/>
    <w:uiPriority w:val="0"/>
    <w:rPr>
      <w:rFonts w:eastAsia="楷体_GB2312"/>
      <w:b/>
      <w:kern w:val="2"/>
      <w:sz w:val="21"/>
      <w:szCs w:val="24"/>
      <w:lang w:val="en-US" w:eastAsia="zh-CN" w:bidi="ar-SA"/>
    </w:rPr>
  </w:style>
  <w:style w:type="character" w:customStyle="1" w:styleId="210">
    <w:name w:val="标题 B Char Char Char"/>
    <w:autoRedefine/>
    <w:qFormat/>
    <w:uiPriority w:val="0"/>
    <w:rPr>
      <w:rFonts w:ascii="Arial Rounded MT Bold" w:hAnsi="Arial Rounded MT Bold" w:eastAsia="黑体"/>
      <w:spacing w:val="8"/>
      <w:sz w:val="32"/>
      <w:lang w:val="en-US" w:eastAsia="zh-CN" w:bidi="ar-SA"/>
    </w:rPr>
  </w:style>
  <w:style w:type="character" w:customStyle="1" w:styleId="211">
    <w:name w:val="artiword1"/>
    <w:autoRedefine/>
    <w:qFormat/>
    <w:uiPriority w:val="0"/>
    <w:rPr>
      <w:rFonts w:hint="default" w:ascii="??" w:hAnsi="??"/>
      <w:color w:val="333333"/>
      <w:sz w:val="21"/>
      <w:szCs w:val="21"/>
      <w:u w:val="none"/>
    </w:rPr>
  </w:style>
  <w:style w:type="character" w:customStyle="1" w:styleId="212">
    <w:name w:val="图号标题 Char Char Char Char"/>
    <w:autoRedefine/>
    <w:qFormat/>
    <w:uiPriority w:val="0"/>
    <w:rPr>
      <w:rFonts w:eastAsia="楷体_GB2312"/>
      <w:b/>
      <w:kern w:val="2"/>
      <w:sz w:val="21"/>
      <w:lang w:val="en-US" w:eastAsia="zh-CN" w:bidi="ar-SA"/>
    </w:rPr>
  </w:style>
  <w:style w:type="character" w:customStyle="1" w:styleId="213">
    <w:name w:val="不明显强调1"/>
    <w:autoRedefine/>
    <w:qFormat/>
    <w:uiPriority w:val="0"/>
    <w:rPr>
      <w:i/>
      <w:iCs/>
      <w:color w:val="808080"/>
    </w:rPr>
  </w:style>
  <w:style w:type="character" w:customStyle="1" w:styleId="214">
    <w:name w:val="font141"/>
    <w:autoRedefine/>
    <w:qFormat/>
    <w:uiPriority w:val="0"/>
    <w:rPr>
      <w:sz w:val="23"/>
      <w:szCs w:val="23"/>
    </w:rPr>
  </w:style>
  <w:style w:type="character" w:customStyle="1" w:styleId="215">
    <w:name w:val="批注引用1"/>
    <w:autoRedefine/>
    <w:qFormat/>
    <w:uiPriority w:val="0"/>
    <w:rPr>
      <w:sz w:val="21"/>
      <w:szCs w:val="21"/>
    </w:rPr>
  </w:style>
  <w:style w:type="character" w:customStyle="1" w:styleId="216">
    <w:name w:val="awq792"/>
    <w:basedOn w:val="94"/>
    <w:autoRedefine/>
    <w:qFormat/>
    <w:uiPriority w:val="0"/>
  </w:style>
  <w:style w:type="character" w:customStyle="1" w:styleId="217">
    <w:name w:val="样式 正文B + 段前: 3.8 磅 行距: 固定值 22 磅 Char Char"/>
    <w:link w:val="218"/>
    <w:autoRedefine/>
    <w:qFormat/>
    <w:uiPriority w:val="0"/>
    <w:rPr>
      <w:rFonts w:eastAsia="楷体_GB2312" w:cs="宋体"/>
      <w:spacing w:val="8"/>
      <w:sz w:val="28"/>
    </w:rPr>
  </w:style>
  <w:style w:type="paragraph" w:customStyle="1" w:styleId="218">
    <w:name w:val="样式 正文B + 段前: 3.8 磅 行距: 固定值 22 磅"/>
    <w:basedOn w:val="219"/>
    <w:link w:val="217"/>
    <w:autoRedefine/>
    <w:qFormat/>
    <w:uiPriority w:val="0"/>
    <w:pPr>
      <w:spacing w:line="520" w:lineRule="exact"/>
      <w:ind w:firstLine="0" w:firstLineChars="0"/>
    </w:pPr>
    <w:rPr>
      <w:rFonts w:cs="宋体" w:asciiTheme="minorHAnsi" w:hAnsiTheme="minorHAnsi"/>
      <w:kern w:val="2"/>
      <w:szCs w:val="22"/>
    </w:rPr>
  </w:style>
  <w:style w:type="paragraph" w:customStyle="1" w:styleId="219">
    <w:name w:val="正文B"/>
    <w:basedOn w:val="1"/>
    <w:link w:val="220"/>
    <w:autoRedefine/>
    <w:qFormat/>
    <w:uiPriority w:val="0"/>
    <w:pPr>
      <w:adjustRightInd w:val="0"/>
      <w:spacing w:line="390" w:lineRule="exact"/>
      <w:ind w:firstLine="601" w:firstLineChars="200"/>
      <w:textAlignment w:val="baseline"/>
    </w:pPr>
    <w:rPr>
      <w:rFonts w:eastAsia="楷体_GB2312"/>
      <w:spacing w:val="8"/>
      <w:kern w:val="0"/>
      <w:sz w:val="28"/>
      <w:szCs w:val="20"/>
    </w:rPr>
  </w:style>
  <w:style w:type="character" w:customStyle="1" w:styleId="220">
    <w:name w:val="正文B Char Char"/>
    <w:link w:val="219"/>
    <w:autoRedefine/>
    <w:qFormat/>
    <w:uiPriority w:val="0"/>
    <w:rPr>
      <w:rFonts w:ascii="Times New Roman" w:hAnsi="Times New Roman" w:eastAsia="楷体_GB2312" w:cs="Times New Roman"/>
      <w:spacing w:val="8"/>
      <w:kern w:val="0"/>
      <w:sz w:val="28"/>
      <w:szCs w:val="20"/>
    </w:rPr>
  </w:style>
  <w:style w:type="character" w:customStyle="1" w:styleId="221">
    <w:name w:val="样式4 Char Char"/>
    <w:autoRedefine/>
    <w:qFormat/>
    <w:uiPriority w:val="0"/>
    <w:rPr>
      <w:rFonts w:ascii="宋体" w:hAnsi="宋体" w:eastAsia="宋体"/>
      <w:kern w:val="2"/>
      <w:sz w:val="28"/>
      <w:szCs w:val="28"/>
      <w:lang w:val="en-US" w:eastAsia="zh-CN" w:bidi="ar-SA"/>
    </w:rPr>
  </w:style>
  <w:style w:type="character" w:customStyle="1" w:styleId="222">
    <w:name w:val="正文 Char Char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eastAsia="宋体" w:cs="宋体"/>
      <w:kern w:val="24"/>
      <w:sz w:val="24"/>
      <w:szCs w:val="24"/>
      <w:lang w:val="en-US" w:eastAsia="zh-CN" w:bidi="ar-SA"/>
    </w:rPr>
  </w:style>
  <w:style w:type="character" w:customStyle="1" w:styleId="223">
    <w:name w:val="infodetail1"/>
    <w:autoRedefine/>
    <w:qFormat/>
    <w:uiPriority w:val="0"/>
    <w:rPr>
      <w:rFonts w:hint="default" w:ascii="ˎ̥" w:hAnsi="ˎ̥"/>
      <w:sz w:val="18"/>
      <w:szCs w:val="18"/>
    </w:rPr>
  </w:style>
  <w:style w:type="character" w:customStyle="1" w:styleId="224">
    <w:name w:val="w11"/>
    <w:autoRedefine/>
    <w:qFormat/>
    <w:uiPriority w:val="0"/>
    <w:rPr>
      <w:rFonts w:hint="default" w:ascii="ˎ̥" w:hAnsi="ˎ̥"/>
      <w:color w:val="CC3333"/>
      <w:sz w:val="21"/>
      <w:szCs w:val="21"/>
    </w:rPr>
  </w:style>
  <w:style w:type="character" w:customStyle="1" w:styleId="225">
    <w:name w:val="h1 Char2"/>
    <w:autoRedefine/>
    <w:qFormat/>
    <w:uiPriority w:val="0"/>
    <w:rPr>
      <w:rFonts w:ascii="Arial Rounded MT Bold" w:hAnsi="Arial Rounded MT Bold" w:eastAsia="文鼎CS大隶书"/>
      <w:spacing w:val="8"/>
      <w:sz w:val="48"/>
      <w:lang w:val="en-US" w:eastAsia="zh-CN" w:bidi="ar-SA"/>
    </w:rPr>
  </w:style>
  <w:style w:type="character" w:customStyle="1" w:styleId="226">
    <w:name w:val="正文文本缩进 Char1"/>
    <w:basedOn w:val="94"/>
    <w:autoRedefine/>
    <w:qFormat/>
    <w:uiPriority w:val="0"/>
  </w:style>
  <w:style w:type="character" w:customStyle="1" w:styleId="227">
    <w:name w:val="word12b2"/>
    <w:autoRedefine/>
    <w:qFormat/>
    <w:uiPriority w:val="0"/>
    <w:rPr>
      <w:rFonts w:hint="default" w:ascii="Arial" w:hAnsi="Arial" w:cs="Arial"/>
      <w:color w:val="333333"/>
      <w:sz w:val="15"/>
      <w:szCs w:val="15"/>
    </w:rPr>
  </w:style>
  <w:style w:type="character" w:customStyle="1" w:styleId="228">
    <w:name w:val="articlelink1"/>
    <w:autoRedefine/>
    <w:qFormat/>
    <w:uiPriority w:val="0"/>
    <w:rPr>
      <w:color w:val="080CBD"/>
      <w:sz w:val="21"/>
      <w:szCs w:val="21"/>
    </w:rPr>
  </w:style>
  <w:style w:type="character" w:customStyle="1" w:styleId="229">
    <w:name w:val="title10"/>
    <w:autoRedefine/>
    <w:qFormat/>
    <w:uiPriority w:val="0"/>
    <w:rPr>
      <w:b/>
      <w:bCs/>
      <w:sz w:val="24"/>
      <w:szCs w:val="24"/>
    </w:rPr>
  </w:style>
  <w:style w:type="character" w:customStyle="1" w:styleId="230">
    <w:name w:val="Char Char27"/>
    <w:autoRedefine/>
    <w:qFormat/>
    <w:uiPriority w:val="0"/>
    <w:rPr>
      <w:rFonts w:ascii="Times New Roman" w:eastAsia="楷体_GB2312"/>
      <w:sz w:val="21"/>
      <w:shd w:val="pct20" w:color="auto" w:fill="auto"/>
    </w:rPr>
  </w:style>
  <w:style w:type="character" w:customStyle="1" w:styleId="231">
    <w:name w:val="headline-content2"/>
    <w:basedOn w:val="94"/>
    <w:autoRedefine/>
    <w:qFormat/>
    <w:uiPriority w:val="0"/>
  </w:style>
  <w:style w:type="character" w:customStyle="1" w:styleId="232">
    <w:name w:val="注释标题 Char1"/>
    <w:basedOn w:val="94"/>
    <w:autoRedefine/>
    <w:qFormat/>
    <w:uiPriority w:val="0"/>
  </w:style>
  <w:style w:type="character" w:customStyle="1" w:styleId="233">
    <w:name w:val="style9"/>
    <w:basedOn w:val="94"/>
    <w:autoRedefine/>
    <w:qFormat/>
    <w:uiPriority w:val="0"/>
  </w:style>
  <w:style w:type="character" w:customStyle="1" w:styleId="234">
    <w:name w:val="Char Char31"/>
    <w:autoRedefine/>
    <w:qFormat/>
    <w:uiPriority w:val="0"/>
    <w:rPr>
      <w:rFonts w:ascii="Arial" w:hAnsi="Arial" w:eastAsia="黑体"/>
      <w:spacing w:val="8"/>
      <w:sz w:val="24"/>
      <w:lang w:val="en-US" w:eastAsia="zh-CN" w:bidi="ar-SA"/>
    </w:rPr>
  </w:style>
  <w:style w:type="character" w:customStyle="1" w:styleId="235">
    <w:name w:val="style5"/>
    <w:basedOn w:val="94"/>
    <w:autoRedefine/>
    <w:qFormat/>
    <w:uiPriority w:val="0"/>
  </w:style>
  <w:style w:type="character" w:customStyle="1" w:styleId="236">
    <w:name w:val="bullet Char4"/>
    <w:autoRedefine/>
    <w:qFormat/>
    <w:uiPriority w:val="0"/>
    <w:rPr>
      <w:rFonts w:eastAsia="文鼎CS细等线"/>
      <w:b/>
      <w:spacing w:val="8"/>
      <w:sz w:val="28"/>
      <w:lang w:val="en-US" w:eastAsia="zh-CN" w:bidi="ar-SA"/>
    </w:rPr>
  </w:style>
  <w:style w:type="character" w:customStyle="1" w:styleId="237">
    <w:name w:val="main6"/>
    <w:basedOn w:val="94"/>
    <w:autoRedefine/>
    <w:qFormat/>
    <w:uiPriority w:val="0"/>
  </w:style>
  <w:style w:type="character" w:customStyle="1" w:styleId="238">
    <w:name w:val="正文4 Char Char"/>
    <w:link w:val="239"/>
    <w:autoRedefine/>
    <w:qFormat/>
    <w:uiPriority w:val="0"/>
    <w:rPr>
      <w:rFonts w:eastAsia="楷体_GB2312"/>
      <w:spacing w:val="8"/>
      <w:sz w:val="28"/>
    </w:rPr>
  </w:style>
  <w:style w:type="paragraph" w:customStyle="1" w:styleId="239">
    <w:name w:val="正文4"/>
    <w:basedOn w:val="1"/>
    <w:link w:val="238"/>
    <w:autoRedefine/>
    <w:qFormat/>
    <w:uiPriority w:val="0"/>
    <w:pPr>
      <w:adjustRightInd w:val="0"/>
      <w:spacing w:line="440" w:lineRule="exact"/>
      <w:ind w:firstLine="601"/>
      <w:textAlignment w:val="baseline"/>
    </w:pPr>
    <w:rPr>
      <w:rFonts w:eastAsia="楷体_GB2312" w:asciiTheme="minorHAnsi" w:hAnsiTheme="minorHAnsi" w:cstheme="minorBidi"/>
      <w:spacing w:val="8"/>
      <w:sz w:val="28"/>
      <w:szCs w:val="22"/>
    </w:rPr>
  </w:style>
  <w:style w:type="character" w:customStyle="1" w:styleId="240">
    <w:name w:val="纯文本 Char2"/>
    <w:autoRedefine/>
    <w:qFormat/>
    <w:uiPriority w:val="0"/>
    <w:rPr>
      <w:rFonts w:ascii="宋体" w:hAnsi="Courier New" w:eastAsia="宋体" w:cs="Courier New"/>
      <w:szCs w:val="21"/>
    </w:rPr>
  </w:style>
  <w:style w:type="character" w:customStyle="1" w:styleId="241">
    <w:name w:val="Char Char48"/>
    <w:autoRedefine/>
    <w:qFormat/>
    <w:uiPriority w:val="0"/>
    <w:rPr>
      <w:rFonts w:ascii="Arial Rounded MT Bold" w:hAnsi="Arial Rounded MT Bold" w:eastAsia="黑体"/>
      <w:spacing w:val="8"/>
      <w:sz w:val="32"/>
      <w:lang w:val="en-US" w:eastAsia="zh-CN" w:bidi="ar-SA"/>
    </w:rPr>
  </w:style>
  <w:style w:type="character" w:customStyle="1" w:styleId="242">
    <w:name w:val="text_black21"/>
    <w:autoRedefine/>
    <w:qFormat/>
    <w:uiPriority w:val="0"/>
    <w:rPr>
      <w:rFonts w:hint="default" w:ascii="Arial" w:hAnsi="Arial" w:cs="Arial"/>
      <w:color w:val="000000"/>
      <w:sz w:val="18"/>
      <w:szCs w:val="18"/>
    </w:rPr>
  </w:style>
  <w:style w:type="character" w:customStyle="1" w:styleId="243">
    <w:name w:val="HTML 地址 Char1"/>
    <w:autoRedefine/>
    <w:qFormat/>
    <w:uiPriority w:val="0"/>
    <w:rPr>
      <w:i/>
      <w:iCs/>
    </w:rPr>
  </w:style>
  <w:style w:type="character" w:customStyle="1" w:styleId="244">
    <w:name w:val="称呼 Char1"/>
    <w:basedOn w:val="94"/>
    <w:autoRedefine/>
    <w:qFormat/>
    <w:uiPriority w:val="0"/>
  </w:style>
  <w:style w:type="character" w:customStyle="1" w:styleId="245">
    <w:name w:val="h1 Char1"/>
    <w:autoRedefine/>
    <w:qFormat/>
    <w:uiPriority w:val="0"/>
    <w:rPr>
      <w:rFonts w:ascii="Arial Rounded MT Bold" w:hAnsi="Arial Rounded MT Bold" w:eastAsia="文鼎CS大隶书"/>
      <w:spacing w:val="8"/>
      <w:sz w:val="48"/>
      <w:lang w:val="en-US" w:eastAsia="zh-CN" w:bidi="ar-SA"/>
    </w:rPr>
  </w:style>
  <w:style w:type="character" w:customStyle="1" w:styleId="246">
    <w:name w:val="正文 Char Char Char Char"/>
    <w:autoRedefine/>
    <w:qFormat/>
    <w:uiPriority w:val="0"/>
    <w:rPr>
      <w:rFonts w:eastAsia="宋体" w:cs="宋体"/>
      <w:spacing w:val="4"/>
      <w:kern w:val="2"/>
      <w:sz w:val="24"/>
      <w:szCs w:val="24"/>
      <w:lang w:val="en-US" w:eastAsia="zh-CN" w:bidi="ar-SA"/>
    </w:rPr>
  </w:style>
  <w:style w:type="character" w:customStyle="1" w:styleId="247">
    <w:name w:val="小标题1 Char"/>
    <w:autoRedefine/>
    <w:qFormat/>
    <w:uiPriority w:val="0"/>
    <w:rPr>
      <w:rFonts w:ascii="Arial" w:hAnsi="Arial" w:eastAsia="黑体" w:cs="Times New Roman"/>
      <w:b/>
      <w:sz w:val="28"/>
      <w:szCs w:val="20"/>
    </w:rPr>
  </w:style>
  <w:style w:type="character" w:customStyle="1" w:styleId="248">
    <w:name w:val="s"/>
    <w:basedOn w:val="94"/>
    <w:autoRedefine/>
    <w:qFormat/>
    <w:uiPriority w:val="0"/>
  </w:style>
  <w:style w:type="character" w:customStyle="1" w:styleId="249">
    <w:name w:val="正文文本 2 Char1"/>
    <w:basedOn w:val="94"/>
    <w:autoRedefine/>
    <w:qFormat/>
    <w:uiPriority w:val="0"/>
  </w:style>
  <w:style w:type="character" w:customStyle="1" w:styleId="250">
    <w:name w:val="newstext"/>
    <w:basedOn w:val="94"/>
    <w:autoRedefine/>
    <w:qFormat/>
    <w:uiPriority w:val="0"/>
  </w:style>
  <w:style w:type="character" w:customStyle="1" w:styleId="251">
    <w:name w:val="金宏发行正文 Char Char Char Char"/>
    <w:autoRedefine/>
    <w:qFormat/>
    <w:uiPriority w:val="0"/>
    <w:rPr>
      <w:rFonts w:ascii="Verdana" w:hAnsi="Verdana" w:eastAsia="仿宋_GB2312" w:cs="宋体"/>
      <w:kern w:val="2"/>
      <w:sz w:val="28"/>
      <w:szCs w:val="21"/>
      <w:lang w:val="en-US" w:eastAsia="zh-CN" w:bidi="ar-SA"/>
    </w:rPr>
  </w:style>
  <w:style w:type="character" w:customStyle="1" w:styleId="252">
    <w:name w:val="第五层条 Char1"/>
    <w:autoRedefine/>
    <w:qFormat/>
    <w:uiPriority w:val="0"/>
    <w:rPr>
      <w:rFonts w:ascii="Arial" w:hAnsi="Arial" w:eastAsia="黑体"/>
      <w:b/>
      <w:spacing w:val="8"/>
      <w:sz w:val="24"/>
      <w:lang w:val="en-US" w:eastAsia="zh-CN" w:bidi="ar-SA"/>
    </w:rPr>
  </w:style>
  <w:style w:type="character" w:customStyle="1" w:styleId="253">
    <w:name w:val="copyright"/>
    <w:basedOn w:val="94"/>
    <w:autoRedefine/>
    <w:qFormat/>
    <w:uiPriority w:val="0"/>
  </w:style>
  <w:style w:type="character" w:customStyle="1" w:styleId="254">
    <w:name w:val="00正文00 Char Char"/>
    <w:autoRedefine/>
    <w:qFormat/>
    <w:uiPriority w:val="0"/>
    <w:rPr>
      <w:rFonts w:ascii="宋体" w:hAnsi="宋体" w:eastAsia="宋体"/>
      <w:kern w:val="2"/>
      <w:sz w:val="24"/>
      <w:szCs w:val="24"/>
      <w:lang w:val="en-US" w:eastAsia="zh-CN" w:bidi="ar-SA"/>
    </w:rPr>
  </w:style>
  <w:style w:type="character" w:customStyle="1" w:styleId="255">
    <w:name w:val="表头 Char Char Char"/>
    <w:autoRedefine/>
    <w:qFormat/>
    <w:uiPriority w:val="0"/>
    <w:rPr>
      <w:rFonts w:eastAsia="宋体"/>
      <w:b/>
      <w:kern w:val="2"/>
      <w:sz w:val="21"/>
      <w:szCs w:val="24"/>
      <w:lang w:val="en-US" w:eastAsia="zh-CN" w:bidi="ar-SA"/>
    </w:rPr>
  </w:style>
  <w:style w:type="character" w:customStyle="1" w:styleId="256">
    <w:name w:val="tpc_content1"/>
    <w:autoRedefine/>
    <w:qFormat/>
    <w:uiPriority w:val="0"/>
    <w:rPr>
      <w:sz w:val="20"/>
      <w:szCs w:val="20"/>
    </w:rPr>
  </w:style>
  <w:style w:type="character" w:customStyle="1" w:styleId="257">
    <w:name w:val="WW8Num5z1"/>
    <w:autoRedefine/>
    <w:qFormat/>
    <w:uiPriority w:val="0"/>
    <w:rPr>
      <w:rFonts w:ascii="Wingdings" w:hAnsi="Wingdings"/>
    </w:rPr>
  </w:style>
  <w:style w:type="character" w:customStyle="1" w:styleId="258">
    <w:name w:val="正文文字 2 Char Char1"/>
    <w:autoRedefine/>
    <w:qFormat/>
    <w:uiPriority w:val="0"/>
    <w:rPr>
      <w:rFonts w:eastAsia="楷体_GB2312"/>
      <w:spacing w:val="8"/>
      <w:sz w:val="28"/>
    </w:rPr>
  </w:style>
  <w:style w:type="character" w:customStyle="1" w:styleId="259">
    <w:name w:val="H8 Char Char2"/>
    <w:autoRedefine/>
    <w:qFormat/>
    <w:uiPriority w:val="0"/>
    <w:rPr>
      <w:rFonts w:ascii="Arial" w:hAnsi="Arial" w:eastAsia="黑体"/>
      <w:kern w:val="2"/>
      <w:sz w:val="30"/>
      <w:szCs w:val="24"/>
      <w:lang w:val="en-US" w:eastAsia="zh-CN" w:bidi="ar-SA"/>
    </w:rPr>
  </w:style>
  <w:style w:type="character" w:customStyle="1" w:styleId="260">
    <w:name w:val="lan161"/>
    <w:autoRedefine/>
    <w:qFormat/>
    <w:uiPriority w:val="0"/>
    <w:rPr>
      <w:rFonts w:hint="eastAsia" w:ascii="宋体" w:hAnsi="宋体" w:eastAsia="宋体"/>
      <w:b/>
      <w:bCs/>
      <w:color w:val="000099"/>
      <w:sz w:val="24"/>
      <w:szCs w:val="24"/>
      <w:u w:val="none"/>
    </w:rPr>
  </w:style>
  <w:style w:type="character" w:customStyle="1" w:styleId="261">
    <w:name w:val="正文1 Char Char"/>
    <w:autoRedefine/>
    <w:qFormat/>
    <w:uiPriority w:val="0"/>
    <w:rPr>
      <w:rFonts w:eastAsia="宋体"/>
      <w:kern w:val="2"/>
      <w:sz w:val="24"/>
      <w:szCs w:val="24"/>
      <w:lang w:val="en-US" w:eastAsia="zh-CN" w:bidi="ar-SA"/>
    </w:rPr>
  </w:style>
  <w:style w:type="character" w:customStyle="1" w:styleId="262">
    <w:name w:val="样式 正文 +1"/>
    <w:autoRedefine/>
    <w:qFormat/>
    <w:uiPriority w:val="0"/>
    <w:rPr>
      <w:rFonts w:ascii="Arial" w:hAnsi="Arial"/>
      <w:kern w:val="0"/>
    </w:rPr>
  </w:style>
  <w:style w:type="character" w:customStyle="1" w:styleId="263">
    <w:name w:val="zida14"/>
    <w:basedOn w:val="94"/>
    <w:autoRedefine/>
    <w:qFormat/>
    <w:uiPriority w:val="0"/>
  </w:style>
  <w:style w:type="character" w:customStyle="1" w:styleId="264">
    <w:name w:val="正文f Char Char"/>
    <w:link w:val="265"/>
    <w:autoRedefine/>
    <w:qFormat/>
    <w:uiPriority w:val="0"/>
    <w:rPr>
      <w:rFonts w:eastAsia="仿宋_GB2312"/>
      <w:sz w:val="28"/>
      <w:szCs w:val="28"/>
    </w:rPr>
  </w:style>
  <w:style w:type="paragraph" w:customStyle="1" w:styleId="265">
    <w:name w:val="正文f"/>
    <w:basedOn w:val="1"/>
    <w:link w:val="264"/>
    <w:autoRedefine/>
    <w:qFormat/>
    <w:uiPriority w:val="0"/>
    <w:pPr>
      <w:spacing w:line="470" w:lineRule="exact"/>
    </w:pPr>
    <w:rPr>
      <w:rFonts w:eastAsia="仿宋_GB2312" w:asciiTheme="minorHAnsi" w:hAnsiTheme="minorHAnsi" w:cstheme="minorBidi"/>
      <w:sz w:val="28"/>
      <w:szCs w:val="28"/>
    </w:rPr>
  </w:style>
  <w:style w:type="character" w:customStyle="1" w:styleId="266">
    <w:name w:val="样式 样式 样式 样式 样式 样式 首行缩进:  2 字符 + 首行缩进:  2 字符2 + 仿宋_GB2312 + 首行缩进:... Char Char"/>
    <w:link w:val="267"/>
    <w:autoRedefine/>
    <w:qFormat/>
    <w:uiPriority w:val="0"/>
    <w:rPr>
      <w:rFonts w:eastAsia="楷体_GB2312"/>
      <w:spacing w:val="12"/>
      <w:sz w:val="28"/>
      <w:szCs w:val="28"/>
    </w:rPr>
  </w:style>
  <w:style w:type="paragraph" w:customStyle="1" w:styleId="267">
    <w:name w:val="样式 样式 样式 样式 样式 样式 首行缩进:  2 字符 + 首行缩进:  2 字符2 + 仿宋_GB2312 + 首行缩进:..."/>
    <w:basedOn w:val="1"/>
    <w:link w:val="266"/>
    <w:autoRedefine/>
    <w:qFormat/>
    <w:uiPriority w:val="0"/>
    <w:pPr>
      <w:spacing w:line="560" w:lineRule="exact"/>
      <w:ind w:firstLine="624" w:firstLineChars="200"/>
    </w:pPr>
    <w:rPr>
      <w:rFonts w:eastAsia="楷体_GB2312" w:asciiTheme="minorHAnsi" w:hAnsiTheme="minorHAnsi" w:cstheme="minorBidi"/>
      <w:spacing w:val="12"/>
      <w:sz w:val="28"/>
      <w:szCs w:val="28"/>
    </w:rPr>
  </w:style>
  <w:style w:type="character" w:customStyle="1" w:styleId="268">
    <w:name w:val="line_group1"/>
    <w:autoRedefine/>
    <w:qFormat/>
    <w:uiPriority w:val="0"/>
    <w:rPr>
      <w:color w:val="000000"/>
      <w:sz w:val="18"/>
      <w:szCs w:val="18"/>
    </w:rPr>
  </w:style>
  <w:style w:type="character" w:customStyle="1" w:styleId="269">
    <w:name w:val="表头 Char Char Char Char Char"/>
    <w:autoRedefine/>
    <w:qFormat/>
    <w:uiPriority w:val="0"/>
    <w:rPr>
      <w:rFonts w:eastAsia="宋体"/>
      <w:b/>
      <w:kern w:val="2"/>
      <w:sz w:val="21"/>
      <w:szCs w:val="24"/>
      <w:lang w:val="en-US" w:eastAsia="zh-CN" w:bidi="ar-SA"/>
    </w:rPr>
  </w:style>
  <w:style w:type="character" w:customStyle="1" w:styleId="270">
    <w:name w:val="批注主题 Char1"/>
    <w:autoRedefine/>
    <w:qFormat/>
    <w:uiPriority w:val="0"/>
    <w:rPr>
      <w:b/>
      <w:bCs/>
    </w:rPr>
  </w:style>
  <w:style w:type="character" w:customStyle="1" w:styleId="271">
    <w:name w:val="Char Char3"/>
    <w:autoRedefine/>
    <w:qFormat/>
    <w:uiPriority w:val="0"/>
    <w:rPr>
      <w:rFonts w:eastAsia="楷体_GB2312"/>
      <w:smallCaps/>
      <w:spacing w:val="8"/>
      <w:sz w:val="24"/>
      <w:lang w:val="en-US" w:eastAsia="zh-CN" w:bidi="ar-SA"/>
    </w:rPr>
  </w:style>
  <w:style w:type="character" w:customStyle="1" w:styleId="272">
    <w:name w:val="行文 Char Char Char"/>
    <w:autoRedefine/>
    <w:qFormat/>
    <w:uiPriority w:val="0"/>
    <w:rPr>
      <w:rFonts w:eastAsia="仿宋_GB2312"/>
      <w:spacing w:val="8"/>
      <w:sz w:val="30"/>
      <w:lang w:val="en-US" w:eastAsia="zh-CN" w:bidi="ar-SA"/>
    </w:rPr>
  </w:style>
  <w:style w:type="character" w:customStyle="1" w:styleId="273">
    <w:name w:val="gt2"/>
    <w:basedOn w:val="94"/>
    <w:autoRedefine/>
    <w:qFormat/>
    <w:uiPriority w:val="0"/>
  </w:style>
  <w:style w:type="character" w:customStyle="1" w:styleId="274">
    <w:name w:val="content1"/>
    <w:autoRedefine/>
    <w:qFormat/>
    <w:uiPriority w:val="0"/>
    <w:rPr>
      <w:spacing w:val="25"/>
    </w:rPr>
  </w:style>
  <w:style w:type="character" w:customStyle="1" w:styleId="275">
    <w:name w:val="news_display_bt_z1"/>
    <w:autoRedefine/>
    <w:qFormat/>
    <w:uiPriority w:val="0"/>
    <w:rPr>
      <w:b/>
      <w:bCs/>
      <w:color w:val="990000"/>
      <w:sz w:val="40"/>
      <w:szCs w:val="40"/>
    </w:rPr>
  </w:style>
  <w:style w:type="character" w:customStyle="1" w:styleId="276">
    <w:name w:val="gsyj_content11"/>
    <w:autoRedefine/>
    <w:qFormat/>
    <w:uiPriority w:val="0"/>
    <w:rPr>
      <w:color w:val="000000"/>
      <w:sz w:val="18"/>
      <w:szCs w:val="18"/>
      <w:u w:val="none"/>
    </w:rPr>
  </w:style>
  <w:style w:type="character" w:customStyle="1" w:styleId="277">
    <w:name w:val="表头 Char1"/>
    <w:autoRedefine/>
    <w:qFormat/>
    <w:uiPriority w:val="0"/>
    <w:rPr>
      <w:rFonts w:eastAsia="黑体"/>
      <w:spacing w:val="-10"/>
      <w:sz w:val="21"/>
      <w:lang w:val="en-US" w:eastAsia="zh-CN" w:bidi="ar-SA"/>
    </w:rPr>
  </w:style>
  <w:style w:type="character" w:customStyle="1" w:styleId="278">
    <w:name w:val="apple-style-span"/>
    <w:basedOn w:val="94"/>
    <w:autoRedefine/>
    <w:qFormat/>
    <w:uiPriority w:val="0"/>
  </w:style>
  <w:style w:type="character" w:customStyle="1" w:styleId="279">
    <w:name w:val="qqq1"/>
    <w:autoRedefine/>
    <w:qFormat/>
    <w:uiPriority w:val="0"/>
    <w:rPr>
      <w:color w:val="527594"/>
      <w:sz w:val="18"/>
      <w:szCs w:val="18"/>
    </w:rPr>
  </w:style>
  <w:style w:type="character" w:customStyle="1" w:styleId="280">
    <w:name w:val="批注文字 Char1"/>
    <w:basedOn w:val="94"/>
    <w:autoRedefine/>
    <w:qFormat/>
    <w:uiPriority w:val="99"/>
  </w:style>
  <w:style w:type="character" w:customStyle="1" w:styleId="281">
    <w:name w:val="正文格式 Char Char"/>
    <w:autoRedefine/>
    <w:qFormat/>
    <w:uiPriority w:val="0"/>
    <w:rPr>
      <w:rFonts w:eastAsia="宋体"/>
      <w:kern w:val="2"/>
      <w:sz w:val="24"/>
      <w:szCs w:val="24"/>
      <w:lang w:val="en-US" w:eastAsia="zh-CN" w:bidi="ar-SA"/>
    </w:rPr>
  </w:style>
  <w:style w:type="character" w:customStyle="1" w:styleId="282">
    <w:name w:val="tpc_title"/>
    <w:basedOn w:val="94"/>
    <w:autoRedefine/>
    <w:qFormat/>
    <w:uiPriority w:val="0"/>
  </w:style>
  <w:style w:type="character" w:customStyle="1" w:styleId="283">
    <w:name w:val="Body Text(ch) Char3"/>
    <w:autoRedefine/>
    <w:qFormat/>
    <w:uiPriority w:val="0"/>
    <w:rPr>
      <w:rFonts w:eastAsia="楷体_GB2312"/>
      <w:spacing w:val="8"/>
      <w:sz w:val="28"/>
      <w:lang w:val="en-US" w:eastAsia="zh-CN" w:bidi="ar-SA"/>
    </w:rPr>
  </w:style>
  <w:style w:type="character" w:customStyle="1" w:styleId="284">
    <w:name w:val="wenzhang_con"/>
    <w:basedOn w:val="94"/>
    <w:autoRedefine/>
    <w:qFormat/>
    <w:uiPriority w:val="0"/>
  </w:style>
  <w:style w:type="character" w:customStyle="1" w:styleId="285">
    <w:name w:val="目录 2 Char1"/>
    <w:autoRedefine/>
    <w:qFormat/>
    <w:uiPriority w:val="0"/>
    <w:rPr>
      <w:rFonts w:eastAsia="楷体_GB2312"/>
      <w:smallCaps/>
      <w:spacing w:val="8"/>
      <w:sz w:val="24"/>
      <w:lang w:val="en-US" w:eastAsia="zh-CN" w:bidi="ar-SA"/>
    </w:rPr>
  </w:style>
  <w:style w:type="character" w:customStyle="1" w:styleId="286">
    <w:name w:val="正文B Char1"/>
    <w:autoRedefine/>
    <w:qFormat/>
    <w:uiPriority w:val="0"/>
    <w:rPr>
      <w:rFonts w:eastAsia="楷体_GB2312"/>
      <w:spacing w:val="8"/>
      <w:sz w:val="28"/>
      <w:lang w:val="en-US" w:eastAsia="zh-CN" w:bidi="ar-SA"/>
    </w:rPr>
  </w:style>
  <w:style w:type="character" w:customStyle="1" w:styleId="287">
    <w:name w:val="样式 样式 标题 B + (西文) Times New Roman (中文) 宋体 段前: 12 磅 + (符号) Times ... Char Char"/>
    <w:link w:val="288"/>
    <w:autoRedefine/>
    <w:qFormat/>
    <w:uiPriority w:val="0"/>
    <w:rPr>
      <w:rFonts w:hAnsi="宋体" w:eastAsia="宋体" w:cs="宋体"/>
      <w:spacing w:val="8"/>
      <w:sz w:val="32"/>
    </w:rPr>
  </w:style>
  <w:style w:type="paragraph" w:customStyle="1" w:styleId="288">
    <w:name w:val="样式 样式 标题 B + (西文) Times New Roman (中文) 宋体 段前: 12 磅 + (符号) Times ..."/>
    <w:basedOn w:val="1"/>
    <w:link w:val="287"/>
    <w:autoRedefine/>
    <w:qFormat/>
    <w:uiPriority w:val="0"/>
    <w:pPr>
      <w:keepNext/>
      <w:adjustRightInd w:val="0"/>
      <w:spacing w:before="480" w:after="240" w:line="400" w:lineRule="exact"/>
      <w:jc w:val="center"/>
      <w:textAlignment w:val="baseline"/>
      <w:outlineLvl w:val="1"/>
    </w:pPr>
    <w:rPr>
      <w:rFonts w:hAnsi="宋体" w:cs="宋体" w:asciiTheme="minorHAnsi"/>
      <w:spacing w:val="8"/>
      <w:sz w:val="32"/>
      <w:szCs w:val="22"/>
    </w:rPr>
  </w:style>
  <w:style w:type="character" w:customStyle="1" w:styleId="289">
    <w:name w:val="页眉1 Char2"/>
    <w:autoRedefine/>
    <w:qFormat/>
    <w:uiPriority w:val="0"/>
    <w:rPr>
      <w:rFonts w:eastAsia="长城粗隶书"/>
      <w:sz w:val="21"/>
      <w:lang w:val="en-US" w:eastAsia="zh-CN" w:bidi="ar-SA"/>
    </w:rPr>
  </w:style>
  <w:style w:type="character" w:customStyle="1" w:styleId="290">
    <w:name w:val="text"/>
    <w:basedOn w:val="94"/>
    <w:autoRedefine/>
    <w:qFormat/>
    <w:uiPriority w:val="0"/>
  </w:style>
  <w:style w:type="character" w:customStyle="1" w:styleId="291">
    <w:name w:val="表格标题 Char"/>
    <w:autoRedefine/>
    <w:qFormat/>
    <w:uiPriority w:val="0"/>
    <w:rPr>
      <w:rFonts w:eastAsia="宋体"/>
      <w:kern w:val="2"/>
      <w:sz w:val="21"/>
      <w:lang w:val="en-US" w:eastAsia="zh-CN" w:bidi="ar-SA"/>
    </w:rPr>
  </w:style>
  <w:style w:type="character" w:customStyle="1" w:styleId="292">
    <w:name w:val="表 Char Char Char"/>
    <w:autoRedefine/>
    <w:qFormat/>
    <w:uiPriority w:val="0"/>
    <w:rPr>
      <w:rFonts w:ascii="宋体" w:hAnsi="宋体" w:eastAsia="宋体"/>
      <w:color w:val="000000"/>
      <w:kern w:val="21"/>
      <w:sz w:val="21"/>
      <w:szCs w:val="21"/>
      <w:lang w:val="en-US" w:eastAsia="zh-CN" w:bidi="ar-SA"/>
    </w:rPr>
  </w:style>
  <w:style w:type="character" w:customStyle="1" w:styleId="293">
    <w:name w:val="p41"/>
    <w:autoRedefine/>
    <w:qFormat/>
    <w:uiPriority w:val="0"/>
    <w:rPr>
      <w:color w:val="000000"/>
      <w:spacing w:val="33"/>
      <w:sz w:val="21"/>
      <w:szCs w:val="21"/>
    </w:rPr>
  </w:style>
  <w:style w:type="character" w:customStyle="1" w:styleId="294">
    <w:name w:val="条标题1.1.1 Char"/>
    <w:autoRedefine/>
    <w:qFormat/>
    <w:uiPriority w:val="0"/>
    <w:rPr>
      <w:rFonts w:ascii="Times New Roman" w:hAnsi="Times New Roman" w:eastAsia="宋体" w:cs="Times New Roman"/>
      <w:b/>
      <w:bCs/>
      <w:sz w:val="32"/>
      <w:szCs w:val="32"/>
    </w:rPr>
  </w:style>
  <w:style w:type="character" w:customStyle="1" w:styleId="295">
    <w:name w:val="页脚 Char Char"/>
    <w:autoRedefine/>
    <w:qFormat/>
    <w:uiPriority w:val="0"/>
    <w:rPr>
      <w:rFonts w:ascii="Times New Roman" w:hAnsi="Times New Roman" w:eastAsia="宋体" w:cs="Times New Roman"/>
      <w:sz w:val="18"/>
      <w:szCs w:val="18"/>
    </w:rPr>
  </w:style>
  <w:style w:type="character" w:customStyle="1" w:styleId="296">
    <w:name w:val="表正文 Char2"/>
    <w:autoRedefine/>
    <w:qFormat/>
    <w:uiPriority w:val="0"/>
    <w:rPr>
      <w:rFonts w:eastAsia="楷体_GB2312"/>
      <w:spacing w:val="8"/>
      <w:sz w:val="28"/>
      <w:lang w:val="en-US" w:eastAsia="zh-CN" w:bidi="ar-SA"/>
    </w:rPr>
  </w:style>
  <w:style w:type="character" w:customStyle="1" w:styleId="297">
    <w:name w:val="Body Text(ch) Char6"/>
    <w:autoRedefine/>
    <w:qFormat/>
    <w:uiPriority w:val="0"/>
    <w:rPr>
      <w:rFonts w:eastAsia="楷体_GB2312"/>
      <w:spacing w:val="8"/>
      <w:sz w:val="28"/>
      <w:lang w:val="en-US" w:eastAsia="zh-CN" w:bidi="ar-SA"/>
    </w:rPr>
  </w:style>
  <w:style w:type="character" w:customStyle="1" w:styleId="298">
    <w:name w:val="s c c"/>
    <w:basedOn w:val="94"/>
    <w:autoRedefine/>
    <w:qFormat/>
    <w:uiPriority w:val="0"/>
  </w:style>
  <w:style w:type="character" w:customStyle="1" w:styleId="299">
    <w:name w:val="表头 Char Char Char Char Char Char Char"/>
    <w:autoRedefine/>
    <w:qFormat/>
    <w:uiPriority w:val="0"/>
    <w:rPr>
      <w:rFonts w:ascii="Times New Roman" w:hAnsi="Times New Roman" w:eastAsia="黑体" w:cs="Times New Roman"/>
      <w:spacing w:val="-10"/>
      <w:kern w:val="0"/>
      <w:szCs w:val="20"/>
    </w:rPr>
  </w:style>
  <w:style w:type="character" w:customStyle="1" w:styleId="300">
    <w:name w:val="count10"/>
    <w:basedOn w:val="94"/>
    <w:autoRedefine/>
    <w:qFormat/>
    <w:uiPriority w:val="0"/>
  </w:style>
  <w:style w:type="character" w:customStyle="1" w:styleId="301">
    <w:name w:val="第五层条 Char4"/>
    <w:autoRedefine/>
    <w:qFormat/>
    <w:uiPriority w:val="0"/>
    <w:rPr>
      <w:rFonts w:ascii="Arial" w:hAnsi="Arial" w:eastAsia="宋体"/>
      <w:bCs/>
      <w:kern w:val="2"/>
      <w:sz w:val="24"/>
      <w:szCs w:val="24"/>
      <w:lang w:val="en-US" w:eastAsia="zh-CN" w:bidi="ar-SA"/>
    </w:rPr>
  </w:style>
  <w:style w:type="character" w:customStyle="1" w:styleId="302">
    <w:name w:val="表 Char Char"/>
    <w:link w:val="303"/>
    <w:autoRedefine/>
    <w:qFormat/>
    <w:uiPriority w:val="0"/>
    <w:rPr>
      <w:rFonts w:ascii="宋体" w:hAnsi="宋体" w:eastAsia="楷体_GB2312"/>
      <w:color w:val="000000"/>
      <w:spacing w:val="8"/>
      <w:kern w:val="21"/>
      <w:sz w:val="28"/>
      <w:szCs w:val="21"/>
    </w:rPr>
  </w:style>
  <w:style w:type="paragraph" w:customStyle="1" w:styleId="303">
    <w:name w:val="表"/>
    <w:basedOn w:val="1"/>
    <w:next w:val="67"/>
    <w:link w:val="302"/>
    <w:autoRedefine/>
    <w:qFormat/>
    <w:uiPriority w:val="0"/>
    <w:pPr>
      <w:adjustRightInd w:val="0"/>
      <w:spacing w:line="400" w:lineRule="exact"/>
      <w:ind w:firstLine="601"/>
      <w:jc w:val="center"/>
      <w:textAlignment w:val="baseline"/>
    </w:pPr>
    <w:rPr>
      <w:rFonts w:ascii="宋体" w:hAnsi="宋体" w:eastAsia="楷体_GB2312" w:cstheme="minorBidi"/>
      <w:color w:val="000000"/>
      <w:spacing w:val="8"/>
      <w:kern w:val="21"/>
      <w:sz w:val="28"/>
      <w:szCs w:val="21"/>
    </w:rPr>
  </w:style>
  <w:style w:type="character" w:customStyle="1" w:styleId="304">
    <w:name w:val="样式1 Char Char Char Char"/>
    <w:autoRedefine/>
    <w:qFormat/>
    <w:uiPriority w:val="0"/>
    <w:rPr>
      <w:rFonts w:eastAsia="宋体" w:cs="宋体"/>
      <w:spacing w:val="4"/>
      <w:kern w:val="24"/>
      <w:sz w:val="24"/>
      <w:szCs w:val="24"/>
      <w:lang w:val="en-US" w:eastAsia="zh-CN" w:bidi="ar-SA"/>
    </w:rPr>
  </w:style>
  <w:style w:type="character" w:customStyle="1" w:styleId="305">
    <w:name w:val="msonormal style4"/>
    <w:basedOn w:val="94"/>
    <w:autoRedefine/>
    <w:qFormat/>
    <w:uiPriority w:val="0"/>
  </w:style>
  <w:style w:type="character" w:customStyle="1" w:styleId="306">
    <w:name w:val="正文4 Char Char Char"/>
    <w:autoRedefine/>
    <w:qFormat/>
    <w:uiPriority w:val="0"/>
    <w:rPr>
      <w:rFonts w:eastAsia="楷体_GB2312"/>
      <w:spacing w:val="8"/>
      <w:sz w:val="28"/>
      <w:lang w:val="en-US" w:eastAsia="zh-CN" w:bidi="ar-SA"/>
    </w:rPr>
  </w:style>
  <w:style w:type="character" w:customStyle="1" w:styleId="307">
    <w:name w:val="float_left"/>
    <w:basedOn w:val="94"/>
    <w:autoRedefine/>
    <w:qFormat/>
    <w:uiPriority w:val="0"/>
  </w:style>
  <w:style w:type="character" w:customStyle="1" w:styleId="308">
    <w:name w:val="style101"/>
    <w:autoRedefine/>
    <w:qFormat/>
    <w:uiPriority w:val="0"/>
    <w:rPr>
      <w:rFonts w:hint="eastAsia" w:ascii="宋体" w:hAnsi="宋体" w:eastAsia="宋体"/>
      <w:color w:val="000000"/>
      <w:sz w:val="18"/>
      <w:szCs w:val="18"/>
      <w:u w:val="none"/>
    </w:rPr>
  </w:style>
  <w:style w:type="character" w:customStyle="1" w:styleId="309">
    <w:name w:val="l131"/>
    <w:autoRedefine/>
    <w:qFormat/>
    <w:uiPriority w:val="0"/>
    <w:rPr>
      <w:sz w:val="18"/>
      <w:szCs w:val="18"/>
    </w:rPr>
  </w:style>
  <w:style w:type="character" w:customStyle="1" w:styleId="310">
    <w:name w:val="行文 Char Char"/>
    <w:link w:val="311"/>
    <w:autoRedefine/>
    <w:qFormat/>
    <w:uiPriority w:val="0"/>
    <w:rPr>
      <w:rFonts w:eastAsia="仿宋_GB2312"/>
      <w:spacing w:val="8"/>
      <w:sz w:val="30"/>
    </w:rPr>
  </w:style>
  <w:style w:type="paragraph" w:customStyle="1" w:styleId="311">
    <w:name w:val="行文"/>
    <w:basedOn w:val="1"/>
    <w:link w:val="310"/>
    <w:autoRedefine/>
    <w:qFormat/>
    <w:uiPriority w:val="0"/>
    <w:pPr>
      <w:adjustRightInd w:val="0"/>
      <w:spacing w:line="480" w:lineRule="exact"/>
      <w:ind w:firstLine="624"/>
      <w:textAlignment w:val="baseline"/>
    </w:pPr>
    <w:rPr>
      <w:rFonts w:eastAsia="仿宋_GB2312" w:asciiTheme="minorHAnsi" w:hAnsiTheme="minorHAnsi" w:cstheme="minorBidi"/>
      <w:spacing w:val="8"/>
      <w:sz w:val="30"/>
      <w:szCs w:val="22"/>
    </w:rPr>
  </w:style>
  <w:style w:type="character" w:customStyle="1" w:styleId="312">
    <w:name w:val="15"/>
    <w:autoRedefine/>
    <w:qFormat/>
    <w:uiPriority w:val="0"/>
    <w:rPr>
      <w:rFonts w:hint="default" w:ascii="Times New Roman" w:hAnsi="Times New Roman" w:cs="Times New Roman"/>
      <w:color w:val="0000FF"/>
      <w:sz w:val="20"/>
      <w:szCs w:val="20"/>
      <w:u w:val="single"/>
    </w:rPr>
  </w:style>
  <w:style w:type="character" w:customStyle="1" w:styleId="313">
    <w:name w:val="chuwa1"/>
    <w:autoRedefine/>
    <w:qFormat/>
    <w:uiPriority w:val="0"/>
    <w:rPr>
      <w:color w:val="6072A0"/>
    </w:rPr>
  </w:style>
  <w:style w:type="character" w:customStyle="1" w:styleId="314">
    <w:name w:val="b1 Char"/>
    <w:autoRedefine/>
    <w:qFormat/>
    <w:uiPriority w:val="0"/>
    <w:rPr>
      <w:rFonts w:ascii="Times New Roman" w:hAnsi="Times New Roman" w:eastAsia="宋体" w:cs="Times New Roman"/>
      <w:b/>
      <w:kern w:val="44"/>
      <w:sz w:val="24"/>
      <w:szCs w:val="20"/>
    </w:rPr>
  </w:style>
  <w:style w:type="character" w:customStyle="1" w:styleId="315">
    <w:name w:val="style21"/>
    <w:autoRedefine/>
    <w:qFormat/>
    <w:uiPriority w:val="0"/>
    <w:rPr>
      <w:color w:val="33518D"/>
    </w:rPr>
  </w:style>
  <w:style w:type="character" w:customStyle="1" w:styleId="316">
    <w:name w:val="Char Char33"/>
    <w:autoRedefine/>
    <w:qFormat/>
    <w:uiPriority w:val="0"/>
    <w:rPr>
      <w:rFonts w:ascii="Times New Roman" w:eastAsia="楷体_GB2312"/>
      <w:sz w:val="21"/>
      <w:shd w:val="pct20" w:color="auto" w:fill="auto"/>
    </w:rPr>
  </w:style>
  <w:style w:type="character" w:customStyle="1" w:styleId="317">
    <w:name w:val="Char Char4"/>
    <w:autoRedefine/>
    <w:qFormat/>
    <w:uiPriority w:val="0"/>
    <w:rPr>
      <w:rFonts w:eastAsia="楷体_GB2312"/>
      <w:smallCaps/>
      <w:spacing w:val="8"/>
      <w:sz w:val="24"/>
      <w:lang w:val="en-US" w:eastAsia="zh-CN" w:bidi="ar-SA"/>
    </w:rPr>
  </w:style>
  <w:style w:type="character" w:customStyle="1" w:styleId="318">
    <w:name w:val="bds_nopic1"/>
    <w:basedOn w:val="94"/>
    <w:autoRedefine/>
    <w:qFormat/>
    <w:uiPriority w:val="0"/>
  </w:style>
  <w:style w:type="character" w:customStyle="1" w:styleId="319">
    <w:name w:val="msoins"/>
    <w:basedOn w:val="94"/>
    <w:autoRedefine/>
    <w:qFormat/>
    <w:uiPriority w:val="0"/>
  </w:style>
  <w:style w:type="character" w:customStyle="1" w:styleId="320">
    <w:name w:val="WW8Num1z0"/>
    <w:autoRedefine/>
    <w:qFormat/>
    <w:uiPriority w:val="0"/>
    <w:rPr>
      <w:rFonts w:ascii="Wingdings" w:hAnsi="Wingdings"/>
    </w:rPr>
  </w:style>
  <w:style w:type="character" w:customStyle="1" w:styleId="321">
    <w:name w:val="公式 Char Char"/>
    <w:link w:val="322"/>
    <w:autoRedefine/>
    <w:qFormat/>
    <w:uiPriority w:val="0"/>
    <w:rPr>
      <w:rFonts w:eastAsia="宋体"/>
      <w:sz w:val="24"/>
      <w:szCs w:val="24"/>
      <w:lang w:val="en-GB"/>
    </w:rPr>
  </w:style>
  <w:style w:type="paragraph" w:customStyle="1" w:styleId="322">
    <w:name w:val="公式"/>
    <w:basedOn w:val="1"/>
    <w:link w:val="321"/>
    <w:autoRedefine/>
    <w:qFormat/>
    <w:uiPriority w:val="0"/>
    <w:pPr>
      <w:spacing w:line="360" w:lineRule="auto"/>
      <w:ind w:left="420" w:leftChars="200" w:firstLine="482"/>
      <w:jc w:val="left"/>
    </w:pPr>
    <w:rPr>
      <w:rFonts w:asciiTheme="minorHAnsi" w:hAnsiTheme="minorHAnsi" w:cstheme="minorBidi"/>
      <w:sz w:val="24"/>
      <w:lang w:val="en-GB"/>
    </w:rPr>
  </w:style>
  <w:style w:type="character" w:customStyle="1" w:styleId="323">
    <w:name w:val="标题 Char1"/>
    <w:autoRedefine/>
    <w:qFormat/>
    <w:uiPriority w:val="0"/>
    <w:rPr>
      <w:rFonts w:ascii="Cambria" w:hAnsi="Cambria" w:eastAsia="宋体" w:cs="Times New Roman"/>
      <w:b/>
      <w:bCs/>
      <w:sz w:val="32"/>
      <w:szCs w:val="32"/>
    </w:rPr>
  </w:style>
  <w:style w:type="character" w:customStyle="1" w:styleId="324">
    <w:name w:val="信息标题 Char1"/>
    <w:autoRedefine/>
    <w:qFormat/>
    <w:uiPriority w:val="0"/>
    <w:rPr>
      <w:rFonts w:ascii="Cambria" w:hAnsi="Cambria" w:eastAsia="宋体" w:cs="Times New Roman"/>
      <w:sz w:val="24"/>
      <w:szCs w:val="24"/>
      <w:shd w:val="pct20" w:color="auto" w:fill="auto"/>
    </w:rPr>
  </w:style>
  <w:style w:type="character" w:customStyle="1" w:styleId="325">
    <w:name w:val="unnamed11"/>
    <w:basedOn w:val="94"/>
    <w:autoRedefine/>
    <w:qFormat/>
    <w:uiPriority w:val="0"/>
  </w:style>
  <w:style w:type="character" w:customStyle="1" w:styleId="326">
    <w:name w:val="t-14"/>
    <w:basedOn w:val="94"/>
    <w:autoRedefine/>
    <w:qFormat/>
    <w:uiPriority w:val="0"/>
  </w:style>
  <w:style w:type="character" w:customStyle="1" w:styleId="327">
    <w:name w:val="样式 样式 小四 行距: 固定值 20 磅 + 首行缩进:  0.85 厘米 Char Char Char Char Char Char"/>
    <w:autoRedefine/>
    <w:qFormat/>
    <w:uiPriority w:val="0"/>
    <w:rPr>
      <w:rFonts w:eastAsia="宋体"/>
      <w:kern w:val="2"/>
      <w:sz w:val="24"/>
      <w:szCs w:val="24"/>
      <w:lang w:val="en-US" w:eastAsia="zh-CN" w:bidi="ar-SA"/>
    </w:rPr>
  </w:style>
  <w:style w:type="character" w:customStyle="1" w:styleId="328">
    <w:name w:val="龙泰标题2 Char Char Char"/>
    <w:autoRedefine/>
    <w:qFormat/>
    <w:uiPriority w:val="0"/>
    <w:rPr>
      <w:rFonts w:ascii="黑体" w:hAnsi="Arial" w:eastAsia="黑体"/>
      <w:spacing w:val="20"/>
      <w:sz w:val="32"/>
      <w:szCs w:val="32"/>
      <w:lang w:val="en-US" w:eastAsia="zh-CN" w:bidi="ar-SA"/>
    </w:rPr>
  </w:style>
  <w:style w:type="character" w:customStyle="1" w:styleId="329">
    <w:name w:val="正常文 Char Char"/>
    <w:link w:val="330"/>
    <w:autoRedefine/>
    <w:qFormat/>
    <w:uiPriority w:val="0"/>
    <w:rPr>
      <w:rFonts w:eastAsia="宋体"/>
      <w:spacing w:val="8"/>
      <w:sz w:val="30"/>
    </w:rPr>
  </w:style>
  <w:style w:type="paragraph" w:customStyle="1" w:styleId="330">
    <w:name w:val="正常文"/>
    <w:basedOn w:val="311"/>
    <w:link w:val="329"/>
    <w:autoRedefine/>
    <w:qFormat/>
    <w:uiPriority w:val="0"/>
    <w:rPr>
      <w:rFonts w:eastAsia="宋体"/>
    </w:rPr>
  </w:style>
  <w:style w:type="character" w:customStyle="1" w:styleId="331">
    <w:name w:val="txt"/>
    <w:basedOn w:val="94"/>
    <w:autoRedefine/>
    <w:qFormat/>
    <w:uiPriority w:val="0"/>
  </w:style>
  <w:style w:type="character" w:customStyle="1" w:styleId="332">
    <w:name w:val="websign1"/>
    <w:autoRedefine/>
    <w:qFormat/>
    <w:uiPriority w:val="0"/>
    <w:rPr>
      <w:sz w:val="2"/>
      <w:szCs w:val="2"/>
    </w:rPr>
  </w:style>
  <w:style w:type="character" w:customStyle="1" w:styleId="333">
    <w:name w:val="style191"/>
    <w:autoRedefine/>
    <w:qFormat/>
    <w:uiPriority w:val="0"/>
    <w:rPr>
      <w:sz w:val="20"/>
      <w:szCs w:val="20"/>
    </w:rPr>
  </w:style>
  <w:style w:type="character" w:customStyle="1" w:styleId="334">
    <w:name w:val="表头1 Char Char"/>
    <w:link w:val="335"/>
    <w:autoRedefine/>
    <w:qFormat/>
    <w:uiPriority w:val="0"/>
    <w:rPr>
      <w:rFonts w:ascii="黑体" w:eastAsia="黑体"/>
      <w:spacing w:val="-20"/>
      <w:kern w:val="16"/>
      <w:sz w:val="24"/>
    </w:rPr>
  </w:style>
  <w:style w:type="paragraph" w:customStyle="1" w:styleId="335">
    <w:name w:val="表头1"/>
    <w:basedOn w:val="1"/>
    <w:link w:val="334"/>
    <w:autoRedefine/>
    <w:qFormat/>
    <w:uiPriority w:val="0"/>
    <w:pPr>
      <w:tabs>
        <w:tab w:val="left" w:pos="5280"/>
      </w:tabs>
      <w:adjustRightInd w:val="0"/>
      <w:spacing w:before="120" w:line="300" w:lineRule="auto"/>
      <w:ind w:firstLine="1000" w:firstLineChars="500"/>
      <w:textAlignment w:val="baseline"/>
    </w:pPr>
    <w:rPr>
      <w:rFonts w:ascii="黑体" w:eastAsia="黑体" w:hAnsiTheme="minorHAnsi" w:cstheme="minorBidi"/>
      <w:spacing w:val="-20"/>
      <w:kern w:val="16"/>
      <w:sz w:val="24"/>
      <w:szCs w:val="22"/>
    </w:rPr>
  </w:style>
  <w:style w:type="character" w:customStyle="1" w:styleId="336">
    <w:name w:val="link1"/>
    <w:basedOn w:val="94"/>
    <w:autoRedefine/>
    <w:qFormat/>
    <w:uiPriority w:val="0"/>
  </w:style>
  <w:style w:type="character" w:customStyle="1" w:styleId="337">
    <w:name w:val="表格 Char Char"/>
    <w:autoRedefine/>
    <w:qFormat/>
    <w:uiPriority w:val="0"/>
    <w:rPr>
      <w:rFonts w:ascii="宋体" w:eastAsia="楷体_GB2312"/>
      <w:color w:val="000000"/>
      <w:spacing w:val="8"/>
      <w:sz w:val="18"/>
      <w:lang w:val="en-US" w:eastAsia="zh-CN" w:bidi="ar-SA"/>
    </w:rPr>
  </w:style>
  <w:style w:type="character" w:customStyle="1" w:styleId="338">
    <w:name w:val="hui1"/>
    <w:autoRedefine/>
    <w:qFormat/>
    <w:uiPriority w:val="0"/>
    <w:rPr>
      <w:color w:val="404040"/>
      <w:sz w:val="18"/>
      <w:szCs w:val="18"/>
      <w:u w:val="none"/>
    </w:rPr>
  </w:style>
  <w:style w:type="character" w:customStyle="1" w:styleId="339">
    <w:name w:val="comp_content"/>
    <w:basedOn w:val="94"/>
    <w:autoRedefine/>
    <w:qFormat/>
    <w:uiPriority w:val="0"/>
  </w:style>
  <w:style w:type="character" w:customStyle="1" w:styleId="340">
    <w:name w:val="正文格式 Char Char Char Char"/>
    <w:autoRedefine/>
    <w:qFormat/>
    <w:uiPriority w:val="0"/>
    <w:rPr>
      <w:rFonts w:eastAsia="宋体"/>
      <w:kern w:val="2"/>
      <w:sz w:val="24"/>
      <w:szCs w:val="24"/>
      <w:lang w:val="en-US" w:eastAsia="zh-CN" w:bidi="ar-SA"/>
    </w:rPr>
  </w:style>
  <w:style w:type="character" w:customStyle="1" w:styleId="341">
    <w:name w:val="报告 Char Char"/>
    <w:link w:val="342"/>
    <w:autoRedefine/>
    <w:qFormat/>
    <w:uiPriority w:val="0"/>
    <w:rPr>
      <w:rFonts w:ascii="TimesNewRoman" w:hAnsi="TimesNewRoman" w:eastAsia="宋体"/>
      <w:sz w:val="24"/>
    </w:rPr>
  </w:style>
  <w:style w:type="paragraph" w:customStyle="1" w:styleId="342">
    <w:name w:val="报告"/>
    <w:basedOn w:val="1"/>
    <w:link w:val="341"/>
    <w:autoRedefine/>
    <w:qFormat/>
    <w:uiPriority w:val="0"/>
    <w:pPr>
      <w:adjustRightInd w:val="0"/>
      <w:spacing w:line="360" w:lineRule="auto"/>
      <w:ind w:firstLine="505"/>
      <w:textAlignment w:val="center"/>
    </w:pPr>
    <w:rPr>
      <w:rFonts w:ascii="TimesNewRoman" w:hAnsi="TimesNewRoman" w:cstheme="minorBidi"/>
      <w:sz w:val="24"/>
      <w:szCs w:val="22"/>
    </w:rPr>
  </w:style>
  <w:style w:type="character" w:customStyle="1" w:styleId="343">
    <w:name w:val="qloginzi11"/>
    <w:basedOn w:val="94"/>
    <w:autoRedefine/>
    <w:qFormat/>
    <w:uiPriority w:val="0"/>
  </w:style>
  <w:style w:type="character" w:customStyle="1" w:styleId="344">
    <w:name w:val="哈哈1"/>
    <w:basedOn w:val="94"/>
    <w:autoRedefine/>
    <w:qFormat/>
    <w:uiPriority w:val="0"/>
  </w:style>
  <w:style w:type="character" w:customStyle="1" w:styleId="345">
    <w:name w:val="bds_more2"/>
    <w:autoRedefine/>
    <w:qFormat/>
    <w:uiPriority w:val="0"/>
    <w:rPr>
      <w:rFonts w:ascii="宋体 ! important" w:hAnsi="宋体 ! important" w:eastAsia="宋体 ! important" w:cs="宋体 ! important"/>
      <w:color w:val="454545"/>
      <w:sz w:val="18"/>
      <w:szCs w:val="18"/>
    </w:rPr>
  </w:style>
  <w:style w:type="character" w:customStyle="1" w:styleId="346">
    <w:name w:val="h18"/>
    <w:basedOn w:val="94"/>
    <w:autoRedefine/>
    <w:qFormat/>
    <w:uiPriority w:val="0"/>
  </w:style>
  <w:style w:type="character" w:customStyle="1" w:styleId="347">
    <w:name w:val="Char Char21"/>
    <w:autoRedefine/>
    <w:qFormat/>
    <w:uiPriority w:val="0"/>
    <w:rPr>
      <w:rFonts w:eastAsia="楷体_GB2312"/>
      <w:smallCaps/>
      <w:spacing w:val="8"/>
      <w:sz w:val="24"/>
      <w:lang w:val="en-US" w:eastAsia="zh-CN" w:bidi="ar-SA"/>
    </w:rPr>
  </w:style>
  <w:style w:type="character" w:customStyle="1" w:styleId="348">
    <w:name w:val="px12"/>
    <w:basedOn w:val="94"/>
    <w:autoRedefine/>
    <w:qFormat/>
    <w:uiPriority w:val="0"/>
  </w:style>
  <w:style w:type="character" w:customStyle="1" w:styleId="349">
    <w:name w:val="正文文本缩进 3 Char1"/>
    <w:autoRedefine/>
    <w:qFormat/>
    <w:uiPriority w:val="0"/>
    <w:rPr>
      <w:sz w:val="16"/>
      <w:szCs w:val="16"/>
    </w:rPr>
  </w:style>
  <w:style w:type="character" w:customStyle="1" w:styleId="350">
    <w:name w:val="Char Char66"/>
    <w:autoRedefine/>
    <w:qFormat/>
    <w:uiPriority w:val="0"/>
    <w:rPr>
      <w:rFonts w:ascii="Arial" w:hAnsi="Arial" w:eastAsia="仿宋_GB2312"/>
      <w:kern w:val="2"/>
      <w:sz w:val="28"/>
      <w:szCs w:val="28"/>
      <w:lang w:val="en-US" w:eastAsia="zh-CN" w:bidi="ar-SA"/>
    </w:rPr>
  </w:style>
  <w:style w:type="character" w:customStyle="1" w:styleId="351">
    <w:name w:val="样式 样式 (中文) 楷体_GB2312 四号 左 行距: 固定值 25 磅 + 行距: 固定值 23 磅 Char Char"/>
    <w:link w:val="352"/>
    <w:autoRedefine/>
    <w:qFormat/>
    <w:uiPriority w:val="0"/>
    <w:rPr>
      <w:rFonts w:eastAsia="楷体_GB2312" w:cs="宋体"/>
      <w:spacing w:val="12"/>
      <w:sz w:val="28"/>
    </w:rPr>
  </w:style>
  <w:style w:type="paragraph" w:customStyle="1" w:styleId="352">
    <w:name w:val="样式 样式 (中文) 楷体_GB2312 四号 左 行距: 固定值 25 磅 + 行距: 固定值 23 磅"/>
    <w:basedOn w:val="1"/>
    <w:link w:val="351"/>
    <w:autoRedefine/>
    <w:qFormat/>
    <w:uiPriority w:val="0"/>
    <w:pPr>
      <w:adjustRightInd w:val="0"/>
      <w:spacing w:line="460" w:lineRule="exact"/>
      <w:ind w:firstLine="200" w:firstLineChars="200"/>
      <w:jc w:val="left"/>
      <w:textAlignment w:val="baseline"/>
    </w:pPr>
    <w:rPr>
      <w:rFonts w:eastAsia="楷体_GB2312" w:cs="宋体" w:asciiTheme="minorHAnsi" w:hAnsiTheme="minorHAnsi"/>
      <w:spacing w:val="12"/>
      <w:sz w:val="28"/>
      <w:szCs w:val="22"/>
    </w:rPr>
  </w:style>
  <w:style w:type="character" w:customStyle="1" w:styleId="353">
    <w:name w:val="texttitle1"/>
    <w:autoRedefine/>
    <w:qFormat/>
    <w:uiPriority w:val="0"/>
    <w:rPr>
      <w:color w:val="0099FF"/>
      <w:sz w:val="24"/>
      <w:szCs w:val="24"/>
      <w:u w:val="none"/>
    </w:rPr>
  </w:style>
  <w:style w:type="character" w:customStyle="1" w:styleId="354">
    <w:name w:val="font1"/>
    <w:autoRedefine/>
    <w:qFormat/>
    <w:uiPriority w:val="0"/>
    <w:rPr>
      <w:color w:val="000000"/>
      <w:sz w:val="21"/>
      <w:szCs w:val="21"/>
    </w:rPr>
  </w:style>
  <w:style w:type="character" w:customStyle="1" w:styleId="355">
    <w:name w:val="s1"/>
    <w:autoRedefine/>
    <w:qFormat/>
    <w:uiPriority w:val="0"/>
    <w:rPr>
      <w:sz w:val="18"/>
      <w:szCs w:val="18"/>
    </w:rPr>
  </w:style>
  <w:style w:type="character" w:customStyle="1" w:styleId="356">
    <w:name w:val="bds_more"/>
    <w:basedOn w:val="94"/>
    <w:autoRedefine/>
    <w:qFormat/>
    <w:uiPriority w:val="0"/>
  </w:style>
  <w:style w:type="character" w:customStyle="1" w:styleId="357">
    <w:name w:val="count"/>
    <w:basedOn w:val="94"/>
    <w:autoRedefine/>
    <w:qFormat/>
    <w:uiPriority w:val="0"/>
  </w:style>
  <w:style w:type="character" w:customStyle="1" w:styleId="358">
    <w:name w:val="H8 Char"/>
    <w:autoRedefine/>
    <w:qFormat/>
    <w:uiPriority w:val="0"/>
    <w:rPr>
      <w:rFonts w:ascii="Arial" w:hAnsi="Arial" w:eastAsia="黑体"/>
      <w:kern w:val="2"/>
      <w:sz w:val="30"/>
      <w:szCs w:val="24"/>
      <w:lang w:val="en-US" w:eastAsia="zh-CN" w:bidi="ar-SA"/>
    </w:rPr>
  </w:style>
  <w:style w:type="character" w:customStyle="1" w:styleId="359">
    <w:name w:val="章节 Char Char"/>
    <w:autoRedefine/>
    <w:qFormat/>
    <w:uiPriority w:val="0"/>
    <w:rPr>
      <w:rFonts w:eastAsia="宋体"/>
      <w:b/>
      <w:kern w:val="2"/>
      <w:sz w:val="32"/>
      <w:szCs w:val="32"/>
      <w:lang w:val="en-US" w:eastAsia="zh-CN" w:bidi="ar-SA"/>
    </w:rPr>
  </w:style>
  <w:style w:type="character" w:customStyle="1" w:styleId="360">
    <w:name w:val="标书四级目录 Char Char Char"/>
    <w:autoRedefine/>
    <w:qFormat/>
    <w:uiPriority w:val="0"/>
    <w:rPr>
      <w:rFonts w:eastAsia="宋体"/>
      <w:kern w:val="2"/>
      <w:sz w:val="21"/>
      <w:szCs w:val="24"/>
      <w:lang w:val="en-US" w:eastAsia="zh-CN" w:bidi="ar-SA"/>
    </w:rPr>
  </w:style>
  <w:style w:type="character" w:customStyle="1" w:styleId="361">
    <w:name w:val="标题 B Char Char"/>
    <w:link w:val="362"/>
    <w:autoRedefine/>
    <w:qFormat/>
    <w:uiPriority w:val="0"/>
    <w:rPr>
      <w:rFonts w:ascii="Arial Rounded MT Bold" w:hAnsi="Arial Rounded MT Bold" w:eastAsia="黑体"/>
      <w:spacing w:val="8"/>
      <w:sz w:val="32"/>
    </w:rPr>
  </w:style>
  <w:style w:type="paragraph" w:customStyle="1" w:styleId="362">
    <w:name w:val="标题 B"/>
    <w:basedOn w:val="4"/>
    <w:link w:val="361"/>
    <w:autoRedefine/>
    <w:qFormat/>
    <w:uiPriority w:val="0"/>
    <w:pPr>
      <w:keepLines w:val="0"/>
      <w:spacing w:before="840" w:after="240" w:line="400" w:lineRule="exact"/>
      <w:ind w:left="0"/>
      <w:jc w:val="center"/>
      <w:outlineLvl w:val="9"/>
    </w:pPr>
    <w:rPr>
      <w:rFonts w:ascii="Arial Rounded MT Bold" w:hAnsi="Arial Rounded MT Bold" w:cstheme="minorBidi"/>
      <w:b w:val="0"/>
      <w:spacing w:val="8"/>
      <w:sz w:val="32"/>
      <w:szCs w:val="22"/>
    </w:rPr>
  </w:style>
  <w:style w:type="character" w:customStyle="1" w:styleId="363">
    <w:name w:val="bds_more4"/>
    <w:autoRedefine/>
    <w:qFormat/>
    <w:uiPriority w:val="0"/>
    <w:rPr>
      <w:rFonts w:hint="eastAsia" w:ascii="宋体" w:hAnsi="宋体" w:eastAsia="宋体" w:cs="宋体"/>
    </w:rPr>
  </w:style>
  <w:style w:type="character" w:customStyle="1" w:styleId="364">
    <w:name w:val="txtcontent11"/>
    <w:autoRedefine/>
    <w:qFormat/>
    <w:uiPriority w:val="0"/>
    <w:rPr>
      <w:rFonts w:hint="default" w:ascii="ˎ̥" w:hAnsi="ˎ̥"/>
      <w:color w:val="000000"/>
      <w:sz w:val="23"/>
      <w:szCs w:val="23"/>
    </w:rPr>
  </w:style>
  <w:style w:type="character" w:customStyle="1" w:styleId="365">
    <w:name w:val="redbig1"/>
    <w:autoRedefine/>
    <w:qFormat/>
    <w:uiPriority w:val="0"/>
    <w:rPr>
      <w:b/>
      <w:bCs/>
      <w:color w:val="D00018"/>
      <w:sz w:val="27"/>
      <w:szCs w:val="27"/>
    </w:rPr>
  </w:style>
  <w:style w:type="character" w:customStyle="1" w:styleId="366">
    <w:name w:val="PI Char"/>
    <w:autoRedefine/>
    <w:qFormat/>
    <w:uiPriority w:val="0"/>
    <w:rPr>
      <w:rFonts w:eastAsia="文鼎中楷繁"/>
      <w:sz w:val="18"/>
      <w:lang w:val="en-US" w:eastAsia="zh-CN" w:bidi="ar-SA"/>
    </w:rPr>
  </w:style>
  <w:style w:type="character" w:customStyle="1" w:styleId="367">
    <w:name w:val="批注文字 Char Char"/>
    <w:autoRedefine/>
    <w:qFormat/>
    <w:uiPriority w:val="0"/>
    <w:rPr>
      <w:rFonts w:ascii="Times New Roman" w:hAnsi="Times New Roman" w:eastAsia="宋体" w:cs="Times New Roman"/>
      <w:szCs w:val="20"/>
    </w:rPr>
  </w:style>
  <w:style w:type="character" w:customStyle="1" w:styleId="368">
    <w:name w:val="样式 小4居中 + Char Char"/>
    <w:link w:val="369"/>
    <w:autoRedefine/>
    <w:qFormat/>
    <w:uiPriority w:val="0"/>
    <w:rPr>
      <w:rFonts w:eastAsia="宋体"/>
      <w:sz w:val="24"/>
      <w:szCs w:val="24"/>
    </w:rPr>
  </w:style>
  <w:style w:type="paragraph" w:customStyle="1" w:styleId="369">
    <w:name w:val="样式 小4居中 +"/>
    <w:basedOn w:val="1"/>
    <w:link w:val="368"/>
    <w:autoRedefine/>
    <w:qFormat/>
    <w:uiPriority w:val="0"/>
    <w:pPr>
      <w:snapToGrid w:val="0"/>
      <w:spacing w:before="46" w:beforeLines="15" w:after="46" w:afterLines="15" w:line="320" w:lineRule="atLeast"/>
      <w:jc w:val="center"/>
    </w:pPr>
    <w:rPr>
      <w:rFonts w:asciiTheme="minorHAnsi" w:hAnsiTheme="minorHAnsi" w:cstheme="minorBidi"/>
      <w:sz w:val="24"/>
    </w:rPr>
  </w:style>
  <w:style w:type="character" w:customStyle="1" w:styleId="370">
    <w:name w:val="font21"/>
    <w:autoRedefine/>
    <w:qFormat/>
    <w:uiPriority w:val="0"/>
    <w:rPr>
      <w:rFonts w:hint="eastAsia" w:ascii="宋体" w:hAnsi="宋体" w:eastAsia="宋体"/>
      <w:color w:val="000000"/>
      <w:sz w:val="21"/>
      <w:szCs w:val="21"/>
      <w:u w:val="none"/>
    </w:rPr>
  </w:style>
  <w:style w:type="character" w:customStyle="1" w:styleId="371">
    <w:name w:val="Char Char42"/>
    <w:autoRedefine/>
    <w:qFormat/>
    <w:uiPriority w:val="0"/>
    <w:rPr>
      <w:rFonts w:eastAsia="长城粗隶书"/>
      <w:sz w:val="21"/>
      <w:lang w:val="en-US" w:eastAsia="zh-CN" w:bidi="ar-SA"/>
    </w:rPr>
  </w:style>
  <w:style w:type="character" w:customStyle="1" w:styleId="372">
    <w:name w:val="表格 Char"/>
    <w:link w:val="373"/>
    <w:autoRedefine/>
    <w:qFormat/>
    <w:uiPriority w:val="0"/>
    <w:rPr>
      <w:rFonts w:eastAsia="宋体"/>
      <w:sz w:val="24"/>
      <w:szCs w:val="24"/>
    </w:rPr>
  </w:style>
  <w:style w:type="paragraph" w:customStyle="1" w:styleId="373">
    <w:name w:val="表格"/>
    <w:basedOn w:val="1"/>
    <w:next w:val="1"/>
    <w:link w:val="372"/>
    <w:autoRedefine/>
    <w:qFormat/>
    <w:uiPriority w:val="0"/>
    <w:pPr>
      <w:jc w:val="center"/>
    </w:pPr>
    <w:rPr>
      <w:rFonts w:asciiTheme="minorHAnsi" w:hAnsiTheme="minorHAnsi" w:cstheme="minorBidi"/>
      <w:sz w:val="24"/>
    </w:rPr>
  </w:style>
  <w:style w:type="character" w:customStyle="1" w:styleId="374">
    <w:name w:val="表格内文字 Char"/>
    <w:link w:val="375"/>
    <w:autoRedefine/>
    <w:qFormat/>
    <w:uiPriority w:val="0"/>
    <w:rPr>
      <w:rFonts w:eastAsia="宋体"/>
      <w:snapToGrid w:val="0"/>
      <w:szCs w:val="21"/>
    </w:rPr>
  </w:style>
  <w:style w:type="paragraph" w:customStyle="1" w:styleId="375">
    <w:name w:val="表格内文字"/>
    <w:basedOn w:val="1"/>
    <w:next w:val="1"/>
    <w:link w:val="374"/>
    <w:autoRedefine/>
    <w:qFormat/>
    <w:uiPriority w:val="0"/>
    <w:pPr>
      <w:tabs>
        <w:tab w:val="left" w:pos="0"/>
      </w:tabs>
      <w:adjustRightInd w:val="0"/>
      <w:snapToGrid w:val="0"/>
      <w:spacing w:line="360" w:lineRule="exact"/>
      <w:jc w:val="center"/>
    </w:pPr>
    <w:rPr>
      <w:rFonts w:asciiTheme="minorHAnsi" w:hAnsiTheme="minorHAnsi" w:cstheme="minorBidi"/>
      <w:snapToGrid w:val="0"/>
      <w:szCs w:val="21"/>
    </w:rPr>
  </w:style>
  <w:style w:type="character" w:customStyle="1" w:styleId="376">
    <w:name w:val="批注框文本 Char1"/>
    <w:autoRedefine/>
    <w:qFormat/>
    <w:uiPriority w:val="0"/>
    <w:rPr>
      <w:sz w:val="18"/>
      <w:szCs w:val="18"/>
    </w:rPr>
  </w:style>
  <w:style w:type="character" w:customStyle="1" w:styleId="377">
    <w:name w:val="正文文本 3 Char1"/>
    <w:autoRedefine/>
    <w:qFormat/>
    <w:uiPriority w:val="0"/>
    <w:rPr>
      <w:sz w:val="16"/>
      <w:szCs w:val="16"/>
    </w:rPr>
  </w:style>
  <w:style w:type="character" w:customStyle="1" w:styleId="378">
    <w:name w:val="正文B Char Char Char Char"/>
    <w:autoRedefine/>
    <w:qFormat/>
    <w:uiPriority w:val="0"/>
    <w:rPr>
      <w:rFonts w:eastAsia="楷体_GB2312"/>
      <w:spacing w:val="8"/>
      <w:sz w:val="28"/>
      <w:lang w:val="en-US" w:eastAsia="zh-CN" w:bidi="ar-SA"/>
    </w:rPr>
  </w:style>
  <w:style w:type="character" w:customStyle="1" w:styleId="379">
    <w:name w:val="明显参考1"/>
    <w:autoRedefine/>
    <w:qFormat/>
    <w:uiPriority w:val="0"/>
    <w:rPr>
      <w:b/>
      <w:bCs/>
      <w:smallCaps/>
      <w:color w:val="C0504D"/>
      <w:spacing w:val="5"/>
      <w:u w:val="single"/>
    </w:rPr>
  </w:style>
  <w:style w:type="character" w:customStyle="1" w:styleId="380">
    <w:name w:val="WW8Num16z0"/>
    <w:autoRedefine/>
    <w:qFormat/>
    <w:uiPriority w:val="0"/>
    <w:rPr>
      <w:rFonts w:ascii="Wingdings" w:hAnsi="Wingdings"/>
    </w:rPr>
  </w:style>
  <w:style w:type="character" w:customStyle="1" w:styleId="381">
    <w:name w:val="Char Char38"/>
    <w:autoRedefine/>
    <w:qFormat/>
    <w:uiPriority w:val="0"/>
    <w:rPr>
      <w:kern w:val="2"/>
      <w:sz w:val="21"/>
      <w:shd w:val="clear" w:color="auto" w:fill="000080"/>
    </w:rPr>
  </w:style>
  <w:style w:type="character" w:customStyle="1" w:styleId="382">
    <w:name w:val="cucd-3 Char Char"/>
    <w:link w:val="383"/>
    <w:autoRedefine/>
    <w:qFormat/>
    <w:uiPriority w:val="0"/>
    <w:rPr>
      <w:rFonts w:ascii="Arial" w:hAnsi="Arial" w:eastAsia="Times New Roman"/>
      <w:b/>
      <w:szCs w:val="21"/>
    </w:rPr>
  </w:style>
  <w:style w:type="paragraph" w:customStyle="1" w:styleId="383">
    <w:name w:val="cucd-3"/>
    <w:next w:val="1"/>
    <w:link w:val="382"/>
    <w:autoRedefine/>
    <w:qFormat/>
    <w:uiPriority w:val="0"/>
    <w:pPr>
      <w:spacing w:line="360" w:lineRule="exact"/>
      <w:outlineLvl w:val="2"/>
    </w:pPr>
    <w:rPr>
      <w:rFonts w:ascii="Arial" w:hAnsi="Arial" w:eastAsia="Times New Roman" w:cstheme="minorBidi"/>
      <w:b/>
      <w:kern w:val="2"/>
      <w:sz w:val="21"/>
      <w:szCs w:val="21"/>
      <w:lang w:val="en-US" w:eastAsia="zh-CN" w:bidi="ar-SA"/>
    </w:rPr>
  </w:style>
  <w:style w:type="character" w:customStyle="1" w:styleId="384">
    <w:name w:val="bds_more3"/>
    <w:basedOn w:val="94"/>
    <w:autoRedefine/>
    <w:qFormat/>
    <w:uiPriority w:val="0"/>
  </w:style>
  <w:style w:type="character" w:customStyle="1" w:styleId="385">
    <w:name w:val="style11"/>
    <w:autoRedefine/>
    <w:qFormat/>
    <w:uiPriority w:val="0"/>
    <w:rPr>
      <w:color w:val="000000"/>
    </w:rPr>
  </w:style>
  <w:style w:type="character" w:customStyle="1" w:styleId="386">
    <w:name w:val="样式2 Char Char"/>
    <w:autoRedefine/>
    <w:qFormat/>
    <w:uiPriority w:val="0"/>
    <w:rPr>
      <w:rFonts w:eastAsia="宋体"/>
      <w:kern w:val="2"/>
      <w:sz w:val="24"/>
      <w:szCs w:val="24"/>
      <w:lang w:val="en-US" w:eastAsia="zh-CN" w:bidi="ar-SA"/>
    </w:rPr>
  </w:style>
  <w:style w:type="character" w:customStyle="1" w:styleId="387">
    <w:name w:val="style211"/>
    <w:autoRedefine/>
    <w:qFormat/>
    <w:uiPriority w:val="0"/>
    <w:rPr>
      <w:rFonts w:hint="eastAsia" w:ascii="新宋体" w:hAnsi="新宋体" w:eastAsia="新宋体"/>
      <w:color w:val="CCCCCC"/>
      <w:sz w:val="18"/>
      <w:szCs w:val="18"/>
    </w:rPr>
  </w:style>
  <w:style w:type="character" w:customStyle="1" w:styleId="388">
    <w:name w:val="标书四级目录 Char Char"/>
    <w:autoRedefine/>
    <w:qFormat/>
    <w:uiPriority w:val="0"/>
    <w:rPr>
      <w:rFonts w:eastAsia="宋体"/>
      <w:kern w:val="2"/>
      <w:sz w:val="21"/>
      <w:szCs w:val="24"/>
      <w:lang w:val="en-US" w:eastAsia="zh-CN" w:bidi="ar-SA"/>
    </w:rPr>
  </w:style>
  <w:style w:type="character" w:customStyle="1" w:styleId="389">
    <w:name w:val="main1"/>
    <w:autoRedefine/>
    <w:qFormat/>
    <w:uiPriority w:val="0"/>
    <w:rPr>
      <w:rFonts w:hint="default"/>
      <w:sz w:val="21"/>
      <w:szCs w:val="21"/>
    </w:rPr>
  </w:style>
  <w:style w:type="character" w:customStyle="1" w:styleId="390">
    <w:name w:val="公式 Char Char Char"/>
    <w:autoRedefine/>
    <w:qFormat/>
    <w:uiPriority w:val="0"/>
    <w:rPr>
      <w:rFonts w:eastAsia="宋体"/>
      <w:kern w:val="2"/>
      <w:sz w:val="24"/>
      <w:szCs w:val="24"/>
      <w:lang w:val="en-GB" w:eastAsia="zh-CN" w:bidi="ar-SA"/>
    </w:rPr>
  </w:style>
  <w:style w:type="character" w:customStyle="1" w:styleId="391">
    <w:name w:val="样式 样式 表格标题 + 首行缩进:  2 字符 + 红色 Char Char"/>
    <w:link w:val="392"/>
    <w:autoRedefine/>
    <w:qFormat/>
    <w:uiPriority w:val="0"/>
    <w:rPr>
      <w:rFonts w:eastAsia="汉鼎简特宋" w:cs="宋体"/>
      <w:spacing w:val="8"/>
      <w:sz w:val="24"/>
      <w:szCs w:val="24"/>
    </w:rPr>
  </w:style>
  <w:style w:type="paragraph" w:customStyle="1" w:styleId="392">
    <w:name w:val="样式 样式 表格标题 + 首行缩进:  2 字符 + 红色"/>
    <w:basedOn w:val="1"/>
    <w:link w:val="391"/>
    <w:autoRedefine/>
    <w:qFormat/>
    <w:uiPriority w:val="0"/>
    <w:pPr>
      <w:adjustRightInd w:val="0"/>
      <w:spacing w:before="120" w:line="360" w:lineRule="auto"/>
      <w:ind w:firstLine="480" w:firstLineChars="200"/>
      <w:jc w:val="center"/>
      <w:textAlignment w:val="baseline"/>
    </w:pPr>
    <w:rPr>
      <w:rFonts w:eastAsia="汉鼎简特宋" w:cs="宋体" w:asciiTheme="minorHAnsi" w:hAnsiTheme="minorHAnsi"/>
      <w:spacing w:val="8"/>
      <w:sz w:val="24"/>
    </w:rPr>
  </w:style>
  <w:style w:type="character" w:customStyle="1" w:styleId="393">
    <w:name w:val="样式 样式 样式 样式 样式 样式 首行缩进:  2 字符 + 首行缩进:  2 字符2 + 仿宋_GB2312 + 首行缩进:... Char Char Char"/>
    <w:autoRedefine/>
    <w:qFormat/>
    <w:uiPriority w:val="0"/>
    <w:rPr>
      <w:rFonts w:eastAsia="楷体_GB2312"/>
      <w:spacing w:val="12"/>
      <w:sz w:val="28"/>
      <w:szCs w:val="28"/>
      <w:lang w:val="en-US" w:eastAsia="zh-CN" w:bidi="ar-SA"/>
    </w:rPr>
  </w:style>
  <w:style w:type="character" w:customStyle="1" w:styleId="394">
    <w:name w:val="style161"/>
    <w:autoRedefine/>
    <w:qFormat/>
    <w:uiPriority w:val="0"/>
    <w:rPr>
      <w:color w:val="333333"/>
      <w:sz w:val="21"/>
      <w:szCs w:val="21"/>
    </w:rPr>
  </w:style>
  <w:style w:type="character" w:customStyle="1" w:styleId="395">
    <w:name w:val="页眉1 Char1"/>
    <w:autoRedefine/>
    <w:qFormat/>
    <w:uiPriority w:val="0"/>
    <w:rPr>
      <w:rFonts w:eastAsia="长城粗隶书"/>
      <w:sz w:val="21"/>
      <w:lang w:val="en-US" w:eastAsia="zh-CN" w:bidi="ar-SA"/>
    </w:rPr>
  </w:style>
  <w:style w:type="character" w:customStyle="1" w:styleId="396">
    <w:name w:val="WW8Num7z1"/>
    <w:autoRedefine/>
    <w:qFormat/>
    <w:uiPriority w:val="0"/>
    <w:rPr>
      <w:rFonts w:ascii="Wingdings" w:hAnsi="Wingdings"/>
    </w:rPr>
  </w:style>
  <w:style w:type="character" w:customStyle="1" w:styleId="397">
    <w:name w:val="bk21"/>
    <w:autoRedefine/>
    <w:qFormat/>
    <w:uiPriority w:val="0"/>
    <w:rPr>
      <w:sz w:val="15"/>
      <w:szCs w:val="15"/>
    </w:rPr>
  </w:style>
  <w:style w:type="character" w:customStyle="1" w:styleId="398">
    <w:name w:val="样式 正文缩进 + 首行缩进:  2 字符 Char Char"/>
    <w:link w:val="399"/>
    <w:autoRedefine/>
    <w:qFormat/>
    <w:uiPriority w:val="0"/>
    <w:rPr>
      <w:rFonts w:eastAsia="宋体" w:cs="宋体"/>
      <w:sz w:val="28"/>
    </w:rPr>
  </w:style>
  <w:style w:type="paragraph" w:customStyle="1" w:styleId="399">
    <w:name w:val="样式 正文缩进 + 首行缩进:  2 字符"/>
    <w:basedOn w:val="21"/>
    <w:link w:val="398"/>
    <w:autoRedefine/>
    <w:qFormat/>
    <w:uiPriority w:val="0"/>
    <w:pPr>
      <w:snapToGrid w:val="0"/>
      <w:spacing w:line="520" w:lineRule="atLeast"/>
      <w:ind w:firstLine="200"/>
    </w:pPr>
    <w:rPr>
      <w:rFonts w:cs="宋体" w:asciiTheme="minorHAnsi" w:hAnsiTheme="minorHAnsi"/>
      <w:sz w:val="28"/>
      <w:szCs w:val="22"/>
    </w:rPr>
  </w:style>
  <w:style w:type="character" w:customStyle="1" w:styleId="400">
    <w:name w:val="style15"/>
    <w:autoRedefine/>
    <w:qFormat/>
    <w:uiPriority w:val="0"/>
    <w:rPr>
      <w:sz w:val="14"/>
      <w:szCs w:val="14"/>
    </w:rPr>
  </w:style>
  <w:style w:type="character" w:customStyle="1" w:styleId="401">
    <w:name w:val="p9"/>
    <w:basedOn w:val="94"/>
    <w:autoRedefine/>
    <w:qFormat/>
    <w:uiPriority w:val="0"/>
  </w:style>
  <w:style w:type="character" w:customStyle="1" w:styleId="402">
    <w:name w:val="context2"/>
    <w:autoRedefine/>
    <w:qFormat/>
    <w:uiPriority w:val="0"/>
    <w:rPr>
      <w:sz w:val="18"/>
      <w:szCs w:val="18"/>
    </w:rPr>
  </w:style>
  <w:style w:type="character" w:customStyle="1" w:styleId="403">
    <w:name w:val="qqq"/>
    <w:basedOn w:val="94"/>
    <w:autoRedefine/>
    <w:qFormat/>
    <w:uiPriority w:val="0"/>
  </w:style>
  <w:style w:type="character" w:customStyle="1" w:styleId="404">
    <w:name w:val="新正文 Char Char Char"/>
    <w:autoRedefine/>
    <w:qFormat/>
    <w:uiPriority w:val="0"/>
    <w:rPr>
      <w:rFonts w:ascii="仿宋_GB2312" w:eastAsia="仿宋_GB2312"/>
      <w:bCs/>
      <w:sz w:val="28"/>
      <w:lang w:val="en-US" w:eastAsia="zh-CN" w:bidi="ar-SA"/>
    </w:rPr>
  </w:style>
  <w:style w:type="character" w:customStyle="1" w:styleId="405">
    <w:name w:val="理化性质 Char Char"/>
    <w:link w:val="406"/>
    <w:autoRedefine/>
    <w:qFormat/>
    <w:uiPriority w:val="0"/>
    <w:rPr>
      <w:rFonts w:eastAsia="楷体_GB2312"/>
      <w:spacing w:val="4"/>
      <w:sz w:val="28"/>
      <w:szCs w:val="24"/>
    </w:rPr>
  </w:style>
  <w:style w:type="paragraph" w:customStyle="1" w:styleId="406">
    <w:name w:val="理化性质"/>
    <w:basedOn w:val="407"/>
    <w:link w:val="405"/>
    <w:autoRedefine/>
    <w:qFormat/>
    <w:uiPriority w:val="0"/>
    <w:pPr>
      <w:tabs>
        <w:tab w:val="left" w:pos="4309"/>
        <w:tab w:val="left" w:pos="4320"/>
        <w:tab w:val="left" w:pos="9975"/>
      </w:tabs>
    </w:pPr>
    <w:rPr>
      <w:rFonts w:eastAsia="楷体_GB2312" w:asciiTheme="minorHAnsi" w:hAnsiTheme="minorHAnsi" w:cstheme="minorBidi"/>
      <w:kern w:val="2"/>
      <w:sz w:val="28"/>
    </w:rPr>
  </w:style>
  <w:style w:type="paragraph" w:customStyle="1" w:styleId="407">
    <w:name w:val="性质正文"/>
    <w:basedOn w:val="1"/>
    <w:autoRedefine/>
    <w:qFormat/>
    <w:uiPriority w:val="0"/>
    <w:pPr>
      <w:tabs>
        <w:tab w:val="left" w:pos="4320"/>
        <w:tab w:val="left" w:pos="9975"/>
      </w:tabs>
      <w:adjustRightInd w:val="0"/>
      <w:spacing w:line="280" w:lineRule="exact"/>
      <w:ind w:left="1644" w:right="567" w:hanging="1077" w:firstLineChars="200"/>
      <w:textAlignment w:val="baseline"/>
    </w:pPr>
    <w:rPr>
      <w:rFonts w:ascii="宋体"/>
      <w:spacing w:val="4"/>
      <w:kern w:val="0"/>
      <w:sz w:val="24"/>
    </w:rPr>
  </w:style>
  <w:style w:type="character" w:customStyle="1" w:styleId="408">
    <w:name w:val="text2"/>
    <w:autoRedefine/>
    <w:qFormat/>
    <w:uiPriority w:val="0"/>
    <w:rPr>
      <w:rFonts w:hint="eastAsia" w:ascii="宋体" w:hAnsi="宋体" w:eastAsia="宋体"/>
      <w:sz w:val="18"/>
      <w:szCs w:val="18"/>
    </w:rPr>
  </w:style>
  <w:style w:type="character" w:customStyle="1" w:styleId="409">
    <w:name w:val="Header Char"/>
    <w:autoRedefine/>
    <w:qFormat/>
    <w:uiPriority w:val="0"/>
    <w:rPr>
      <w:rFonts w:cs="Times New Roman"/>
      <w:sz w:val="18"/>
      <w:szCs w:val="18"/>
    </w:rPr>
  </w:style>
  <w:style w:type="character" w:customStyle="1" w:styleId="410">
    <w:name w:val="apple-converted-space"/>
    <w:basedOn w:val="94"/>
    <w:autoRedefine/>
    <w:qFormat/>
    <w:uiPriority w:val="0"/>
  </w:style>
  <w:style w:type="character" w:customStyle="1" w:styleId="411">
    <w:name w:val="msgbodytext"/>
    <w:basedOn w:val="94"/>
    <w:autoRedefine/>
    <w:qFormat/>
    <w:uiPriority w:val="0"/>
  </w:style>
  <w:style w:type="character" w:customStyle="1" w:styleId="412">
    <w:name w:val="tape2copy1"/>
    <w:autoRedefine/>
    <w:qFormat/>
    <w:uiPriority w:val="0"/>
    <w:rPr>
      <w:rFonts w:hint="default" w:ascii="Verdana" w:hAnsi="Verdana"/>
      <w:b/>
      <w:bCs/>
      <w:color w:val="88AE1C"/>
      <w:sz w:val="17"/>
      <w:szCs w:val="17"/>
    </w:rPr>
  </w:style>
  <w:style w:type="character" w:customStyle="1" w:styleId="413">
    <w:name w:val="cucd-3 Char Char Char"/>
    <w:autoRedefine/>
    <w:qFormat/>
    <w:uiPriority w:val="0"/>
    <w:rPr>
      <w:rFonts w:ascii="Arial" w:hAnsi="Arial"/>
      <w:b/>
      <w:kern w:val="2"/>
      <w:sz w:val="21"/>
      <w:szCs w:val="21"/>
      <w:lang w:val="en-US" w:eastAsia="zh-CN" w:bidi="ar-SA"/>
    </w:rPr>
  </w:style>
  <w:style w:type="character" w:customStyle="1" w:styleId="414">
    <w:name w:val="WW8Num2z0"/>
    <w:autoRedefine/>
    <w:qFormat/>
    <w:uiPriority w:val="0"/>
    <w:rPr>
      <w:rFonts w:ascii="Wingdings" w:hAnsi="Wingdings"/>
    </w:rPr>
  </w:style>
  <w:style w:type="character" w:customStyle="1" w:styleId="415">
    <w:name w:val="正文编号 Char Char"/>
    <w:autoRedefine/>
    <w:qFormat/>
    <w:uiPriority w:val="0"/>
    <w:rPr>
      <w:rFonts w:eastAsia="楷体_GB2312"/>
      <w:spacing w:val="8"/>
      <w:sz w:val="28"/>
      <w:lang w:val="en-US" w:eastAsia="zh-CN" w:bidi="ar-SA"/>
    </w:rPr>
  </w:style>
  <w:style w:type="character" w:customStyle="1" w:styleId="416">
    <w:name w:val="Level 2 - (a) Char Char"/>
    <w:autoRedefine/>
    <w:qFormat/>
    <w:uiPriority w:val="0"/>
    <w:rPr>
      <w:rFonts w:ascii="Times New Roman" w:hAnsi="Times New Roman" w:eastAsia="宋体" w:cs="Times New Roman"/>
      <w:kern w:val="0"/>
      <w:sz w:val="24"/>
      <w:szCs w:val="20"/>
      <w:lang w:val="en-AU"/>
    </w:rPr>
  </w:style>
  <w:style w:type="character" w:customStyle="1" w:styleId="417">
    <w:name w:val="new-text"/>
    <w:basedOn w:val="94"/>
    <w:autoRedefine/>
    <w:qFormat/>
    <w:uiPriority w:val="0"/>
  </w:style>
  <w:style w:type="character" w:customStyle="1" w:styleId="418">
    <w:name w:val="Char Char23"/>
    <w:autoRedefine/>
    <w:qFormat/>
    <w:uiPriority w:val="0"/>
    <w:rPr>
      <w:rFonts w:ascii="Arial" w:hAnsi="Arial" w:eastAsia="黑体"/>
      <w:spacing w:val="8"/>
      <w:sz w:val="24"/>
      <w:lang w:val="en-US" w:eastAsia="zh-CN" w:bidi="ar-SA"/>
    </w:rPr>
  </w:style>
  <w:style w:type="character" w:customStyle="1" w:styleId="419">
    <w:name w:val="new_text"/>
    <w:basedOn w:val="94"/>
    <w:autoRedefine/>
    <w:qFormat/>
    <w:uiPriority w:val="0"/>
  </w:style>
  <w:style w:type="character" w:customStyle="1" w:styleId="420">
    <w:name w:val="1.1.1.1 Char Char"/>
    <w:link w:val="421"/>
    <w:autoRedefine/>
    <w:qFormat/>
    <w:uiPriority w:val="0"/>
    <w:rPr>
      <w:rFonts w:ascii="仿宋_GB2312" w:eastAsia="仿宋_GB2312"/>
      <w:sz w:val="24"/>
      <w:szCs w:val="24"/>
    </w:rPr>
  </w:style>
  <w:style w:type="paragraph" w:customStyle="1" w:styleId="421">
    <w:name w:val="1.1.1.1"/>
    <w:basedOn w:val="1"/>
    <w:next w:val="422"/>
    <w:link w:val="420"/>
    <w:autoRedefine/>
    <w:qFormat/>
    <w:uiPriority w:val="0"/>
    <w:pPr>
      <w:snapToGrid w:val="0"/>
      <w:spacing w:line="360" w:lineRule="auto"/>
      <w:ind w:firstLine="200" w:firstLineChars="200"/>
      <w:outlineLvl w:val="3"/>
    </w:pPr>
    <w:rPr>
      <w:rFonts w:ascii="仿宋_GB2312" w:eastAsia="仿宋_GB2312" w:hAnsiTheme="minorHAnsi" w:cstheme="minorBidi"/>
      <w:sz w:val="24"/>
    </w:rPr>
  </w:style>
  <w:style w:type="paragraph" w:customStyle="1" w:styleId="422">
    <w:name w:val="正文文字"/>
    <w:basedOn w:val="34"/>
    <w:autoRedefine/>
    <w:qFormat/>
    <w:uiPriority w:val="0"/>
    <w:pPr>
      <w:snapToGrid w:val="0"/>
      <w:spacing w:after="0" w:line="360" w:lineRule="auto"/>
      <w:ind w:firstLine="200" w:firstLineChars="200"/>
    </w:pPr>
    <w:rPr>
      <w:rFonts w:ascii="宋体" w:eastAsia="仿宋_GB2312"/>
      <w:spacing w:val="8"/>
      <w:sz w:val="24"/>
    </w:rPr>
  </w:style>
  <w:style w:type="character" w:customStyle="1" w:styleId="423">
    <w:name w:val="表题 Char Char"/>
    <w:link w:val="424"/>
    <w:autoRedefine/>
    <w:qFormat/>
    <w:uiPriority w:val="0"/>
    <w:rPr>
      <w:rFonts w:eastAsia="黑体"/>
      <w:sz w:val="24"/>
    </w:rPr>
  </w:style>
  <w:style w:type="paragraph" w:customStyle="1" w:styleId="424">
    <w:name w:val="表题"/>
    <w:basedOn w:val="7"/>
    <w:next w:val="1"/>
    <w:link w:val="423"/>
    <w:autoRedefine/>
    <w:qFormat/>
    <w:uiPriority w:val="0"/>
    <w:pPr>
      <w:keepNext w:val="0"/>
      <w:tabs>
        <w:tab w:val="left" w:pos="960"/>
      </w:tabs>
      <w:spacing w:before="120" w:after="0" w:line="240" w:lineRule="auto"/>
      <w:ind w:left="0"/>
      <w:jc w:val="center"/>
    </w:pPr>
    <w:rPr>
      <w:rFonts w:eastAsia="黑体" w:asciiTheme="minorHAnsi" w:hAnsiTheme="minorHAnsi" w:cstheme="minorBidi"/>
      <w:b w:val="0"/>
      <w:bCs w:val="0"/>
      <w:sz w:val="24"/>
      <w:szCs w:val="22"/>
    </w:rPr>
  </w:style>
  <w:style w:type="character" w:customStyle="1" w:styleId="425">
    <w:name w:val="正文格式 Char Char Char"/>
    <w:autoRedefine/>
    <w:qFormat/>
    <w:uiPriority w:val="0"/>
    <w:rPr>
      <w:rFonts w:eastAsia="宋体"/>
      <w:kern w:val="2"/>
      <w:sz w:val="24"/>
      <w:szCs w:val="24"/>
      <w:lang w:val="en-US" w:eastAsia="zh-CN" w:bidi="ar-SA"/>
    </w:rPr>
  </w:style>
  <w:style w:type="character" w:customStyle="1" w:styleId="426">
    <w:name w:val="count9"/>
    <w:autoRedefine/>
    <w:qFormat/>
    <w:uiPriority w:val="0"/>
    <w:rPr>
      <w:rFonts w:hint="default" w:ascii="ˎ̥" w:hAnsi="ˎ̥"/>
      <w:color w:val="858585"/>
    </w:rPr>
  </w:style>
  <w:style w:type="character" w:customStyle="1" w:styleId="427">
    <w:name w:val="t_tag"/>
    <w:basedOn w:val="94"/>
    <w:autoRedefine/>
    <w:qFormat/>
    <w:uiPriority w:val="0"/>
  </w:style>
  <w:style w:type="character" w:customStyle="1" w:styleId="428">
    <w:name w:val="表后 Char Char"/>
    <w:link w:val="429"/>
    <w:autoRedefine/>
    <w:qFormat/>
    <w:uiPriority w:val="0"/>
    <w:rPr>
      <w:rFonts w:eastAsia="楷体_GB2312"/>
      <w:spacing w:val="8"/>
      <w:sz w:val="28"/>
    </w:rPr>
  </w:style>
  <w:style w:type="paragraph" w:customStyle="1" w:styleId="429">
    <w:name w:val="表后"/>
    <w:basedOn w:val="1"/>
    <w:next w:val="1"/>
    <w:link w:val="428"/>
    <w:autoRedefine/>
    <w:qFormat/>
    <w:uiPriority w:val="0"/>
    <w:pPr>
      <w:adjustRightInd w:val="0"/>
      <w:spacing w:before="120" w:line="312" w:lineRule="atLeast"/>
      <w:ind w:firstLine="601"/>
      <w:textAlignment w:val="baseline"/>
    </w:pPr>
    <w:rPr>
      <w:rFonts w:eastAsia="楷体_GB2312" w:asciiTheme="minorHAnsi" w:hAnsiTheme="minorHAnsi" w:cstheme="minorBidi"/>
      <w:spacing w:val="8"/>
      <w:sz w:val="28"/>
      <w:szCs w:val="22"/>
    </w:rPr>
  </w:style>
  <w:style w:type="character" w:customStyle="1" w:styleId="430">
    <w:name w:val="dgreygreenh201"/>
    <w:autoRedefine/>
    <w:qFormat/>
    <w:uiPriority w:val="0"/>
    <w:rPr>
      <w:color w:val="8D8D8D"/>
      <w:sz w:val="18"/>
      <w:szCs w:val="18"/>
      <w:u w:val="none"/>
    </w:rPr>
  </w:style>
  <w:style w:type="character" w:customStyle="1" w:styleId="431">
    <w:name w:val="hangju"/>
    <w:basedOn w:val="94"/>
    <w:autoRedefine/>
    <w:qFormat/>
    <w:uiPriority w:val="0"/>
  </w:style>
  <w:style w:type="character" w:customStyle="1" w:styleId="432">
    <w:name w:val="表内文字 Char Char"/>
    <w:autoRedefine/>
    <w:qFormat/>
    <w:uiPriority w:val="0"/>
    <w:rPr>
      <w:rFonts w:hAnsi="Courier New" w:eastAsia="楷体_GB2312"/>
      <w:spacing w:val="8"/>
      <w:sz w:val="21"/>
    </w:rPr>
  </w:style>
  <w:style w:type="character" w:customStyle="1" w:styleId="433">
    <w:name w:val="txt41"/>
    <w:autoRedefine/>
    <w:qFormat/>
    <w:uiPriority w:val="0"/>
    <w:rPr>
      <w:color w:val="000000"/>
      <w:sz w:val="30"/>
      <w:szCs w:val="30"/>
      <w:bdr w:val="single" w:color="000000" w:sz="6" w:space="0"/>
    </w:rPr>
  </w:style>
  <w:style w:type="character" w:customStyle="1" w:styleId="434">
    <w:name w:val="正文文本缩进 2 Char1"/>
    <w:basedOn w:val="94"/>
    <w:autoRedefine/>
    <w:qFormat/>
    <w:uiPriority w:val="0"/>
  </w:style>
  <w:style w:type="character" w:customStyle="1" w:styleId="435">
    <w:name w:val="Char Char1"/>
    <w:autoRedefine/>
    <w:qFormat/>
    <w:uiPriority w:val="0"/>
    <w:rPr>
      <w:rFonts w:eastAsia="楷体_GB2312"/>
      <w:sz w:val="21"/>
      <w:lang w:val="en-US" w:eastAsia="zh-CN" w:bidi="ar-SA"/>
    </w:rPr>
  </w:style>
  <w:style w:type="character" w:customStyle="1" w:styleId="436">
    <w:name w:val="pt121"/>
    <w:autoRedefine/>
    <w:qFormat/>
    <w:uiPriority w:val="0"/>
    <w:rPr>
      <w:color w:val="333333"/>
      <w:sz w:val="18"/>
      <w:szCs w:val="18"/>
      <w:u w:val="none"/>
    </w:rPr>
  </w:style>
  <w:style w:type="character" w:customStyle="1" w:styleId="437">
    <w:name w:val="hyshow1"/>
    <w:basedOn w:val="94"/>
    <w:autoRedefine/>
    <w:qFormat/>
    <w:uiPriority w:val="0"/>
  </w:style>
  <w:style w:type="character" w:customStyle="1" w:styleId="438">
    <w:name w:val="line21"/>
    <w:basedOn w:val="94"/>
    <w:autoRedefine/>
    <w:qFormat/>
    <w:uiPriority w:val="0"/>
  </w:style>
  <w:style w:type="character" w:customStyle="1" w:styleId="439">
    <w:name w:val="articlebody1"/>
    <w:autoRedefine/>
    <w:qFormat/>
    <w:uiPriority w:val="0"/>
    <w:rPr>
      <w:sz w:val="21"/>
      <w:szCs w:val="21"/>
    </w:rPr>
  </w:style>
  <w:style w:type="character" w:customStyle="1" w:styleId="440">
    <w:name w:val="p14"/>
    <w:basedOn w:val="94"/>
    <w:autoRedefine/>
    <w:qFormat/>
    <w:uiPriority w:val="0"/>
  </w:style>
  <w:style w:type="character" w:customStyle="1" w:styleId="441">
    <w:name w:val="正文文本 Char1"/>
    <w:basedOn w:val="94"/>
    <w:autoRedefine/>
    <w:qFormat/>
    <w:uiPriority w:val="0"/>
  </w:style>
  <w:style w:type="character" w:customStyle="1" w:styleId="442">
    <w:name w:val="正文首行缩进 Char2"/>
    <w:basedOn w:val="441"/>
    <w:autoRedefine/>
    <w:qFormat/>
    <w:uiPriority w:val="0"/>
  </w:style>
  <w:style w:type="character" w:customStyle="1" w:styleId="443">
    <w:name w:val="样式 3 Char Char"/>
    <w:link w:val="444"/>
    <w:autoRedefine/>
    <w:qFormat/>
    <w:uiPriority w:val="0"/>
    <w:rPr>
      <w:rFonts w:ascii="Arial Rounded MT Bold" w:hAnsi="Arial Rounded MT Bold" w:eastAsia="宋体"/>
      <w:spacing w:val="8"/>
      <w:sz w:val="28"/>
    </w:rPr>
  </w:style>
  <w:style w:type="paragraph" w:customStyle="1" w:styleId="444">
    <w:name w:val="样式 3"/>
    <w:basedOn w:val="4"/>
    <w:link w:val="443"/>
    <w:autoRedefine/>
    <w:qFormat/>
    <w:uiPriority w:val="0"/>
    <w:pPr>
      <w:keepLines w:val="0"/>
      <w:spacing w:before="0" w:after="0"/>
      <w:ind w:left="0" w:firstLine="200" w:firstLineChars="200"/>
      <w:outlineLvl w:val="2"/>
    </w:pPr>
    <w:rPr>
      <w:rFonts w:ascii="Arial Rounded MT Bold" w:hAnsi="Arial Rounded MT Bold" w:eastAsia="宋体" w:cstheme="minorBidi"/>
      <w:b w:val="0"/>
      <w:spacing w:val="8"/>
      <w:szCs w:val="22"/>
    </w:rPr>
  </w:style>
  <w:style w:type="character" w:customStyle="1" w:styleId="445">
    <w:name w:val="Char Char47"/>
    <w:autoRedefine/>
    <w:qFormat/>
    <w:uiPriority w:val="0"/>
    <w:rPr>
      <w:rFonts w:ascii="Arial Rounded MT Bold" w:hAnsi="Arial Rounded MT Bold" w:eastAsia="文鼎大标宋简"/>
      <w:spacing w:val="8"/>
      <w:sz w:val="28"/>
      <w:lang w:val="en-US" w:eastAsia="zh-CN" w:bidi="ar-SA"/>
    </w:rPr>
  </w:style>
  <w:style w:type="character" w:customStyle="1" w:styleId="446">
    <w:name w:val="表标题 Char Char"/>
    <w:autoRedefine/>
    <w:qFormat/>
    <w:uiPriority w:val="0"/>
    <w:rPr>
      <w:rFonts w:eastAsia="仿宋_GB2312"/>
      <w:b/>
      <w:spacing w:val="8"/>
      <w:sz w:val="24"/>
      <w:lang w:val="en-US" w:eastAsia="zh-CN" w:bidi="ar-SA"/>
    </w:rPr>
  </w:style>
  <w:style w:type="character" w:customStyle="1" w:styleId="447">
    <w:name w:val="样式 (西文) Arial (中文) PMingLiU 加粗 黑色"/>
    <w:autoRedefine/>
    <w:qFormat/>
    <w:uiPriority w:val="0"/>
    <w:rPr>
      <w:rFonts w:ascii="Arial" w:hAnsi="Arial" w:eastAsia="PMingLiU"/>
      <w:b/>
      <w:bCs/>
      <w:color w:val="000000"/>
      <w:shd w:val="clear" w:color="auto" w:fill="33CCCC"/>
    </w:rPr>
  </w:style>
  <w:style w:type="character" w:customStyle="1" w:styleId="448">
    <w:name w:val="图表文字 Char Char"/>
    <w:autoRedefine/>
    <w:qFormat/>
    <w:uiPriority w:val="0"/>
    <w:rPr>
      <w:rFonts w:eastAsia="仿宋_GB2312"/>
      <w:kern w:val="2"/>
      <w:sz w:val="21"/>
      <w:szCs w:val="21"/>
      <w:lang w:val="en-US" w:eastAsia="zh-CN" w:bidi="ar-SA"/>
    </w:rPr>
  </w:style>
  <w:style w:type="character" w:customStyle="1" w:styleId="449">
    <w:name w:val="style7"/>
    <w:basedOn w:val="94"/>
    <w:autoRedefine/>
    <w:qFormat/>
    <w:uiPriority w:val="0"/>
  </w:style>
  <w:style w:type="character" w:customStyle="1" w:styleId="450">
    <w:name w:val="t11"/>
    <w:autoRedefine/>
    <w:qFormat/>
    <w:uiPriority w:val="0"/>
    <w:rPr>
      <w:b/>
      <w:bCs/>
      <w:sz w:val="24"/>
      <w:szCs w:val="24"/>
      <w:shd w:val="clear" w:color="auto" w:fill="FFFFFF"/>
    </w:rPr>
  </w:style>
  <w:style w:type="character" w:customStyle="1" w:styleId="451">
    <w:name w:val="g Char Char1"/>
    <w:autoRedefine/>
    <w:qFormat/>
    <w:uiPriority w:val="0"/>
    <w:rPr>
      <w:rFonts w:eastAsia="长城粗隶书"/>
      <w:sz w:val="21"/>
      <w:lang w:val="en-US" w:eastAsia="zh-CN" w:bidi="ar-SA"/>
    </w:rPr>
  </w:style>
  <w:style w:type="character" w:customStyle="1" w:styleId="452">
    <w:name w:val="样式 正文缩进 + 首行缩进:  2 字符 Char Char Char"/>
    <w:autoRedefine/>
    <w:qFormat/>
    <w:uiPriority w:val="0"/>
    <w:rPr>
      <w:rFonts w:eastAsia="宋体" w:cs="宋体"/>
      <w:kern w:val="2"/>
      <w:sz w:val="28"/>
      <w:lang w:val="en-US" w:eastAsia="zh-CN" w:bidi="ar-SA"/>
    </w:rPr>
  </w:style>
  <w:style w:type="character" w:customStyle="1" w:styleId="453">
    <w:name w:val="表标题 Char1"/>
    <w:autoRedefine/>
    <w:qFormat/>
    <w:uiPriority w:val="0"/>
    <w:rPr>
      <w:rFonts w:eastAsia="仿宋_GB2312"/>
      <w:b/>
      <w:spacing w:val="8"/>
      <w:sz w:val="24"/>
      <w:lang w:val="en-US" w:eastAsia="zh-CN" w:bidi="ar-SA"/>
    </w:rPr>
  </w:style>
  <w:style w:type="character" w:customStyle="1" w:styleId="454">
    <w:name w:val="bodytextblacksmall1"/>
    <w:autoRedefine/>
    <w:qFormat/>
    <w:uiPriority w:val="0"/>
    <w:rPr>
      <w:rFonts w:hint="default" w:ascii="Arial" w:hAnsi="Arial" w:cs="Arial"/>
      <w:color w:val="000000"/>
      <w:sz w:val="18"/>
      <w:szCs w:val="18"/>
    </w:rPr>
  </w:style>
  <w:style w:type="character" w:customStyle="1" w:styleId="455">
    <w:name w:val="表标题 Char4"/>
    <w:autoRedefine/>
    <w:qFormat/>
    <w:uiPriority w:val="0"/>
    <w:rPr>
      <w:rFonts w:eastAsia="宋体"/>
      <w:b/>
      <w:bCs/>
      <w:kern w:val="2"/>
      <w:sz w:val="24"/>
      <w:szCs w:val="24"/>
      <w:lang w:val="en-US" w:eastAsia="zh-CN" w:bidi="ar-SA"/>
    </w:rPr>
  </w:style>
  <w:style w:type="character" w:customStyle="1" w:styleId="456">
    <w:name w:val="表题 Char Char Char"/>
    <w:autoRedefine/>
    <w:qFormat/>
    <w:uiPriority w:val="0"/>
    <w:rPr>
      <w:rFonts w:eastAsia="黑体"/>
      <w:kern w:val="2"/>
      <w:sz w:val="24"/>
      <w:lang w:val="en-US" w:eastAsia="zh-CN" w:bidi="ar-SA"/>
    </w:rPr>
  </w:style>
  <w:style w:type="character" w:customStyle="1" w:styleId="457">
    <w:name w:val="u2"/>
    <w:autoRedefine/>
    <w:qFormat/>
    <w:uiPriority w:val="0"/>
    <w:rPr>
      <w:rFonts w:hint="eastAsia" w:ascii="宋体" w:hAnsi="宋体" w:eastAsia="宋体"/>
      <w:b/>
      <w:bCs/>
      <w:color w:val="FF3300"/>
      <w:sz w:val="27"/>
      <w:szCs w:val="27"/>
      <w:u w:val="none"/>
    </w:rPr>
  </w:style>
  <w:style w:type="character" w:customStyle="1" w:styleId="458">
    <w:name w:val="xx"/>
    <w:basedOn w:val="94"/>
    <w:autoRedefine/>
    <w:qFormat/>
    <w:uiPriority w:val="0"/>
  </w:style>
  <w:style w:type="character" w:customStyle="1" w:styleId="459">
    <w:name w:val="gongsijianjie1"/>
    <w:autoRedefine/>
    <w:qFormat/>
    <w:uiPriority w:val="0"/>
    <w:rPr>
      <w:rFonts w:hint="default" w:ascii="ˎ̥" w:hAnsi="ˎ̥"/>
      <w:color w:val="000000"/>
      <w:sz w:val="18"/>
      <w:szCs w:val="18"/>
      <w:u w:val="none"/>
    </w:rPr>
  </w:style>
  <w:style w:type="character" w:customStyle="1" w:styleId="460">
    <w:name w:val="WW8Num15z0"/>
    <w:autoRedefine/>
    <w:qFormat/>
    <w:uiPriority w:val="0"/>
    <w:rPr>
      <w:rFonts w:ascii="Wingdings" w:hAnsi="Wingdings"/>
    </w:rPr>
  </w:style>
  <w:style w:type="character" w:customStyle="1" w:styleId="461">
    <w:name w:val="at_1"/>
    <w:basedOn w:val="94"/>
    <w:autoRedefine/>
    <w:qFormat/>
    <w:uiPriority w:val="0"/>
  </w:style>
  <w:style w:type="character" w:customStyle="1" w:styleId="462">
    <w:name w:val="表格文字_中 Char Char Char"/>
    <w:autoRedefine/>
    <w:qFormat/>
    <w:uiPriority w:val="0"/>
    <w:rPr>
      <w:rFonts w:eastAsia="楷体_GB2312"/>
      <w:snapToGrid w:val="0"/>
      <w:kern w:val="15"/>
      <w:sz w:val="24"/>
      <w:szCs w:val="24"/>
      <w:lang w:val="en-US" w:eastAsia="zh-CN" w:bidi="ar-SA"/>
    </w:rPr>
  </w:style>
  <w:style w:type="character" w:customStyle="1" w:styleId="463">
    <w:name w:val="正文文字 2 Char Char"/>
    <w:autoRedefine/>
    <w:qFormat/>
    <w:uiPriority w:val="0"/>
    <w:rPr>
      <w:rFonts w:eastAsia="楷体_GB2312"/>
      <w:spacing w:val="8"/>
      <w:sz w:val="28"/>
      <w:lang w:val="en-US" w:eastAsia="zh-CN" w:bidi="ar-SA"/>
    </w:rPr>
  </w:style>
  <w:style w:type="character" w:customStyle="1" w:styleId="464">
    <w:name w:val="defaultfont1"/>
    <w:autoRedefine/>
    <w:qFormat/>
    <w:uiPriority w:val="0"/>
    <w:rPr>
      <w:rFonts w:hint="default" w:ascii="Arial" w:hAnsi="Arial" w:cs="Arial"/>
      <w:sz w:val="21"/>
      <w:szCs w:val="21"/>
    </w:rPr>
  </w:style>
  <w:style w:type="character" w:customStyle="1" w:styleId="465">
    <w:name w:val="m11"/>
    <w:autoRedefine/>
    <w:qFormat/>
    <w:uiPriority w:val="0"/>
    <w:rPr>
      <w:sz w:val="18"/>
      <w:szCs w:val="18"/>
    </w:rPr>
  </w:style>
  <w:style w:type="character" w:customStyle="1" w:styleId="466">
    <w:name w:val="large1"/>
    <w:autoRedefine/>
    <w:qFormat/>
    <w:uiPriority w:val="0"/>
    <w:rPr>
      <w:rFonts w:hint="eastAsia" w:ascii="宋体" w:hAnsi="宋体" w:eastAsia="宋体"/>
      <w:sz w:val="22"/>
      <w:szCs w:val="22"/>
    </w:rPr>
  </w:style>
  <w:style w:type="character" w:customStyle="1" w:styleId="467">
    <w:name w:val="报告书表格 Char Char"/>
    <w:link w:val="468"/>
    <w:autoRedefine/>
    <w:qFormat/>
    <w:uiPriority w:val="0"/>
    <w:rPr>
      <w:rFonts w:eastAsia="仿宋_GB2312"/>
      <w:spacing w:val="8"/>
      <w:sz w:val="24"/>
    </w:rPr>
  </w:style>
  <w:style w:type="paragraph" w:customStyle="1" w:styleId="468">
    <w:name w:val="报告书表格"/>
    <w:basedOn w:val="1"/>
    <w:link w:val="467"/>
    <w:autoRedefine/>
    <w:qFormat/>
    <w:uiPriority w:val="0"/>
    <w:pPr>
      <w:adjustRightInd w:val="0"/>
      <w:spacing w:line="400" w:lineRule="exact"/>
      <w:ind w:firstLine="601"/>
      <w:jc w:val="center"/>
      <w:textAlignment w:val="baseline"/>
    </w:pPr>
    <w:rPr>
      <w:rFonts w:eastAsia="仿宋_GB2312" w:asciiTheme="minorHAnsi" w:hAnsiTheme="minorHAnsi" w:cstheme="minorBidi"/>
      <w:spacing w:val="8"/>
      <w:sz w:val="24"/>
      <w:szCs w:val="22"/>
    </w:rPr>
  </w:style>
  <w:style w:type="character" w:customStyle="1" w:styleId="469">
    <w:name w:val="Char Char63"/>
    <w:autoRedefine/>
    <w:qFormat/>
    <w:uiPriority w:val="0"/>
    <w:rPr>
      <w:rFonts w:eastAsia="文鼎CS细等线"/>
      <w:b/>
      <w:spacing w:val="8"/>
      <w:sz w:val="28"/>
      <w:lang w:val="en-US" w:eastAsia="zh-CN" w:bidi="ar-SA"/>
    </w:rPr>
  </w:style>
  <w:style w:type="character" w:customStyle="1" w:styleId="470">
    <w:name w:val="font14height20"/>
    <w:basedOn w:val="94"/>
    <w:autoRedefine/>
    <w:qFormat/>
    <w:uiPriority w:val="0"/>
  </w:style>
  <w:style w:type="character" w:customStyle="1" w:styleId="471">
    <w:name w:val="hand1"/>
    <w:autoRedefine/>
    <w:qFormat/>
    <w:uiPriority w:val="0"/>
    <w:rPr>
      <w:rFonts w:hint="default" w:ascii="ˎ̥" w:hAnsi="ˎ̥"/>
      <w:color w:val="0000FF"/>
      <w:sz w:val="21"/>
      <w:u w:val="single"/>
    </w:rPr>
  </w:style>
  <w:style w:type="character" w:customStyle="1" w:styleId="472">
    <w:name w:val="超链接1"/>
    <w:autoRedefine/>
    <w:qFormat/>
    <w:uiPriority w:val="0"/>
    <w:rPr>
      <w:rFonts w:ascii="Verdana" w:hAnsi="Verdana" w:eastAsia="宋体"/>
      <w:color w:val="0000FF"/>
      <w:szCs w:val="21"/>
      <w:u w:val="single"/>
      <w:lang w:val="en-US" w:eastAsia="en-US" w:bidi="ar-SA"/>
    </w:rPr>
  </w:style>
  <w:style w:type="character" w:customStyle="1" w:styleId="473">
    <w:name w:val="表格标题 Char Char1"/>
    <w:autoRedefine/>
    <w:qFormat/>
    <w:uiPriority w:val="0"/>
    <w:rPr>
      <w:rFonts w:hint="eastAsia" w:ascii="华文中宋" w:hAnsi="华文中宋" w:eastAsia="华文中宋"/>
      <w:kern w:val="2"/>
      <w:sz w:val="28"/>
      <w:szCs w:val="21"/>
      <w:lang w:val="en-US" w:eastAsia="zh-CN" w:bidi="ar-SA"/>
    </w:rPr>
  </w:style>
  <w:style w:type="character" w:customStyle="1" w:styleId="474">
    <w:name w:val="正文（左悬挂） Char Char"/>
    <w:link w:val="475"/>
    <w:autoRedefine/>
    <w:qFormat/>
    <w:uiPriority w:val="0"/>
    <w:rPr>
      <w:rFonts w:ascii="宋体" w:hAnsi="宋体" w:eastAsia="宋体"/>
      <w:snapToGrid w:val="0"/>
      <w:kern w:val="15"/>
      <w:sz w:val="24"/>
      <w:szCs w:val="24"/>
    </w:rPr>
  </w:style>
  <w:style w:type="paragraph" w:customStyle="1" w:styleId="475">
    <w:name w:val="正文（左悬挂）"/>
    <w:basedOn w:val="1"/>
    <w:link w:val="474"/>
    <w:autoRedefine/>
    <w:qFormat/>
    <w:uiPriority w:val="0"/>
    <w:pPr>
      <w:spacing w:before="156" w:beforeLines="50" w:line="360" w:lineRule="auto"/>
      <w:ind w:firstLine="480" w:firstLineChars="200"/>
    </w:pPr>
    <w:rPr>
      <w:rFonts w:ascii="宋体" w:hAnsi="宋体" w:cstheme="minorBidi"/>
      <w:snapToGrid w:val="0"/>
      <w:kern w:val="15"/>
      <w:sz w:val="24"/>
    </w:rPr>
  </w:style>
  <w:style w:type="character" w:customStyle="1" w:styleId="476">
    <w:name w:val="Body Text(ch) Char2"/>
    <w:autoRedefine/>
    <w:qFormat/>
    <w:uiPriority w:val="0"/>
    <w:rPr>
      <w:rFonts w:eastAsia="楷体_GB2312"/>
      <w:spacing w:val="8"/>
      <w:sz w:val="28"/>
      <w:lang w:val="en-US" w:eastAsia="zh-CN" w:bidi="ar-SA"/>
    </w:rPr>
  </w:style>
  <w:style w:type="character" w:customStyle="1" w:styleId="477">
    <w:name w:val="count4"/>
    <w:basedOn w:val="94"/>
    <w:autoRedefine/>
    <w:qFormat/>
    <w:uiPriority w:val="0"/>
  </w:style>
  <w:style w:type="character" w:customStyle="1" w:styleId="478">
    <w:name w:val="tpc_content"/>
    <w:basedOn w:val="94"/>
    <w:autoRedefine/>
    <w:qFormat/>
    <w:uiPriority w:val="0"/>
  </w:style>
  <w:style w:type="character" w:customStyle="1" w:styleId="479">
    <w:name w:val="hr_zigao1"/>
    <w:autoRedefine/>
    <w:qFormat/>
    <w:uiPriority w:val="0"/>
    <w:rPr>
      <w:rFonts w:hint="eastAsia" w:ascii="宋体" w:hAnsi="宋体" w:eastAsia="宋体"/>
      <w:color w:val="000000"/>
      <w:sz w:val="18"/>
      <w:szCs w:val="18"/>
      <w:u w:val="none"/>
    </w:rPr>
  </w:style>
  <w:style w:type="character" w:customStyle="1" w:styleId="480">
    <w:name w:val="H8 Char Char1"/>
    <w:autoRedefine/>
    <w:qFormat/>
    <w:uiPriority w:val="0"/>
    <w:rPr>
      <w:rFonts w:ascii="Arial" w:hAnsi="Arial" w:eastAsia="黑体"/>
      <w:spacing w:val="8"/>
      <w:sz w:val="24"/>
      <w:lang w:val="en-US" w:eastAsia="zh-CN" w:bidi="ar-SA"/>
    </w:rPr>
  </w:style>
  <w:style w:type="character" w:customStyle="1" w:styleId="481">
    <w:name w:val="No Spacing Char Char"/>
    <w:link w:val="482"/>
    <w:autoRedefine/>
    <w:qFormat/>
    <w:uiPriority w:val="0"/>
    <w:rPr>
      <w:rFonts w:eastAsia="Times New Roman"/>
      <w:sz w:val="28"/>
    </w:rPr>
  </w:style>
  <w:style w:type="paragraph" w:customStyle="1" w:styleId="482">
    <w:name w:val="无间隔1"/>
    <w:link w:val="481"/>
    <w:autoRedefine/>
    <w:qFormat/>
    <w:uiPriority w:val="0"/>
    <w:pPr>
      <w:widowControl w:val="0"/>
      <w:spacing w:line="312" w:lineRule="auto"/>
      <w:ind w:firstLine="200" w:firstLineChars="200"/>
      <w:jc w:val="both"/>
    </w:pPr>
    <w:rPr>
      <w:rFonts w:eastAsia="Times New Roman" w:asciiTheme="minorHAnsi" w:hAnsiTheme="minorHAnsi" w:cstheme="minorBidi"/>
      <w:kern w:val="2"/>
      <w:sz w:val="28"/>
      <w:szCs w:val="22"/>
      <w:lang w:val="en-US" w:eastAsia="zh-CN" w:bidi="ar-SA"/>
    </w:rPr>
  </w:style>
  <w:style w:type="character" w:customStyle="1" w:styleId="483">
    <w:name w:val="h31"/>
    <w:autoRedefine/>
    <w:qFormat/>
    <w:uiPriority w:val="0"/>
    <w:rPr>
      <w:sz w:val="21"/>
      <w:szCs w:val="21"/>
    </w:rPr>
  </w:style>
  <w:style w:type="character" w:customStyle="1" w:styleId="484">
    <w:name w:val="样式 标题 2第一章 标题 2Heading 2 HiddenHeading 2 CCBSheading 2H2h2... Char Char"/>
    <w:link w:val="485"/>
    <w:autoRedefine/>
    <w:qFormat/>
    <w:uiPriority w:val="0"/>
    <w:rPr>
      <w:rFonts w:ascii="宋体" w:hAnsi="宋体" w:eastAsia="宋体" w:cs="宋体"/>
      <w:spacing w:val="8"/>
      <w:sz w:val="32"/>
    </w:rPr>
  </w:style>
  <w:style w:type="paragraph" w:customStyle="1" w:styleId="485">
    <w:name w:val="样式 标题 2第一章 标题 2Heading 2 HiddenHeading 2 CCBSheading 2H2h2..."/>
    <w:basedOn w:val="4"/>
    <w:link w:val="484"/>
    <w:autoRedefine/>
    <w:qFormat/>
    <w:uiPriority w:val="0"/>
    <w:pPr>
      <w:keepLines w:val="0"/>
      <w:spacing w:before="240" w:after="240" w:line="440" w:lineRule="exact"/>
      <w:ind w:left="0"/>
      <w:jc w:val="center"/>
    </w:pPr>
    <w:rPr>
      <w:rFonts w:ascii="宋体" w:hAnsi="宋体" w:eastAsia="宋体" w:cs="宋体"/>
      <w:b w:val="0"/>
      <w:spacing w:val="8"/>
      <w:sz w:val="32"/>
      <w:szCs w:val="22"/>
    </w:rPr>
  </w:style>
  <w:style w:type="character" w:customStyle="1" w:styleId="486">
    <w:name w:val="Char Char40"/>
    <w:autoRedefine/>
    <w:qFormat/>
    <w:uiPriority w:val="0"/>
    <w:rPr>
      <w:rFonts w:ascii="Arial" w:hAnsi="Arial" w:cs="Arial"/>
      <w:b/>
      <w:bCs/>
      <w:spacing w:val="8"/>
      <w:sz w:val="32"/>
      <w:szCs w:val="32"/>
    </w:rPr>
  </w:style>
  <w:style w:type="character" w:customStyle="1" w:styleId="487">
    <w:name w:val="articlebody21"/>
    <w:autoRedefine/>
    <w:qFormat/>
    <w:uiPriority w:val="0"/>
    <w:rPr>
      <w:sz w:val="21"/>
      <w:szCs w:val="21"/>
    </w:rPr>
  </w:style>
  <w:style w:type="character" w:customStyle="1" w:styleId="488">
    <w:name w:val="yqlink"/>
    <w:basedOn w:val="94"/>
    <w:autoRedefine/>
    <w:qFormat/>
    <w:uiPriority w:val="0"/>
  </w:style>
  <w:style w:type="character" w:customStyle="1" w:styleId="489">
    <w:name w:val="new_text1"/>
    <w:autoRedefine/>
    <w:qFormat/>
    <w:uiPriority w:val="0"/>
    <w:rPr>
      <w:sz w:val="21"/>
      <w:szCs w:val="21"/>
      <w:u w:val="none"/>
    </w:rPr>
  </w:style>
  <w:style w:type="character" w:customStyle="1" w:styleId="490">
    <w:name w:val="默认段落字体1"/>
    <w:autoRedefine/>
    <w:qFormat/>
    <w:uiPriority w:val="0"/>
  </w:style>
  <w:style w:type="character" w:customStyle="1" w:styleId="491">
    <w:name w:val="title31"/>
    <w:autoRedefine/>
    <w:qFormat/>
    <w:uiPriority w:val="0"/>
    <w:rPr>
      <w:b/>
      <w:bCs/>
      <w:color w:val="345BAC"/>
      <w:sz w:val="23"/>
      <w:szCs w:val="23"/>
    </w:rPr>
  </w:style>
  <w:style w:type="character" w:customStyle="1" w:styleId="492">
    <w:name w:val="font41"/>
    <w:autoRedefine/>
    <w:qFormat/>
    <w:uiPriority w:val="0"/>
    <w:rPr>
      <w:rFonts w:hint="default" w:ascii="Times New Roman" w:hAnsi="Times New Roman" w:cs="Times New Roman"/>
      <w:color w:val="000000"/>
      <w:sz w:val="21"/>
      <w:szCs w:val="21"/>
      <w:u w:val="none"/>
    </w:rPr>
  </w:style>
  <w:style w:type="character" w:customStyle="1" w:styleId="493">
    <w:name w:val="dtd"/>
    <w:basedOn w:val="94"/>
    <w:autoRedefine/>
    <w:qFormat/>
    <w:uiPriority w:val="0"/>
  </w:style>
  <w:style w:type="character" w:customStyle="1" w:styleId="494">
    <w:name w:val="正文3 Char1"/>
    <w:link w:val="495"/>
    <w:autoRedefine/>
    <w:qFormat/>
    <w:uiPriority w:val="0"/>
    <w:rPr>
      <w:rFonts w:eastAsia="宋体"/>
      <w:sz w:val="30"/>
    </w:rPr>
  </w:style>
  <w:style w:type="paragraph" w:customStyle="1" w:styleId="495">
    <w:name w:val="正文31"/>
    <w:basedOn w:val="1"/>
    <w:link w:val="494"/>
    <w:autoRedefine/>
    <w:qFormat/>
    <w:uiPriority w:val="0"/>
    <w:pPr>
      <w:adjustRightInd w:val="0"/>
      <w:spacing w:line="360" w:lineRule="auto"/>
      <w:ind w:firstLine="600"/>
      <w:textAlignment w:val="baseline"/>
    </w:pPr>
    <w:rPr>
      <w:rFonts w:asciiTheme="minorHAnsi" w:hAnsiTheme="minorHAnsi" w:cstheme="minorBidi"/>
      <w:sz w:val="30"/>
      <w:szCs w:val="22"/>
    </w:rPr>
  </w:style>
  <w:style w:type="character" w:customStyle="1" w:styleId="496">
    <w:name w:val="style4"/>
    <w:basedOn w:val="94"/>
    <w:autoRedefine/>
    <w:qFormat/>
    <w:uiPriority w:val="0"/>
  </w:style>
  <w:style w:type="character" w:customStyle="1" w:styleId="497">
    <w:name w:val="z-窗体顶端 Char"/>
    <w:link w:val="498"/>
    <w:autoRedefine/>
    <w:qFormat/>
    <w:uiPriority w:val="0"/>
    <w:rPr>
      <w:rFonts w:ascii="Arial" w:hAnsi="Arial"/>
      <w:vanish/>
      <w:sz w:val="16"/>
      <w:szCs w:val="16"/>
    </w:rPr>
  </w:style>
  <w:style w:type="paragraph" w:customStyle="1" w:styleId="498">
    <w:name w:val="z-窗体顶端1"/>
    <w:basedOn w:val="1"/>
    <w:next w:val="1"/>
    <w:link w:val="497"/>
    <w:autoRedefine/>
    <w:qFormat/>
    <w:uiPriority w:val="0"/>
    <w:pPr>
      <w:widowControl/>
      <w:pBdr>
        <w:bottom w:val="single" w:color="auto" w:sz="6" w:space="1"/>
      </w:pBdr>
      <w:jc w:val="center"/>
    </w:pPr>
    <w:rPr>
      <w:rFonts w:ascii="Arial" w:hAnsi="Arial" w:eastAsiaTheme="minorEastAsia" w:cstheme="minorBidi"/>
      <w:vanish/>
      <w:sz w:val="16"/>
      <w:szCs w:val="16"/>
    </w:rPr>
  </w:style>
  <w:style w:type="character" w:customStyle="1" w:styleId="499">
    <w:name w:val="normalclass1"/>
    <w:basedOn w:val="94"/>
    <w:autoRedefine/>
    <w:qFormat/>
    <w:uiPriority w:val="0"/>
  </w:style>
  <w:style w:type="character" w:customStyle="1" w:styleId="500">
    <w:name w:val="样式 正文（首行缩进两字） + 首行缩进:  2 字符 行距: 固定值 19 磅 Char Char Char"/>
    <w:autoRedefine/>
    <w:qFormat/>
    <w:uiPriority w:val="0"/>
    <w:rPr>
      <w:rFonts w:ascii="RomanS" w:hAnsi="RomanS" w:eastAsia="宋体" w:cs="宋体"/>
      <w:kern w:val="24"/>
      <w:sz w:val="24"/>
      <w:szCs w:val="24"/>
      <w:lang w:val="en-US" w:eastAsia="zh-CN" w:bidi="ar-SA"/>
    </w:rPr>
  </w:style>
  <w:style w:type="character" w:customStyle="1" w:styleId="501">
    <w:name w:val="text_14px"/>
    <w:basedOn w:val="94"/>
    <w:autoRedefine/>
    <w:qFormat/>
    <w:uiPriority w:val="0"/>
  </w:style>
  <w:style w:type="character" w:customStyle="1" w:styleId="502">
    <w:name w:val="引用 Char1"/>
    <w:autoRedefine/>
    <w:qFormat/>
    <w:uiPriority w:val="0"/>
    <w:rPr>
      <w:i/>
      <w:iCs/>
      <w:color w:val="000000"/>
    </w:rPr>
  </w:style>
  <w:style w:type="character" w:customStyle="1" w:styleId="503">
    <w:name w:val="count7"/>
    <w:autoRedefine/>
    <w:qFormat/>
    <w:uiPriority w:val="0"/>
    <w:rPr>
      <w:rFonts w:hint="default" w:ascii="ˎ̥" w:hAnsi="ˎ̥"/>
      <w:color w:val="999999"/>
    </w:rPr>
  </w:style>
  <w:style w:type="character" w:customStyle="1" w:styleId="504">
    <w:name w:val="Char Char34"/>
    <w:autoRedefine/>
    <w:qFormat/>
    <w:uiPriority w:val="0"/>
    <w:rPr>
      <w:rFonts w:eastAsia="楷体_GB2312"/>
      <w:smallCaps/>
      <w:spacing w:val="8"/>
      <w:sz w:val="24"/>
      <w:lang w:val="en-US" w:eastAsia="zh-CN" w:bidi="ar-SA"/>
    </w:rPr>
  </w:style>
  <w:style w:type="character" w:customStyle="1" w:styleId="505">
    <w:name w:val="KongA2"/>
    <w:autoRedefine/>
    <w:qFormat/>
    <w:uiPriority w:val="0"/>
    <w:rPr>
      <w:rFonts w:ascii="PMingLiU" w:eastAsia="PMingLiU"/>
      <w:color w:val="auto"/>
      <w:sz w:val="24"/>
      <w:szCs w:val="24"/>
      <w:u w:val="none"/>
    </w:rPr>
  </w:style>
  <w:style w:type="character" w:customStyle="1" w:styleId="506">
    <w:name w:val="第五层条 Char2"/>
    <w:autoRedefine/>
    <w:qFormat/>
    <w:uiPriority w:val="0"/>
    <w:rPr>
      <w:rFonts w:ascii="Arial" w:hAnsi="Arial" w:eastAsia="黑体"/>
      <w:b/>
      <w:spacing w:val="8"/>
      <w:sz w:val="24"/>
      <w:lang w:val="en-US" w:eastAsia="zh-CN" w:bidi="ar-SA"/>
    </w:rPr>
  </w:style>
  <w:style w:type="character" w:customStyle="1" w:styleId="507">
    <w:name w:val="文字 Char Char"/>
    <w:link w:val="508"/>
    <w:autoRedefine/>
    <w:qFormat/>
    <w:uiPriority w:val="0"/>
    <w:rPr>
      <w:rFonts w:ascii="宋体" w:hAnsi="宋体"/>
      <w:sz w:val="24"/>
      <w:szCs w:val="24"/>
    </w:rPr>
  </w:style>
  <w:style w:type="paragraph" w:customStyle="1" w:styleId="508">
    <w:name w:val="文字"/>
    <w:basedOn w:val="1"/>
    <w:link w:val="507"/>
    <w:autoRedefine/>
    <w:qFormat/>
    <w:uiPriority w:val="0"/>
    <w:pPr>
      <w:spacing w:line="300" w:lineRule="auto"/>
      <w:ind w:firstLine="437"/>
    </w:pPr>
    <w:rPr>
      <w:rFonts w:ascii="宋体" w:hAnsi="宋体" w:eastAsiaTheme="minorEastAsia" w:cstheme="minorBidi"/>
      <w:sz w:val="24"/>
    </w:rPr>
  </w:style>
  <w:style w:type="character" w:customStyle="1" w:styleId="509">
    <w:name w:val="WW8Num29z0"/>
    <w:autoRedefine/>
    <w:qFormat/>
    <w:uiPriority w:val="0"/>
    <w:rPr>
      <w:rFonts w:ascii="Wingdings" w:hAnsi="Wingdings"/>
    </w:rPr>
  </w:style>
  <w:style w:type="character" w:customStyle="1" w:styleId="510">
    <w:name w:val="nikey1"/>
    <w:autoRedefine/>
    <w:qFormat/>
    <w:uiPriority w:val="0"/>
    <w:rPr>
      <w:rFonts w:hint="default" w:ascii="Verdana" w:hAnsi="Verdana"/>
      <w:color w:val="000000"/>
      <w:sz w:val="18"/>
      <w:szCs w:val="18"/>
    </w:rPr>
  </w:style>
  <w:style w:type="character" w:customStyle="1" w:styleId="511">
    <w:name w:val="style41"/>
    <w:autoRedefine/>
    <w:qFormat/>
    <w:uiPriority w:val="0"/>
    <w:rPr>
      <w:rFonts w:hint="default" w:ascii="Arial" w:hAnsi="Arial" w:cs="Arial"/>
      <w:color w:val="0066CC"/>
    </w:rPr>
  </w:style>
  <w:style w:type="character" w:customStyle="1" w:styleId="512">
    <w:name w:val="Body Text(ch) Char5"/>
    <w:autoRedefine/>
    <w:qFormat/>
    <w:uiPriority w:val="0"/>
    <w:rPr>
      <w:rFonts w:eastAsia="楷体_GB2312"/>
      <w:spacing w:val="8"/>
      <w:sz w:val="28"/>
      <w:lang w:val="en-US" w:eastAsia="zh-CN" w:bidi="ar-SA"/>
    </w:rPr>
  </w:style>
  <w:style w:type="character" w:customStyle="1" w:styleId="513">
    <w:name w:val="li21"/>
    <w:autoRedefine/>
    <w:qFormat/>
    <w:uiPriority w:val="0"/>
    <w:rPr>
      <w:sz w:val="18"/>
      <w:szCs w:val="18"/>
    </w:rPr>
  </w:style>
  <w:style w:type="character" w:customStyle="1" w:styleId="514">
    <w:name w:val="普通文字 Char3"/>
    <w:autoRedefine/>
    <w:qFormat/>
    <w:uiPriority w:val="0"/>
    <w:rPr>
      <w:rFonts w:ascii="宋体" w:hAnsi="Courier New" w:eastAsia="宋体" w:cs="Courier New"/>
      <w:szCs w:val="21"/>
    </w:rPr>
  </w:style>
  <w:style w:type="character" w:customStyle="1" w:styleId="515">
    <w:name w:val="表头 Char Char Char Char Char Char Char Char"/>
    <w:autoRedefine/>
    <w:qFormat/>
    <w:uiPriority w:val="0"/>
    <w:rPr>
      <w:rFonts w:ascii="Times New Roman" w:hAnsi="Times New Roman" w:eastAsia="黑体" w:cs="Times New Roman"/>
      <w:spacing w:val="-10"/>
      <w:kern w:val="0"/>
      <w:szCs w:val="20"/>
    </w:rPr>
  </w:style>
  <w:style w:type="character" w:customStyle="1" w:styleId="516">
    <w:name w:val="表头 Char Char Char Char Char Char"/>
    <w:autoRedefine/>
    <w:qFormat/>
    <w:uiPriority w:val="0"/>
    <w:rPr>
      <w:rFonts w:eastAsia="黑体"/>
      <w:spacing w:val="-10"/>
      <w:sz w:val="21"/>
      <w:lang w:val="en-US" w:eastAsia="zh-CN" w:bidi="ar-SA"/>
    </w:rPr>
  </w:style>
  <w:style w:type="character" w:customStyle="1" w:styleId="517">
    <w:name w:val="H9 Char Char"/>
    <w:autoRedefine/>
    <w:qFormat/>
    <w:uiPriority w:val="0"/>
    <w:rPr>
      <w:rFonts w:ascii="Arial" w:hAnsi="Arial" w:eastAsia="黑体"/>
      <w:spacing w:val="8"/>
      <w:sz w:val="30"/>
      <w:lang w:val="en-US" w:eastAsia="zh-CN" w:bidi="ar-SA"/>
    </w:rPr>
  </w:style>
  <w:style w:type="character" w:customStyle="1" w:styleId="518">
    <w:name w:val="表头 Char Char Char Char"/>
    <w:autoRedefine/>
    <w:qFormat/>
    <w:uiPriority w:val="0"/>
    <w:rPr>
      <w:rFonts w:eastAsia="黑体"/>
      <w:spacing w:val="-10"/>
      <w:sz w:val="21"/>
      <w:lang w:val="en-US" w:eastAsia="zh-CN" w:bidi="ar-SA"/>
    </w:rPr>
  </w:style>
  <w:style w:type="character" w:customStyle="1" w:styleId="519">
    <w:name w:val="style71"/>
    <w:autoRedefine/>
    <w:qFormat/>
    <w:uiPriority w:val="0"/>
    <w:rPr>
      <w:color w:val="CCCCCC"/>
    </w:rPr>
  </w:style>
  <w:style w:type="character" w:customStyle="1" w:styleId="520">
    <w:name w:val="样式 样式 小四 行距: 固定值 20 磅 + 首行缩进:  0.85 厘米 Char Char Char Char Char"/>
    <w:autoRedefine/>
    <w:qFormat/>
    <w:uiPriority w:val="0"/>
    <w:rPr>
      <w:rFonts w:eastAsia="宋体"/>
      <w:kern w:val="2"/>
      <w:sz w:val="24"/>
      <w:szCs w:val="24"/>
      <w:lang w:val="en-US" w:eastAsia="zh-CN" w:bidi="ar-SA"/>
    </w:rPr>
  </w:style>
  <w:style w:type="character" w:customStyle="1" w:styleId="521">
    <w:name w:val="引用 Char"/>
    <w:link w:val="522"/>
    <w:autoRedefine/>
    <w:qFormat/>
    <w:uiPriority w:val="0"/>
    <w:rPr>
      <w:rFonts w:eastAsia="方正仿宋_GBK"/>
      <w:i/>
      <w:iCs/>
      <w:snapToGrid w:val="0"/>
      <w:color w:val="000000"/>
    </w:rPr>
  </w:style>
  <w:style w:type="paragraph" w:styleId="522">
    <w:name w:val="Quote"/>
    <w:basedOn w:val="1"/>
    <w:next w:val="1"/>
    <w:link w:val="521"/>
    <w:autoRedefine/>
    <w:qFormat/>
    <w:uiPriority w:val="0"/>
    <w:pPr>
      <w:autoSpaceDE w:val="0"/>
      <w:autoSpaceDN w:val="0"/>
      <w:snapToGrid w:val="0"/>
      <w:spacing w:line="590" w:lineRule="atLeast"/>
      <w:ind w:firstLine="624"/>
    </w:pPr>
    <w:rPr>
      <w:rFonts w:eastAsia="方正仿宋_GBK" w:asciiTheme="minorHAnsi" w:hAnsiTheme="minorHAnsi" w:cstheme="minorBidi"/>
      <w:i/>
      <w:iCs/>
      <w:snapToGrid w:val="0"/>
      <w:color w:val="000000"/>
      <w:szCs w:val="22"/>
    </w:rPr>
  </w:style>
  <w:style w:type="character" w:customStyle="1" w:styleId="523">
    <w:name w:val="引用 字符1"/>
    <w:basedOn w:val="94"/>
    <w:autoRedefine/>
    <w:qFormat/>
    <w:uiPriority w:val="29"/>
    <w:rPr>
      <w:rFonts w:ascii="Times New Roman" w:hAnsi="Times New Roman" w:eastAsia="宋体" w:cs="Times New Roman"/>
      <w:i/>
      <w:iCs/>
      <w:color w:val="404040" w:themeColor="text1" w:themeTint="BF"/>
      <w:szCs w:val="24"/>
      <w14:textFill>
        <w14:solidFill>
          <w14:schemeClr w14:val="tx1">
            <w14:lumMod w14:val="75000"/>
            <w14:lumOff w14:val="25000"/>
          </w14:schemeClr>
        </w14:solidFill>
      </w14:textFill>
    </w:rPr>
  </w:style>
  <w:style w:type="character" w:customStyle="1" w:styleId="524">
    <w:name w:val="bullet Char3"/>
    <w:autoRedefine/>
    <w:qFormat/>
    <w:uiPriority w:val="0"/>
    <w:rPr>
      <w:rFonts w:eastAsia="文鼎CS细等线"/>
      <w:b/>
      <w:spacing w:val="8"/>
      <w:sz w:val="28"/>
      <w:lang w:val="en-US" w:eastAsia="zh-CN" w:bidi="ar-SA"/>
    </w:rPr>
  </w:style>
  <w:style w:type="character" w:customStyle="1" w:styleId="525">
    <w:name w:val="H9 Char Char1"/>
    <w:autoRedefine/>
    <w:qFormat/>
    <w:uiPriority w:val="0"/>
    <w:rPr>
      <w:rFonts w:ascii="Arial" w:hAnsi="Arial" w:eastAsia="黑体"/>
      <w:spacing w:val="8"/>
      <w:sz w:val="30"/>
      <w:lang w:val="en-US" w:eastAsia="zh-CN" w:bidi="ar-SA"/>
    </w:rPr>
  </w:style>
  <w:style w:type="character" w:customStyle="1" w:styleId="526">
    <w:name w:val="unnamed31"/>
    <w:autoRedefine/>
    <w:qFormat/>
    <w:uiPriority w:val="0"/>
    <w:rPr>
      <w:rFonts w:hint="default" w:ascii="ˎ̥" w:hAnsi="ˎ̥"/>
      <w:sz w:val="21"/>
      <w:szCs w:val="21"/>
    </w:rPr>
  </w:style>
  <w:style w:type="character" w:customStyle="1" w:styleId="527">
    <w:name w:val="bt_title31"/>
    <w:autoRedefine/>
    <w:qFormat/>
    <w:uiPriority w:val="0"/>
    <w:rPr>
      <w:b/>
      <w:bCs/>
      <w:color w:val="94272C"/>
      <w:sz w:val="27"/>
      <w:szCs w:val="27"/>
    </w:rPr>
  </w:style>
  <w:style w:type="character" w:customStyle="1" w:styleId="528">
    <w:name w:val="postbody"/>
    <w:basedOn w:val="94"/>
    <w:autoRedefine/>
    <w:qFormat/>
    <w:uiPriority w:val="0"/>
  </w:style>
  <w:style w:type="character" w:customStyle="1" w:styleId="529">
    <w:name w:val="表前文 Char Char"/>
    <w:link w:val="530"/>
    <w:autoRedefine/>
    <w:qFormat/>
    <w:uiPriority w:val="0"/>
    <w:rPr>
      <w:rFonts w:eastAsia="楷体_GB2312"/>
      <w:spacing w:val="8"/>
      <w:sz w:val="28"/>
    </w:rPr>
  </w:style>
  <w:style w:type="paragraph" w:customStyle="1" w:styleId="530">
    <w:name w:val="表前文"/>
    <w:basedOn w:val="1"/>
    <w:link w:val="529"/>
    <w:autoRedefine/>
    <w:qFormat/>
    <w:uiPriority w:val="0"/>
    <w:pPr>
      <w:adjustRightInd w:val="0"/>
      <w:spacing w:after="120" w:line="400" w:lineRule="exact"/>
      <w:ind w:firstLine="601"/>
      <w:textAlignment w:val="baseline"/>
    </w:pPr>
    <w:rPr>
      <w:rFonts w:eastAsia="楷体_GB2312" w:asciiTheme="minorHAnsi" w:hAnsiTheme="minorHAnsi" w:cstheme="minorBidi"/>
      <w:spacing w:val="8"/>
      <w:sz w:val="28"/>
      <w:szCs w:val="22"/>
    </w:rPr>
  </w:style>
  <w:style w:type="character" w:customStyle="1" w:styleId="531">
    <w:name w:val="样式 正文B + 段前: 3.8 磅 行距: 固定值 22 磅 Char Char Char"/>
    <w:autoRedefine/>
    <w:qFormat/>
    <w:uiPriority w:val="0"/>
    <w:rPr>
      <w:rFonts w:eastAsia="楷体_GB2312" w:cs="宋体"/>
      <w:spacing w:val="8"/>
      <w:sz w:val="28"/>
      <w:lang w:val="en-US" w:eastAsia="zh-CN" w:bidi="ar-SA"/>
    </w:rPr>
  </w:style>
  <w:style w:type="character" w:customStyle="1" w:styleId="532">
    <w:name w:val="WW8Num21z0"/>
    <w:autoRedefine/>
    <w:qFormat/>
    <w:uiPriority w:val="0"/>
    <w:rPr>
      <w:rFonts w:ascii="Wingdings" w:hAnsi="Wingdings"/>
    </w:rPr>
  </w:style>
  <w:style w:type="character" w:customStyle="1" w:styleId="533">
    <w:name w:val="tape21"/>
    <w:autoRedefine/>
    <w:qFormat/>
    <w:uiPriority w:val="0"/>
    <w:rPr>
      <w:rFonts w:hint="default" w:ascii="Verdana" w:hAnsi="Verdana"/>
      <w:color w:val="666666"/>
      <w:sz w:val="17"/>
      <w:szCs w:val="17"/>
    </w:rPr>
  </w:style>
  <w:style w:type="character" w:customStyle="1" w:styleId="534">
    <w:name w:val="正文文字缩进 3 Char Char"/>
    <w:autoRedefine/>
    <w:qFormat/>
    <w:uiPriority w:val="0"/>
    <w:rPr>
      <w:rFonts w:eastAsia="仿宋_GB2312"/>
      <w:kern w:val="2"/>
      <w:sz w:val="24"/>
      <w:szCs w:val="24"/>
      <w:lang w:val="en-US" w:eastAsia="zh-CN" w:bidi="ar-SA"/>
    </w:rPr>
  </w:style>
  <w:style w:type="character" w:customStyle="1" w:styleId="535">
    <w:name w:val="正文内容 Char Char"/>
    <w:link w:val="536"/>
    <w:autoRedefine/>
    <w:qFormat/>
    <w:uiPriority w:val="0"/>
    <w:rPr>
      <w:rFonts w:ascii="Tahoma" w:hAnsi="Tahoma" w:eastAsia="宋体"/>
      <w:bCs/>
      <w:snapToGrid w:val="0"/>
      <w:color w:val="000000"/>
      <w:sz w:val="24"/>
      <w:szCs w:val="21"/>
      <w:lang w:val="zh-CN"/>
    </w:rPr>
  </w:style>
  <w:style w:type="paragraph" w:customStyle="1" w:styleId="536">
    <w:name w:val="正文内容"/>
    <w:basedOn w:val="1"/>
    <w:link w:val="535"/>
    <w:autoRedefine/>
    <w:qFormat/>
    <w:uiPriority w:val="0"/>
    <w:pPr>
      <w:widowControl/>
      <w:adjustRightInd w:val="0"/>
      <w:spacing w:line="360" w:lineRule="auto"/>
      <w:ind w:firstLine="480" w:firstLineChars="200"/>
    </w:pPr>
    <w:rPr>
      <w:rFonts w:ascii="Tahoma" w:hAnsi="Tahoma" w:cstheme="minorBidi"/>
      <w:bCs/>
      <w:snapToGrid w:val="0"/>
      <w:color w:val="000000"/>
      <w:sz w:val="24"/>
      <w:szCs w:val="21"/>
      <w:lang w:val="zh-CN"/>
    </w:rPr>
  </w:style>
  <w:style w:type="character" w:customStyle="1" w:styleId="537">
    <w:name w:val="zw1"/>
    <w:autoRedefine/>
    <w:qFormat/>
    <w:uiPriority w:val="0"/>
    <w:rPr>
      <w:rFonts w:hint="eastAsia" w:ascii="宋体" w:hAnsi="宋体" w:eastAsia="宋体"/>
      <w:sz w:val="22"/>
      <w:szCs w:val="22"/>
    </w:rPr>
  </w:style>
  <w:style w:type="character" w:customStyle="1" w:styleId="538">
    <w:name w:val="项目名称 Char Char Char Char Char Char Char Char Char Char Char Char Char Char Char Char"/>
    <w:link w:val="539"/>
    <w:autoRedefine/>
    <w:qFormat/>
    <w:uiPriority w:val="0"/>
    <w:rPr>
      <w:rFonts w:ascii="黑体" w:hAnsi="Courier New" w:eastAsia="宋体"/>
      <w:b/>
      <w:spacing w:val="-10"/>
      <w:sz w:val="48"/>
      <w:szCs w:val="24"/>
    </w:rPr>
  </w:style>
  <w:style w:type="paragraph" w:customStyle="1" w:styleId="539">
    <w:name w:val="项目名称 Char Char Char Char Char Char Char Char Char Char Char Char Char Char"/>
    <w:basedOn w:val="77"/>
    <w:link w:val="538"/>
    <w:autoRedefine/>
    <w:qFormat/>
    <w:uiPriority w:val="0"/>
    <w:pPr>
      <w:adjustRightInd/>
      <w:spacing w:line="240" w:lineRule="auto"/>
      <w:textAlignment w:val="auto"/>
    </w:pPr>
    <w:rPr>
      <w:rFonts w:ascii="黑体" w:hAnsi="Courier New" w:eastAsia="宋体" w:cstheme="minorBidi"/>
      <w:b/>
      <w:spacing w:val="-10"/>
      <w:kern w:val="2"/>
      <w:sz w:val="48"/>
      <w:szCs w:val="24"/>
    </w:rPr>
  </w:style>
  <w:style w:type="character" w:customStyle="1" w:styleId="540">
    <w:name w:val="content15"/>
    <w:basedOn w:val="94"/>
    <w:autoRedefine/>
    <w:qFormat/>
    <w:uiPriority w:val="0"/>
  </w:style>
  <w:style w:type="character" w:customStyle="1" w:styleId="541">
    <w:name w:val="样式 报告 + Times New Roman Char Char Char Char Char Char Char Char"/>
    <w:link w:val="542"/>
    <w:autoRedefine/>
    <w:qFormat/>
    <w:uiPriority w:val="0"/>
    <w:rPr>
      <w:rFonts w:eastAsia="楷体_GB2312"/>
      <w:spacing w:val="8"/>
      <w:sz w:val="28"/>
      <w:szCs w:val="28"/>
    </w:rPr>
  </w:style>
  <w:style w:type="paragraph" w:customStyle="1" w:styleId="542">
    <w:name w:val="样式 报告 + Times New Roman Char Char Char Char Char Char"/>
    <w:basedOn w:val="1"/>
    <w:link w:val="541"/>
    <w:autoRedefine/>
    <w:qFormat/>
    <w:uiPriority w:val="0"/>
    <w:pPr>
      <w:adjustRightInd w:val="0"/>
      <w:spacing w:line="500" w:lineRule="exact"/>
      <w:ind w:firstLine="505"/>
      <w:textAlignment w:val="center"/>
    </w:pPr>
    <w:rPr>
      <w:rFonts w:eastAsia="楷体_GB2312" w:asciiTheme="minorHAnsi" w:hAnsiTheme="minorHAnsi" w:cstheme="minorBidi"/>
      <w:spacing w:val="8"/>
      <w:sz w:val="28"/>
      <w:szCs w:val="28"/>
    </w:rPr>
  </w:style>
  <w:style w:type="character" w:customStyle="1" w:styleId="543">
    <w:name w:val="p1481"/>
    <w:autoRedefine/>
    <w:qFormat/>
    <w:uiPriority w:val="0"/>
    <w:rPr>
      <w:color w:val="515151"/>
      <w:sz w:val="22"/>
      <w:szCs w:val="22"/>
    </w:rPr>
  </w:style>
  <w:style w:type="character" w:customStyle="1" w:styleId="544">
    <w:name w:val="普通文字 Char Char Char Char Char Char Char Char Char Char Char"/>
    <w:autoRedefine/>
    <w:qFormat/>
    <w:uiPriority w:val="0"/>
    <w:rPr>
      <w:rFonts w:ascii="宋体" w:hAnsi="Courier New" w:eastAsia="宋体"/>
      <w:kern w:val="2"/>
      <w:sz w:val="21"/>
      <w:lang w:val="en-US" w:eastAsia="zh-CN" w:bidi="ar-SA"/>
    </w:rPr>
  </w:style>
  <w:style w:type="character" w:customStyle="1" w:styleId="545">
    <w:name w:val="表标题 Char"/>
    <w:autoRedefine/>
    <w:qFormat/>
    <w:uiPriority w:val="0"/>
    <w:rPr>
      <w:rFonts w:eastAsia="仿宋_GB2312"/>
      <w:b/>
      <w:spacing w:val="8"/>
      <w:sz w:val="24"/>
      <w:lang w:val="en-US" w:eastAsia="zh-CN" w:bidi="ar-SA"/>
    </w:rPr>
  </w:style>
  <w:style w:type="character" w:customStyle="1" w:styleId="546">
    <w:name w:val="indetail1"/>
    <w:autoRedefine/>
    <w:qFormat/>
    <w:uiPriority w:val="0"/>
    <w:rPr>
      <w:sz w:val="20"/>
      <w:szCs w:val="20"/>
      <w:bdr w:val="single" w:color="E2E2E2" w:sz="6" w:space="0"/>
    </w:rPr>
  </w:style>
  <w:style w:type="character" w:customStyle="1" w:styleId="547">
    <w:name w:val="Body Text (Reset numbering) Char Char"/>
    <w:autoRedefine/>
    <w:qFormat/>
    <w:uiPriority w:val="0"/>
    <w:rPr>
      <w:rFonts w:ascii="Arial" w:hAnsi="Arial" w:eastAsia="黑体" w:cs="Times New Roman"/>
      <w:b/>
      <w:bCs/>
      <w:sz w:val="32"/>
      <w:szCs w:val="32"/>
    </w:rPr>
  </w:style>
  <w:style w:type="character" w:customStyle="1" w:styleId="548">
    <w:name w:val="font021"/>
    <w:autoRedefine/>
    <w:qFormat/>
    <w:uiPriority w:val="0"/>
    <w:rPr>
      <w:color w:val="333333"/>
      <w:sz w:val="20"/>
      <w:szCs w:val="20"/>
    </w:rPr>
  </w:style>
  <w:style w:type="character" w:customStyle="1" w:styleId="549">
    <w:name w:val="Char Char28"/>
    <w:autoRedefine/>
    <w:qFormat/>
    <w:uiPriority w:val="0"/>
    <w:rPr>
      <w:rFonts w:eastAsia="楷体_GB2312"/>
      <w:smallCaps/>
      <w:spacing w:val="8"/>
      <w:sz w:val="24"/>
      <w:lang w:val="en-US" w:eastAsia="zh-CN" w:bidi="ar-SA"/>
    </w:rPr>
  </w:style>
  <w:style w:type="character" w:customStyle="1" w:styleId="550">
    <w:name w:val="正文B Char Char Char Char Char"/>
    <w:autoRedefine/>
    <w:qFormat/>
    <w:uiPriority w:val="0"/>
    <w:rPr>
      <w:rFonts w:ascii="Times New Roman" w:hAnsi="Times New Roman" w:eastAsia="楷体_GB2312" w:cs="Times New Roman"/>
      <w:spacing w:val="8"/>
      <w:kern w:val="0"/>
      <w:sz w:val="28"/>
      <w:szCs w:val="20"/>
    </w:rPr>
  </w:style>
  <w:style w:type="character" w:customStyle="1" w:styleId="551">
    <w:name w:val="图表名称 Char Char"/>
    <w:autoRedefine/>
    <w:qFormat/>
    <w:uiPriority w:val="0"/>
    <w:rPr>
      <w:rFonts w:ascii="宋体" w:hAnsi="宋体" w:eastAsia="宋体"/>
      <w:snapToGrid w:val="0"/>
      <w:kern w:val="2"/>
      <w:sz w:val="28"/>
      <w:szCs w:val="28"/>
      <w:lang w:val="en-US" w:eastAsia="zh-CN" w:bidi="ar-SA"/>
    </w:rPr>
  </w:style>
  <w:style w:type="character" w:customStyle="1" w:styleId="552">
    <w:name w:val="1.1 Char Char Char"/>
    <w:autoRedefine/>
    <w:qFormat/>
    <w:uiPriority w:val="0"/>
    <w:rPr>
      <w:rFonts w:eastAsia="仿宋_GB2312"/>
      <w:kern w:val="2"/>
      <w:sz w:val="24"/>
      <w:szCs w:val="24"/>
      <w:lang w:val="en-US" w:eastAsia="zh-CN" w:bidi="ar-SA"/>
    </w:rPr>
  </w:style>
  <w:style w:type="character" w:customStyle="1" w:styleId="553">
    <w:name w:val="f14b1"/>
    <w:autoRedefine/>
    <w:qFormat/>
    <w:uiPriority w:val="0"/>
    <w:rPr>
      <w:b/>
      <w:bCs/>
      <w:sz w:val="21"/>
      <w:szCs w:val="21"/>
    </w:rPr>
  </w:style>
  <w:style w:type="character" w:customStyle="1" w:styleId="554">
    <w:name w:val="11p"/>
    <w:basedOn w:val="94"/>
    <w:autoRedefine/>
    <w:qFormat/>
    <w:uiPriority w:val="0"/>
  </w:style>
  <w:style w:type="character" w:customStyle="1" w:styleId="555">
    <w:name w:val="dash Char2"/>
    <w:autoRedefine/>
    <w:qFormat/>
    <w:uiPriority w:val="0"/>
    <w:rPr>
      <w:rFonts w:eastAsia="楷体_GB2312"/>
      <w:b/>
      <w:spacing w:val="8"/>
      <w:sz w:val="28"/>
      <w:lang w:val="en-US" w:eastAsia="zh-CN" w:bidi="ar-SA"/>
    </w:rPr>
  </w:style>
  <w:style w:type="character" w:customStyle="1" w:styleId="556">
    <w:name w:val="龙泰标题2 Char Char"/>
    <w:link w:val="557"/>
    <w:autoRedefine/>
    <w:qFormat/>
    <w:uiPriority w:val="0"/>
    <w:rPr>
      <w:rFonts w:ascii="黑体" w:hAnsi="Arial" w:eastAsia="黑体"/>
      <w:spacing w:val="20"/>
      <w:sz w:val="32"/>
      <w:szCs w:val="32"/>
    </w:rPr>
  </w:style>
  <w:style w:type="paragraph" w:customStyle="1" w:styleId="557">
    <w:name w:val="龙泰标题2"/>
    <w:basedOn w:val="1"/>
    <w:next w:val="1"/>
    <w:link w:val="556"/>
    <w:autoRedefine/>
    <w:qFormat/>
    <w:uiPriority w:val="0"/>
    <w:pPr>
      <w:tabs>
        <w:tab w:val="left" w:pos="720"/>
      </w:tabs>
      <w:autoSpaceDE w:val="0"/>
      <w:autoSpaceDN w:val="0"/>
      <w:adjustRightInd w:val="0"/>
      <w:spacing w:before="312" w:beforeLines="100" w:after="156" w:afterLines="50" w:line="360" w:lineRule="auto"/>
      <w:ind w:firstLine="601"/>
      <w:textAlignment w:val="baseline"/>
      <w:outlineLvl w:val="1"/>
    </w:pPr>
    <w:rPr>
      <w:rFonts w:ascii="黑体" w:hAnsi="Arial" w:eastAsia="黑体" w:cstheme="minorBidi"/>
      <w:spacing w:val="20"/>
      <w:sz w:val="32"/>
      <w:szCs w:val="32"/>
    </w:rPr>
  </w:style>
  <w:style w:type="character" w:customStyle="1" w:styleId="558">
    <w:name w:val="不明显参考1"/>
    <w:autoRedefine/>
    <w:qFormat/>
    <w:uiPriority w:val="0"/>
    <w:rPr>
      <w:smallCaps/>
      <w:color w:val="C0504D"/>
      <w:u w:val="single"/>
    </w:rPr>
  </w:style>
  <w:style w:type="character" w:customStyle="1" w:styleId="559">
    <w:name w:val="表格文字_中 Char Char"/>
    <w:link w:val="560"/>
    <w:autoRedefine/>
    <w:qFormat/>
    <w:uiPriority w:val="0"/>
    <w:rPr>
      <w:rFonts w:eastAsia="楷体_GB2312"/>
      <w:snapToGrid w:val="0"/>
      <w:kern w:val="15"/>
      <w:sz w:val="24"/>
      <w:szCs w:val="24"/>
    </w:rPr>
  </w:style>
  <w:style w:type="paragraph" w:customStyle="1" w:styleId="560">
    <w:name w:val="表格文字_中"/>
    <w:basedOn w:val="1"/>
    <w:next w:val="1"/>
    <w:link w:val="559"/>
    <w:autoRedefine/>
    <w:qFormat/>
    <w:uiPriority w:val="0"/>
    <w:pPr>
      <w:adjustRightInd w:val="0"/>
      <w:spacing w:line="480" w:lineRule="atLeast"/>
      <w:jc w:val="center"/>
      <w:textAlignment w:val="baseline"/>
    </w:pPr>
    <w:rPr>
      <w:rFonts w:eastAsia="楷体_GB2312" w:asciiTheme="minorHAnsi" w:hAnsiTheme="minorHAnsi" w:cstheme="minorBidi"/>
      <w:snapToGrid w:val="0"/>
      <w:kern w:val="15"/>
      <w:sz w:val="24"/>
    </w:rPr>
  </w:style>
  <w:style w:type="character" w:customStyle="1" w:styleId="561">
    <w:name w:val="第一章 标题 2 Char2"/>
    <w:autoRedefine/>
    <w:qFormat/>
    <w:uiPriority w:val="0"/>
    <w:rPr>
      <w:rFonts w:ascii="Arial Rounded MT Bold" w:hAnsi="Arial Rounded MT Bold" w:eastAsia="黑体"/>
      <w:spacing w:val="8"/>
      <w:sz w:val="32"/>
      <w:lang w:val="en-US" w:eastAsia="zh-CN" w:bidi="ar-SA"/>
    </w:rPr>
  </w:style>
  <w:style w:type="character" w:customStyle="1" w:styleId="562">
    <w:name w:val="copyctrl"/>
    <w:basedOn w:val="94"/>
    <w:autoRedefine/>
    <w:qFormat/>
    <w:uiPriority w:val="0"/>
  </w:style>
  <w:style w:type="character" w:customStyle="1" w:styleId="563">
    <w:name w:val="middle1"/>
    <w:autoRedefine/>
    <w:qFormat/>
    <w:uiPriority w:val="0"/>
    <w:rPr>
      <w:sz w:val="22"/>
      <w:szCs w:val="22"/>
    </w:rPr>
  </w:style>
  <w:style w:type="character" w:customStyle="1" w:styleId="564">
    <w:name w:val="正文文字缩进 2 Char Char2"/>
    <w:autoRedefine/>
    <w:qFormat/>
    <w:uiPriority w:val="0"/>
    <w:rPr>
      <w:rFonts w:ascii="宋体" w:eastAsia="宋体"/>
      <w:kern w:val="2"/>
      <w:sz w:val="28"/>
      <w:lang w:val="en-US" w:eastAsia="zh-CN" w:bidi="ar-SA"/>
    </w:rPr>
  </w:style>
  <w:style w:type="character" w:customStyle="1" w:styleId="565">
    <w:name w:val="WW8Num26z0"/>
    <w:autoRedefine/>
    <w:qFormat/>
    <w:uiPriority w:val="0"/>
    <w:rPr>
      <w:rFonts w:ascii="Wingdings" w:hAnsi="Wingdings"/>
    </w:rPr>
  </w:style>
  <w:style w:type="character" w:customStyle="1" w:styleId="566">
    <w:name w:val="jieneng"/>
    <w:basedOn w:val="94"/>
    <w:autoRedefine/>
    <w:qFormat/>
    <w:uiPriority w:val="0"/>
  </w:style>
  <w:style w:type="character" w:customStyle="1" w:styleId="567">
    <w:name w:val="black141"/>
    <w:autoRedefine/>
    <w:qFormat/>
    <w:uiPriority w:val="0"/>
    <w:rPr>
      <w:color w:val="000000"/>
      <w:sz w:val="21"/>
      <w:szCs w:val="21"/>
      <w:u w:val="none"/>
    </w:rPr>
  </w:style>
  <w:style w:type="character" w:customStyle="1" w:styleId="568">
    <w:name w:val="newsbody1"/>
    <w:autoRedefine/>
    <w:qFormat/>
    <w:uiPriority w:val="0"/>
    <w:rPr>
      <w:sz w:val="21"/>
      <w:szCs w:val="21"/>
    </w:rPr>
  </w:style>
  <w:style w:type="character" w:customStyle="1" w:styleId="569">
    <w:name w:val="about1"/>
    <w:autoRedefine/>
    <w:qFormat/>
    <w:uiPriority w:val="0"/>
    <w:rPr>
      <w:rFonts w:hint="default" w:ascii="ˎ̥" w:hAnsi="ˎ̥"/>
      <w:spacing w:val="0"/>
      <w:sz w:val="18"/>
      <w:szCs w:val="18"/>
    </w:rPr>
  </w:style>
  <w:style w:type="character" w:customStyle="1" w:styleId="570">
    <w:name w:val="报告书表格 Char Char Char"/>
    <w:autoRedefine/>
    <w:qFormat/>
    <w:uiPriority w:val="0"/>
    <w:rPr>
      <w:rFonts w:eastAsia="仿宋_GB2312"/>
      <w:sz w:val="24"/>
      <w:lang w:val="en-US" w:eastAsia="zh-CN" w:bidi="ar-SA"/>
    </w:rPr>
  </w:style>
  <w:style w:type="character" w:customStyle="1" w:styleId="571">
    <w:name w:val="Char Char19"/>
    <w:autoRedefine/>
    <w:qFormat/>
    <w:uiPriority w:val="0"/>
    <w:rPr>
      <w:rFonts w:eastAsia="文鼎中楷繁"/>
      <w:sz w:val="18"/>
      <w:lang w:val="en-US" w:eastAsia="zh-CN" w:bidi="ar-SA"/>
    </w:rPr>
  </w:style>
  <w:style w:type="character" w:customStyle="1" w:styleId="572">
    <w:name w:val="fn org"/>
    <w:basedOn w:val="94"/>
    <w:autoRedefine/>
    <w:qFormat/>
    <w:uiPriority w:val="0"/>
  </w:style>
  <w:style w:type="character" w:customStyle="1" w:styleId="573">
    <w:name w:val="第五层条 Char"/>
    <w:autoRedefine/>
    <w:qFormat/>
    <w:uiPriority w:val="0"/>
    <w:rPr>
      <w:rFonts w:ascii="Arial" w:hAnsi="Arial" w:eastAsia="黑体"/>
      <w:b/>
      <w:spacing w:val="8"/>
      <w:sz w:val="24"/>
      <w:lang w:val="en-US" w:eastAsia="zh-CN" w:bidi="ar-SA"/>
    </w:rPr>
  </w:style>
  <w:style w:type="character" w:customStyle="1" w:styleId="574">
    <w:name w:val="report"/>
    <w:autoRedefine/>
    <w:qFormat/>
    <w:uiPriority w:val="0"/>
    <w:rPr>
      <w:rFonts w:ascii="Arial" w:hAnsi="Arial"/>
      <w:sz w:val="24"/>
    </w:rPr>
  </w:style>
  <w:style w:type="character" w:customStyle="1" w:styleId="575">
    <w:name w:val="cont2"/>
    <w:basedOn w:val="94"/>
    <w:autoRedefine/>
    <w:qFormat/>
    <w:uiPriority w:val="0"/>
  </w:style>
  <w:style w:type="character" w:customStyle="1" w:styleId="576">
    <w:name w:val="Char Char32"/>
    <w:autoRedefine/>
    <w:qFormat/>
    <w:uiPriority w:val="0"/>
    <w:rPr>
      <w:rFonts w:ascii="Arial" w:hAnsi="Arial" w:eastAsia="黑体"/>
      <w:spacing w:val="8"/>
      <w:sz w:val="24"/>
      <w:lang w:val="en-US" w:eastAsia="zh-CN" w:bidi="ar-SA"/>
    </w:rPr>
  </w:style>
  <w:style w:type="character" w:customStyle="1" w:styleId="577">
    <w:name w:val="txt1"/>
    <w:basedOn w:val="94"/>
    <w:autoRedefine/>
    <w:qFormat/>
    <w:uiPriority w:val="0"/>
  </w:style>
  <w:style w:type="character" w:customStyle="1" w:styleId="578">
    <w:name w:val="表标题 Char3"/>
    <w:autoRedefine/>
    <w:qFormat/>
    <w:uiPriority w:val="0"/>
    <w:rPr>
      <w:rFonts w:eastAsia="仿宋_GB2312"/>
      <w:b/>
      <w:spacing w:val="8"/>
      <w:sz w:val="24"/>
      <w:lang w:val="en-US" w:eastAsia="zh-CN" w:bidi="ar-SA"/>
    </w:rPr>
  </w:style>
  <w:style w:type="character" w:customStyle="1" w:styleId="579">
    <w:name w:val="四级标题 Char Char"/>
    <w:autoRedefine/>
    <w:qFormat/>
    <w:uiPriority w:val="0"/>
    <w:rPr>
      <w:rFonts w:eastAsia="黑体"/>
      <w:kern w:val="2"/>
      <w:sz w:val="24"/>
      <w:lang w:val="en-US" w:eastAsia="zh-CN" w:bidi="ar-SA"/>
    </w:rPr>
  </w:style>
  <w:style w:type="character" w:customStyle="1" w:styleId="580">
    <w:name w:val="bds_nopic"/>
    <w:basedOn w:val="94"/>
    <w:autoRedefine/>
    <w:qFormat/>
    <w:uiPriority w:val="0"/>
  </w:style>
  <w:style w:type="character" w:customStyle="1" w:styleId="581">
    <w:name w:val="size_141"/>
    <w:autoRedefine/>
    <w:qFormat/>
    <w:uiPriority w:val="0"/>
    <w:rPr>
      <w:sz w:val="21"/>
      <w:szCs w:val="21"/>
    </w:rPr>
  </w:style>
  <w:style w:type="character" w:customStyle="1" w:styleId="582">
    <w:name w:val="表标题 Char2"/>
    <w:autoRedefine/>
    <w:qFormat/>
    <w:uiPriority w:val="0"/>
    <w:rPr>
      <w:rFonts w:eastAsia="宋体"/>
      <w:b/>
      <w:bCs/>
      <w:kern w:val="2"/>
      <w:sz w:val="24"/>
      <w:szCs w:val="24"/>
      <w:lang w:val="en-US" w:eastAsia="zh-CN" w:bidi="ar-SA"/>
    </w:rPr>
  </w:style>
  <w:style w:type="character" w:customStyle="1" w:styleId="583">
    <w:name w:val="WW8Num6z0"/>
    <w:autoRedefine/>
    <w:qFormat/>
    <w:uiPriority w:val="0"/>
    <w:rPr>
      <w:rFonts w:ascii="Wingdings" w:hAnsi="Wingdings"/>
    </w:rPr>
  </w:style>
  <w:style w:type="character" w:customStyle="1" w:styleId="584">
    <w:name w:val="pronavi1"/>
    <w:autoRedefine/>
    <w:qFormat/>
    <w:uiPriority w:val="0"/>
    <w:rPr>
      <w:rFonts w:hint="default" w:ascii="Verdana" w:hAnsi="Verdana"/>
      <w:b/>
      <w:bCs/>
      <w:color w:val="000066"/>
      <w:sz w:val="15"/>
      <w:szCs w:val="15"/>
    </w:rPr>
  </w:style>
  <w:style w:type="character" w:customStyle="1" w:styleId="585">
    <w:name w:val="Legal Level 1.1.1. Char"/>
    <w:autoRedefine/>
    <w:qFormat/>
    <w:uiPriority w:val="0"/>
    <w:rPr>
      <w:rFonts w:ascii="Arial" w:hAnsi="Arial" w:eastAsia="黑体"/>
      <w:spacing w:val="8"/>
      <w:sz w:val="24"/>
      <w:lang w:val="en-US" w:eastAsia="zh-CN" w:bidi="ar-SA"/>
    </w:rPr>
  </w:style>
  <w:style w:type="character" w:customStyle="1" w:styleId="586">
    <w:name w:val="price_unline"/>
    <w:basedOn w:val="94"/>
    <w:autoRedefine/>
    <w:qFormat/>
    <w:uiPriority w:val="0"/>
  </w:style>
  <w:style w:type="character" w:customStyle="1" w:styleId="587">
    <w:name w:val="nine-11"/>
    <w:autoRedefine/>
    <w:qFormat/>
    <w:uiPriority w:val="0"/>
    <w:rPr>
      <w:rFonts w:hint="default"/>
      <w:sz w:val="18"/>
      <w:szCs w:val="18"/>
    </w:rPr>
  </w:style>
  <w:style w:type="character" w:customStyle="1" w:styleId="588">
    <w:name w:val="Char Char65"/>
    <w:autoRedefine/>
    <w:qFormat/>
    <w:uiPriority w:val="0"/>
    <w:rPr>
      <w:rFonts w:ascii="Arial Rounded MT Bold" w:hAnsi="Arial Rounded MT Bold" w:eastAsia="黑体"/>
      <w:spacing w:val="8"/>
      <w:sz w:val="32"/>
      <w:lang w:val="en-US" w:eastAsia="zh-CN" w:bidi="ar-SA"/>
    </w:rPr>
  </w:style>
  <w:style w:type="character" w:customStyle="1" w:styleId="589">
    <w:name w:val="标题 2 Char1 Char Char"/>
    <w:autoRedefine/>
    <w:qFormat/>
    <w:uiPriority w:val="0"/>
    <w:rPr>
      <w:rFonts w:ascii="仿宋_GB2312" w:hAnsi="Arial" w:eastAsia="仿宋_GB2312"/>
      <w:b/>
      <w:bCs/>
      <w:kern w:val="2"/>
      <w:sz w:val="28"/>
      <w:szCs w:val="32"/>
      <w:lang w:val="en-US" w:eastAsia="zh-CN" w:bidi="ar-SA"/>
    </w:rPr>
  </w:style>
  <w:style w:type="character" w:customStyle="1" w:styleId="590">
    <w:name w:val="class1"/>
    <w:basedOn w:val="94"/>
    <w:autoRedefine/>
    <w:qFormat/>
    <w:uiPriority w:val="0"/>
  </w:style>
  <w:style w:type="character" w:customStyle="1" w:styleId="591">
    <w:name w:val="样式 样式 首行缩进:  2 字符 + 首行缩进:  2 字符2 Char Char"/>
    <w:link w:val="592"/>
    <w:autoRedefine/>
    <w:qFormat/>
    <w:uiPriority w:val="0"/>
    <w:rPr>
      <w:rFonts w:eastAsia="楷体_GB2312"/>
      <w:spacing w:val="6"/>
      <w:sz w:val="28"/>
    </w:rPr>
  </w:style>
  <w:style w:type="paragraph" w:customStyle="1" w:styleId="592">
    <w:name w:val="样式 样式 首行缩进:  2 字符 + 首行缩进:  2 字符2"/>
    <w:basedOn w:val="1"/>
    <w:link w:val="591"/>
    <w:autoRedefine/>
    <w:qFormat/>
    <w:uiPriority w:val="0"/>
    <w:pPr>
      <w:spacing w:line="440" w:lineRule="exact"/>
      <w:ind w:firstLine="584" w:firstLineChars="200"/>
    </w:pPr>
    <w:rPr>
      <w:rFonts w:eastAsia="楷体_GB2312" w:asciiTheme="minorHAnsi" w:hAnsiTheme="minorHAnsi" w:cstheme="minorBidi"/>
      <w:spacing w:val="6"/>
      <w:sz w:val="28"/>
      <w:szCs w:val="22"/>
    </w:rPr>
  </w:style>
  <w:style w:type="character" w:customStyle="1" w:styleId="593">
    <w:name w:val="报告 Char Char Char"/>
    <w:autoRedefine/>
    <w:qFormat/>
    <w:uiPriority w:val="0"/>
    <w:rPr>
      <w:rFonts w:ascii="TimesNewRoman" w:hAnsi="TimesNewRoman" w:eastAsia="宋体"/>
      <w:sz w:val="24"/>
      <w:lang w:val="en-US" w:eastAsia="zh-CN" w:bidi="ar-SA"/>
    </w:rPr>
  </w:style>
  <w:style w:type="character" w:customStyle="1" w:styleId="594">
    <w:name w:val="样式 标题 1 + 宋体 Char Char Char"/>
    <w:autoRedefine/>
    <w:qFormat/>
    <w:uiPriority w:val="0"/>
    <w:rPr>
      <w:rFonts w:eastAsia="隶书"/>
      <w:spacing w:val="8"/>
      <w:sz w:val="48"/>
      <w:szCs w:val="48"/>
      <w:lang w:val="en-US" w:eastAsia="zh-CN" w:bidi="ar-SA"/>
    </w:rPr>
  </w:style>
  <w:style w:type="character" w:customStyle="1" w:styleId="595">
    <w:name w:val="hj11"/>
    <w:basedOn w:val="94"/>
    <w:autoRedefine/>
    <w:qFormat/>
    <w:uiPriority w:val="0"/>
  </w:style>
  <w:style w:type="character" w:customStyle="1" w:styleId="596">
    <w:name w:val="WW8Num28z0"/>
    <w:autoRedefine/>
    <w:qFormat/>
    <w:uiPriority w:val="0"/>
    <w:rPr>
      <w:rFonts w:ascii="Wingdings" w:hAnsi="Wingdings"/>
    </w:rPr>
  </w:style>
  <w:style w:type="character" w:customStyle="1" w:styleId="597">
    <w:name w:val="article_title"/>
    <w:basedOn w:val="94"/>
    <w:autoRedefine/>
    <w:qFormat/>
    <w:uiPriority w:val="0"/>
  </w:style>
  <w:style w:type="character" w:customStyle="1" w:styleId="598">
    <w:name w:val="Body Text(ch) Char8"/>
    <w:autoRedefine/>
    <w:qFormat/>
    <w:uiPriority w:val="0"/>
    <w:rPr>
      <w:rFonts w:eastAsia="楷体_GB2312"/>
      <w:spacing w:val="8"/>
      <w:sz w:val="28"/>
      <w:lang w:val="en-US" w:eastAsia="zh-CN" w:bidi="ar-SA"/>
    </w:rPr>
  </w:style>
  <w:style w:type="character" w:customStyle="1" w:styleId="599">
    <w:name w:val="H9 Char Char2"/>
    <w:autoRedefine/>
    <w:qFormat/>
    <w:uiPriority w:val="0"/>
    <w:rPr>
      <w:rFonts w:ascii="Arial" w:hAnsi="Arial" w:eastAsia="黑体"/>
      <w:kern w:val="2"/>
      <w:sz w:val="24"/>
      <w:szCs w:val="21"/>
      <w:lang w:val="en-US" w:eastAsia="zh-CN" w:bidi="ar-SA"/>
    </w:rPr>
  </w:style>
  <w:style w:type="character" w:customStyle="1" w:styleId="600">
    <w:name w:val="WW8Num20z0"/>
    <w:autoRedefine/>
    <w:qFormat/>
    <w:uiPriority w:val="0"/>
    <w:rPr>
      <w:rFonts w:ascii="Wingdings" w:hAnsi="Wingdings"/>
    </w:rPr>
  </w:style>
  <w:style w:type="character" w:customStyle="1" w:styleId="601">
    <w:name w:val="Char Char25"/>
    <w:basedOn w:val="476"/>
    <w:autoRedefine/>
    <w:qFormat/>
    <w:uiPriority w:val="0"/>
    <w:rPr>
      <w:rFonts w:eastAsia="楷体_GB2312"/>
      <w:spacing w:val="8"/>
      <w:sz w:val="28"/>
      <w:lang w:val="en-US" w:eastAsia="zh-CN" w:bidi="ar-SA"/>
    </w:rPr>
  </w:style>
  <w:style w:type="character" w:customStyle="1" w:styleId="602">
    <w:name w:val="ac1"/>
    <w:autoRedefine/>
    <w:qFormat/>
    <w:uiPriority w:val="0"/>
    <w:rPr>
      <w:sz w:val="18"/>
      <w:szCs w:val="18"/>
    </w:rPr>
  </w:style>
  <w:style w:type="character" w:customStyle="1" w:styleId="603">
    <w:name w:val="wenzi02neirong"/>
    <w:basedOn w:val="94"/>
    <w:autoRedefine/>
    <w:qFormat/>
    <w:uiPriority w:val="0"/>
  </w:style>
  <w:style w:type="character" w:customStyle="1" w:styleId="604">
    <w:name w:val="正文2 Char Char Char"/>
    <w:autoRedefine/>
    <w:qFormat/>
    <w:uiPriority w:val="0"/>
    <w:rPr>
      <w:rFonts w:eastAsia="宋体"/>
      <w:spacing w:val="8"/>
      <w:sz w:val="28"/>
      <w:lang w:val="en-US" w:eastAsia="zh-CN" w:bidi="ar-SA"/>
    </w:rPr>
  </w:style>
  <w:style w:type="character" w:customStyle="1" w:styleId="605">
    <w:name w:val="hover21"/>
    <w:autoRedefine/>
    <w:qFormat/>
    <w:uiPriority w:val="0"/>
    <w:rPr>
      <w:color w:val="FF4300"/>
    </w:rPr>
  </w:style>
  <w:style w:type="character" w:customStyle="1" w:styleId="606">
    <w:name w:val="w21"/>
    <w:autoRedefine/>
    <w:qFormat/>
    <w:uiPriority w:val="0"/>
    <w:rPr>
      <w:rFonts w:hint="default" w:ascii="ˎ̥" w:hAnsi="ˎ̥"/>
      <w:b/>
      <w:bCs/>
      <w:color w:val="000000"/>
      <w:sz w:val="27"/>
      <w:szCs w:val="27"/>
    </w:rPr>
  </w:style>
  <w:style w:type="character" w:customStyle="1" w:styleId="607">
    <w:name w:val="表后文 Char Char"/>
    <w:link w:val="608"/>
    <w:autoRedefine/>
    <w:qFormat/>
    <w:uiPriority w:val="0"/>
    <w:rPr>
      <w:rFonts w:eastAsia="楷体_GB2312"/>
      <w:spacing w:val="8"/>
      <w:sz w:val="28"/>
    </w:rPr>
  </w:style>
  <w:style w:type="paragraph" w:customStyle="1" w:styleId="608">
    <w:name w:val="表后文"/>
    <w:basedOn w:val="1"/>
    <w:link w:val="607"/>
    <w:autoRedefine/>
    <w:qFormat/>
    <w:uiPriority w:val="0"/>
    <w:pPr>
      <w:adjustRightInd w:val="0"/>
      <w:spacing w:before="120" w:line="400" w:lineRule="exact"/>
      <w:ind w:firstLine="601"/>
      <w:textAlignment w:val="baseline"/>
    </w:pPr>
    <w:rPr>
      <w:rFonts w:eastAsia="楷体_GB2312" w:asciiTheme="minorHAnsi" w:hAnsiTheme="minorHAnsi" w:cstheme="minorBidi"/>
      <w:spacing w:val="8"/>
      <w:sz w:val="28"/>
      <w:szCs w:val="22"/>
    </w:rPr>
  </w:style>
  <w:style w:type="character" w:customStyle="1" w:styleId="609">
    <w:name w:val="WW8Num19z0"/>
    <w:autoRedefine/>
    <w:qFormat/>
    <w:uiPriority w:val="0"/>
    <w:rPr>
      <w:rFonts w:ascii="Wingdings" w:hAnsi="Wingdings"/>
    </w:rPr>
  </w:style>
  <w:style w:type="character" w:customStyle="1" w:styleId="610">
    <w:name w:val=".biaoti"/>
    <w:basedOn w:val="94"/>
    <w:autoRedefine/>
    <w:qFormat/>
    <w:uiPriority w:val="0"/>
  </w:style>
  <w:style w:type="character" w:customStyle="1" w:styleId="611">
    <w:name w:val="表蕊 Char1"/>
    <w:link w:val="612"/>
    <w:autoRedefine/>
    <w:qFormat/>
    <w:uiPriority w:val="0"/>
    <w:rPr>
      <w:spacing w:val="-10"/>
      <w:sz w:val="24"/>
    </w:rPr>
  </w:style>
  <w:style w:type="paragraph" w:customStyle="1" w:styleId="612">
    <w:name w:val="表蕊"/>
    <w:basedOn w:val="1"/>
    <w:link w:val="611"/>
    <w:autoRedefine/>
    <w:qFormat/>
    <w:uiPriority w:val="0"/>
    <w:pPr>
      <w:adjustRightInd w:val="0"/>
      <w:spacing w:line="320" w:lineRule="atLeast"/>
      <w:jc w:val="left"/>
      <w:textAlignment w:val="baseline"/>
    </w:pPr>
    <w:rPr>
      <w:rFonts w:asciiTheme="minorHAnsi" w:hAnsiTheme="minorHAnsi" w:eastAsiaTheme="minorEastAsia" w:cstheme="minorBidi"/>
      <w:spacing w:val="-10"/>
      <w:sz w:val="24"/>
      <w:szCs w:val="22"/>
    </w:rPr>
  </w:style>
  <w:style w:type="character" w:customStyle="1" w:styleId="613">
    <w:name w:val="行文 Char1"/>
    <w:autoRedefine/>
    <w:qFormat/>
    <w:uiPriority w:val="0"/>
    <w:rPr>
      <w:rFonts w:eastAsia="仿宋_GB2312"/>
      <w:spacing w:val="8"/>
      <w:sz w:val="30"/>
      <w:lang w:val="en-US" w:eastAsia="zh-CN" w:bidi="ar-SA"/>
    </w:rPr>
  </w:style>
  <w:style w:type="character" w:customStyle="1" w:styleId="614">
    <w:name w:val="cp11"/>
    <w:autoRedefine/>
    <w:qFormat/>
    <w:uiPriority w:val="0"/>
    <w:rPr>
      <w:sz w:val="18"/>
      <w:szCs w:val="18"/>
      <w:u w:val="none"/>
    </w:rPr>
  </w:style>
  <w:style w:type="character" w:customStyle="1" w:styleId="615">
    <w:name w:val="newbody1"/>
    <w:autoRedefine/>
    <w:qFormat/>
    <w:uiPriority w:val="0"/>
    <w:rPr>
      <w:rFonts w:hint="default" w:ascii="ˎ̥" w:hAnsi="ˎ̥"/>
      <w:sz w:val="21"/>
      <w:szCs w:val="21"/>
    </w:rPr>
  </w:style>
  <w:style w:type="character" w:customStyle="1" w:styleId="616">
    <w:name w:val="f3h1"/>
    <w:autoRedefine/>
    <w:qFormat/>
    <w:uiPriority w:val="0"/>
    <w:rPr>
      <w:color w:val="FFFF00"/>
      <w:sz w:val="24"/>
      <w:szCs w:val="24"/>
    </w:rPr>
  </w:style>
  <w:style w:type="character" w:customStyle="1" w:styleId="617">
    <w:name w:val="word121"/>
    <w:autoRedefine/>
    <w:qFormat/>
    <w:uiPriority w:val="0"/>
    <w:rPr>
      <w:color w:val="444444"/>
      <w:sz w:val="16"/>
      <w:szCs w:val="16"/>
    </w:rPr>
  </w:style>
  <w:style w:type="character" w:customStyle="1" w:styleId="618">
    <w:name w:val="样式 标题 1 + 宋体 Char Char"/>
    <w:link w:val="619"/>
    <w:autoRedefine/>
    <w:qFormat/>
    <w:uiPriority w:val="0"/>
    <w:rPr>
      <w:rFonts w:eastAsia="隶书"/>
      <w:spacing w:val="8"/>
      <w:sz w:val="48"/>
      <w:szCs w:val="48"/>
    </w:rPr>
  </w:style>
  <w:style w:type="paragraph" w:customStyle="1" w:styleId="619">
    <w:name w:val="样式 标题 1 + 宋体"/>
    <w:basedOn w:val="3"/>
    <w:link w:val="618"/>
    <w:autoRedefine/>
    <w:qFormat/>
    <w:uiPriority w:val="0"/>
    <w:pPr>
      <w:adjustRightInd w:val="0"/>
      <w:spacing w:before="1200" w:after="360" w:line="400" w:lineRule="exact"/>
      <w:jc w:val="center"/>
      <w:textAlignment w:val="baseline"/>
    </w:pPr>
    <w:rPr>
      <w:rFonts w:eastAsia="隶书" w:asciiTheme="minorHAnsi" w:hAnsiTheme="minorHAnsi" w:cstheme="minorBidi"/>
      <w:b w:val="0"/>
      <w:spacing w:val="8"/>
      <w:kern w:val="2"/>
      <w:sz w:val="48"/>
      <w:szCs w:val="48"/>
    </w:rPr>
  </w:style>
  <w:style w:type="character" w:customStyle="1" w:styleId="620">
    <w:name w:val="b Char"/>
    <w:autoRedefine/>
    <w:qFormat/>
    <w:uiPriority w:val="0"/>
    <w:rPr>
      <w:rFonts w:ascii="Times New Roman" w:hAnsi="Times New Roman" w:eastAsia="宋体" w:cs="Times New Roman"/>
      <w:b/>
      <w:sz w:val="28"/>
      <w:szCs w:val="20"/>
    </w:rPr>
  </w:style>
  <w:style w:type="character" w:customStyle="1" w:styleId="621">
    <w:name w:val="签名 Char1"/>
    <w:basedOn w:val="94"/>
    <w:autoRedefine/>
    <w:qFormat/>
    <w:uiPriority w:val="0"/>
  </w:style>
  <w:style w:type="character" w:customStyle="1" w:styleId="622">
    <w:name w:val="gov11"/>
    <w:autoRedefine/>
    <w:qFormat/>
    <w:uiPriority w:val="0"/>
    <w:rPr>
      <w:sz w:val="18"/>
      <w:szCs w:val="18"/>
    </w:rPr>
  </w:style>
  <w:style w:type="character" w:customStyle="1" w:styleId="623">
    <w:name w:val="xaq827"/>
    <w:basedOn w:val="94"/>
    <w:autoRedefine/>
    <w:qFormat/>
    <w:uiPriority w:val="0"/>
  </w:style>
  <w:style w:type="character" w:customStyle="1" w:styleId="624">
    <w:name w:val="标题 4 Char2"/>
    <w:autoRedefine/>
    <w:qFormat/>
    <w:uiPriority w:val="0"/>
    <w:rPr>
      <w:rFonts w:eastAsia="文鼎CS细等线"/>
      <w:b/>
      <w:spacing w:val="8"/>
      <w:sz w:val="28"/>
      <w:lang w:val="en-US" w:eastAsia="zh-CN" w:bidi="ar-SA"/>
    </w:rPr>
  </w:style>
  <w:style w:type="character" w:customStyle="1" w:styleId="625">
    <w:name w:val="cucd-TB Char Char"/>
    <w:link w:val="626"/>
    <w:autoRedefine/>
    <w:qFormat/>
    <w:uiPriority w:val="0"/>
    <w:rPr>
      <w:rFonts w:ascii="Arial" w:hAnsi="Arial" w:eastAsia="Times New Roman"/>
      <w:szCs w:val="21"/>
    </w:rPr>
  </w:style>
  <w:style w:type="paragraph" w:customStyle="1" w:styleId="626">
    <w:name w:val="cucd-TB"/>
    <w:link w:val="625"/>
    <w:autoRedefine/>
    <w:qFormat/>
    <w:uiPriority w:val="0"/>
    <w:pPr>
      <w:jc w:val="center"/>
    </w:pPr>
    <w:rPr>
      <w:rFonts w:ascii="Arial" w:hAnsi="Arial" w:eastAsia="Times New Roman" w:cstheme="minorBidi"/>
      <w:kern w:val="2"/>
      <w:sz w:val="21"/>
      <w:szCs w:val="21"/>
      <w:lang w:val="en-US" w:eastAsia="zh-CN" w:bidi="ar-SA"/>
    </w:rPr>
  </w:style>
  <w:style w:type="character" w:customStyle="1" w:styleId="627">
    <w:name w:val="main11"/>
    <w:autoRedefine/>
    <w:qFormat/>
    <w:uiPriority w:val="0"/>
    <w:rPr>
      <w:sz w:val="30"/>
      <w:szCs w:val="30"/>
    </w:rPr>
  </w:style>
  <w:style w:type="character" w:customStyle="1" w:styleId="628">
    <w:name w:val="style91"/>
    <w:autoRedefine/>
    <w:qFormat/>
    <w:uiPriority w:val="0"/>
    <w:rPr>
      <w:sz w:val="21"/>
      <w:szCs w:val="21"/>
    </w:rPr>
  </w:style>
  <w:style w:type="character" w:customStyle="1" w:styleId="629">
    <w:name w:val="Char Char29"/>
    <w:autoRedefine/>
    <w:qFormat/>
    <w:uiPriority w:val="0"/>
    <w:rPr>
      <w:rFonts w:ascii="Arial" w:hAnsi="Arial" w:eastAsia="黑体"/>
      <w:spacing w:val="8"/>
      <w:sz w:val="30"/>
      <w:lang w:val="en-US" w:eastAsia="zh-CN" w:bidi="ar-SA"/>
    </w:rPr>
  </w:style>
  <w:style w:type="character" w:customStyle="1" w:styleId="630">
    <w:name w:val="Char Char24"/>
    <w:autoRedefine/>
    <w:qFormat/>
    <w:uiPriority w:val="0"/>
    <w:rPr>
      <w:rFonts w:ascii="仿宋_GB2312" w:eastAsia="仿宋_GB2312"/>
      <w:kern w:val="2"/>
      <w:sz w:val="28"/>
      <w:lang w:val="en-US" w:eastAsia="zh-CN" w:bidi="ar-SA"/>
    </w:rPr>
  </w:style>
  <w:style w:type="character" w:customStyle="1" w:styleId="631">
    <w:name w:val="正文文字 2 Char Char3"/>
    <w:autoRedefine/>
    <w:qFormat/>
    <w:uiPriority w:val="0"/>
    <w:rPr>
      <w:rFonts w:eastAsia="楷体_GB2312"/>
      <w:spacing w:val="8"/>
      <w:sz w:val="28"/>
      <w:lang w:val="en-US" w:eastAsia="zh-CN" w:bidi="ar-SA"/>
    </w:rPr>
  </w:style>
  <w:style w:type="character" w:customStyle="1" w:styleId="632">
    <w:name w:val="12pix1"/>
    <w:autoRedefine/>
    <w:qFormat/>
    <w:uiPriority w:val="0"/>
    <w:rPr>
      <w:color w:val="000000"/>
      <w:sz w:val="14"/>
      <w:szCs w:val="14"/>
      <w:u w:val="none"/>
    </w:rPr>
  </w:style>
  <w:style w:type="character" w:customStyle="1" w:styleId="633">
    <w:name w:val="style13"/>
    <w:basedOn w:val="94"/>
    <w:autoRedefine/>
    <w:qFormat/>
    <w:uiPriority w:val="0"/>
  </w:style>
  <w:style w:type="character" w:customStyle="1" w:styleId="634">
    <w:name w:val="Char Char14"/>
    <w:autoRedefine/>
    <w:qFormat/>
    <w:uiPriority w:val="0"/>
    <w:rPr>
      <w:rFonts w:eastAsia="楷体_GB2312"/>
      <w:spacing w:val="8"/>
      <w:sz w:val="28"/>
    </w:rPr>
  </w:style>
  <w:style w:type="character" w:customStyle="1" w:styleId="635">
    <w:name w:val="正文2 Char Char"/>
    <w:link w:val="636"/>
    <w:autoRedefine/>
    <w:qFormat/>
    <w:uiPriority w:val="0"/>
    <w:rPr>
      <w:rFonts w:eastAsia="宋体"/>
      <w:spacing w:val="8"/>
      <w:sz w:val="28"/>
    </w:rPr>
  </w:style>
  <w:style w:type="paragraph" w:customStyle="1" w:styleId="636">
    <w:name w:val="正文2"/>
    <w:basedOn w:val="1"/>
    <w:link w:val="635"/>
    <w:autoRedefine/>
    <w:qFormat/>
    <w:uiPriority w:val="0"/>
    <w:pPr>
      <w:adjustRightInd w:val="0"/>
      <w:spacing w:line="400" w:lineRule="exact"/>
      <w:ind w:firstLine="601"/>
      <w:textAlignment w:val="baseline"/>
    </w:pPr>
    <w:rPr>
      <w:rFonts w:asciiTheme="minorHAnsi" w:hAnsiTheme="minorHAnsi" w:cstheme="minorBidi"/>
      <w:spacing w:val="8"/>
      <w:sz w:val="28"/>
      <w:szCs w:val="22"/>
    </w:rPr>
  </w:style>
  <w:style w:type="character" w:customStyle="1" w:styleId="637">
    <w:name w:val="color_huei1"/>
    <w:autoRedefine/>
    <w:qFormat/>
    <w:uiPriority w:val="0"/>
    <w:rPr>
      <w:color w:val="666666"/>
    </w:rPr>
  </w:style>
  <w:style w:type="character" w:customStyle="1" w:styleId="638">
    <w:name w:val="hover22"/>
    <w:autoRedefine/>
    <w:qFormat/>
    <w:uiPriority w:val="0"/>
    <w:rPr>
      <w:color w:val="FF4300"/>
    </w:rPr>
  </w:style>
  <w:style w:type="character" w:customStyle="1" w:styleId="639">
    <w:name w:val="正文文字缩进 2 Char Char4"/>
    <w:autoRedefine/>
    <w:qFormat/>
    <w:uiPriority w:val="0"/>
    <w:rPr>
      <w:rFonts w:ascii="宋体" w:eastAsia="宋体"/>
      <w:kern w:val="2"/>
      <w:sz w:val="28"/>
      <w:lang w:val="en-US" w:eastAsia="zh-CN" w:bidi="ar-SA"/>
    </w:rPr>
  </w:style>
  <w:style w:type="character" w:customStyle="1" w:styleId="640">
    <w:name w:val="标题 3 Char Char Char Char Char Char Char Char Char Char Char Char Char Char Char Char Char Char Char Char Char Char Char Char Char Char Char Char Char Char Char Char Char Char Char Char"/>
    <w:autoRedefine/>
    <w:qFormat/>
    <w:uiPriority w:val="0"/>
    <w:rPr>
      <w:rFonts w:ascii="Verdana" w:hAnsi="Verdana" w:eastAsia="宋体"/>
      <w:b/>
      <w:bCs/>
      <w:kern w:val="2"/>
      <w:sz w:val="32"/>
      <w:szCs w:val="32"/>
      <w:lang w:val="en-US" w:eastAsia="zh-CN" w:bidi="ar-SA"/>
    </w:rPr>
  </w:style>
  <w:style w:type="character" w:customStyle="1" w:styleId="641">
    <w:name w:val="电子邮件签名 Char1"/>
    <w:basedOn w:val="94"/>
    <w:autoRedefine/>
    <w:qFormat/>
    <w:uiPriority w:val="0"/>
  </w:style>
  <w:style w:type="character" w:customStyle="1" w:styleId="642">
    <w:name w:val="style61"/>
    <w:autoRedefine/>
    <w:qFormat/>
    <w:uiPriority w:val="0"/>
    <w:rPr>
      <w:b/>
      <w:bCs/>
      <w:color w:val="3333FF"/>
      <w:sz w:val="22"/>
      <w:szCs w:val="22"/>
    </w:rPr>
  </w:style>
  <w:style w:type="character" w:customStyle="1" w:styleId="643">
    <w:name w:val="Heading 6 Char"/>
    <w:autoRedefine/>
    <w:qFormat/>
    <w:uiPriority w:val="0"/>
    <w:rPr>
      <w:rFonts w:ascii="Cambria" w:hAnsi="Cambria" w:eastAsia="宋体"/>
      <w:b/>
      <w:bCs/>
      <w:kern w:val="2"/>
      <w:sz w:val="24"/>
      <w:szCs w:val="24"/>
      <w:lang w:val="en-US" w:eastAsia="zh-CN" w:bidi="ar-SA"/>
    </w:rPr>
  </w:style>
  <w:style w:type="character" w:customStyle="1" w:styleId="644">
    <w:name w:val="Char Char44"/>
    <w:autoRedefine/>
    <w:qFormat/>
    <w:uiPriority w:val="0"/>
    <w:rPr>
      <w:rFonts w:ascii="Arial" w:hAnsi="Arial" w:cs="Arial"/>
      <w:b/>
      <w:bCs/>
      <w:sz w:val="48"/>
      <w:szCs w:val="32"/>
      <w:lang w:val="de-DE"/>
    </w:rPr>
  </w:style>
  <w:style w:type="character" w:customStyle="1" w:styleId="645">
    <w:name w:val="宋体 小四 Char"/>
    <w:link w:val="646"/>
    <w:autoRedefine/>
    <w:qFormat/>
    <w:uiPriority w:val="0"/>
    <w:rPr>
      <w:rFonts w:hAnsi="宋体" w:eastAsia="宋体"/>
      <w:sz w:val="24"/>
      <w:szCs w:val="24"/>
    </w:rPr>
  </w:style>
  <w:style w:type="paragraph" w:customStyle="1" w:styleId="646">
    <w:name w:val="宋体 小四"/>
    <w:basedOn w:val="1"/>
    <w:link w:val="645"/>
    <w:autoRedefine/>
    <w:qFormat/>
    <w:uiPriority w:val="0"/>
    <w:pPr>
      <w:spacing w:line="360" w:lineRule="auto"/>
      <w:ind w:firstLine="200" w:firstLineChars="200"/>
    </w:pPr>
    <w:rPr>
      <w:rFonts w:hAnsi="宋体" w:asciiTheme="minorHAnsi" w:cstheme="minorBidi"/>
      <w:sz w:val="24"/>
    </w:rPr>
  </w:style>
  <w:style w:type="character" w:customStyle="1" w:styleId="647">
    <w:name w:val="txtcontent1"/>
    <w:basedOn w:val="94"/>
    <w:autoRedefine/>
    <w:qFormat/>
    <w:uiPriority w:val="0"/>
  </w:style>
  <w:style w:type="character" w:customStyle="1" w:styleId="648">
    <w:name w:val="3zw1"/>
    <w:autoRedefine/>
    <w:qFormat/>
    <w:uiPriority w:val="0"/>
    <w:rPr>
      <w:color w:val="000000"/>
      <w:sz w:val="21"/>
      <w:szCs w:val="21"/>
    </w:rPr>
  </w:style>
  <w:style w:type="character" w:customStyle="1" w:styleId="649">
    <w:name w:val="t-w2"/>
    <w:basedOn w:val="94"/>
    <w:autoRedefine/>
    <w:qFormat/>
    <w:uiPriority w:val="0"/>
  </w:style>
  <w:style w:type="character" w:customStyle="1" w:styleId="650">
    <w:name w:val="WW8Num18z0"/>
    <w:autoRedefine/>
    <w:qFormat/>
    <w:uiPriority w:val="0"/>
    <w:rPr>
      <w:rFonts w:ascii="Wingdings" w:hAnsi="Wingdings"/>
    </w:rPr>
  </w:style>
  <w:style w:type="character" w:customStyle="1" w:styleId="651">
    <w:name w:val="style391"/>
    <w:autoRedefine/>
    <w:qFormat/>
    <w:uiPriority w:val="0"/>
    <w:rPr>
      <w:b/>
      <w:bCs/>
      <w:color w:val="005984"/>
      <w:sz w:val="18"/>
      <w:szCs w:val="18"/>
    </w:rPr>
  </w:style>
  <w:style w:type="character" w:customStyle="1" w:styleId="652">
    <w:name w:val="rd style23"/>
    <w:basedOn w:val="94"/>
    <w:autoRedefine/>
    <w:qFormat/>
    <w:uiPriority w:val="0"/>
  </w:style>
  <w:style w:type="character" w:customStyle="1" w:styleId="653">
    <w:name w:val="表蕊 Char Char Char"/>
    <w:autoRedefine/>
    <w:qFormat/>
    <w:uiPriority w:val="0"/>
    <w:rPr>
      <w:rFonts w:eastAsia="楷体_GB2312"/>
      <w:spacing w:val="-10"/>
      <w:sz w:val="21"/>
      <w:lang w:val="en-US" w:eastAsia="zh-CN" w:bidi="ar-SA"/>
    </w:rPr>
  </w:style>
  <w:style w:type="character" w:customStyle="1" w:styleId="654">
    <w:name w:val="detail1"/>
    <w:autoRedefine/>
    <w:qFormat/>
    <w:uiPriority w:val="0"/>
    <w:rPr>
      <w:rFonts w:hint="default" w:ascii="ˎ̥" w:hAnsi="ˎ̥"/>
      <w:sz w:val="23"/>
      <w:szCs w:val="23"/>
      <w:u w:val="none"/>
    </w:rPr>
  </w:style>
  <w:style w:type="character" w:customStyle="1" w:styleId="655">
    <w:name w:val="样式 样式 表格标题 + 首行缩进:  2 字符 + 红色 Char Char Char"/>
    <w:autoRedefine/>
    <w:qFormat/>
    <w:uiPriority w:val="0"/>
    <w:rPr>
      <w:rFonts w:eastAsia="汉鼎简特宋" w:cs="宋体"/>
      <w:sz w:val="24"/>
      <w:szCs w:val="24"/>
      <w:lang w:val="en-US" w:eastAsia="zh-CN" w:bidi="ar-SA"/>
    </w:rPr>
  </w:style>
  <w:style w:type="character" w:customStyle="1" w:styleId="656">
    <w:name w:val="t61"/>
    <w:autoRedefine/>
    <w:qFormat/>
    <w:uiPriority w:val="0"/>
    <w:rPr>
      <w:rFonts w:hint="eastAsia" w:ascii="宋体" w:hAnsi="宋体" w:eastAsia="宋体"/>
      <w:color w:val="BDBDBD"/>
      <w:sz w:val="18"/>
      <w:szCs w:val="18"/>
    </w:rPr>
  </w:style>
  <w:style w:type="character" w:customStyle="1" w:styleId="657">
    <w:name w:val="Char Char17"/>
    <w:autoRedefine/>
    <w:qFormat/>
    <w:uiPriority w:val="0"/>
    <w:rPr>
      <w:rFonts w:eastAsia="楷体_GB2312"/>
      <w:sz w:val="21"/>
      <w:lang w:val="en-US" w:eastAsia="zh-CN" w:bidi="ar-SA"/>
    </w:rPr>
  </w:style>
  <w:style w:type="character" w:customStyle="1" w:styleId="658">
    <w:name w:val="CM2 Char Char"/>
    <w:autoRedefine/>
    <w:qFormat/>
    <w:uiPriority w:val="0"/>
    <w:rPr>
      <w:rFonts w:ascii="..ì." w:eastAsia="..ì." w:cs="..ì."/>
      <w:color w:val="000000"/>
      <w:sz w:val="24"/>
      <w:szCs w:val="24"/>
      <w:lang w:val="en-US" w:eastAsia="zh-CN" w:bidi="ar-SA"/>
    </w:rPr>
  </w:style>
  <w:style w:type="character" w:customStyle="1" w:styleId="659">
    <w:name w:val="flc"/>
    <w:basedOn w:val="94"/>
    <w:autoRedefine/>
    <w:qFormat/>
    <w:uiPriority w:val="0"/>
  </w:style>
  <w:style w:type="character" w:customStyle="1" w:styleId="660">
    <w:name w:val="articlebody3"/>
    <w:autoRedefine/>
    <w:qFormat/>
    <w:uiPriority w:val="0"/>
    <w:rPr>
      <w:sz w:val="21"/>
      <w:szCs w:val="21"/>
    </w:rPr>
  </w:style>
  <w:style w:type="character" w:customStyle="1" w:styleId="661">
    <w:name w:val="Level 3 - (i) Char Char"/>
    <w:autoRedefine/>
    <w:qFormat/>
    <w:uiPriority w:val="0"/>
    <w:rPr>
      <w:rFonts w:ascii="Times New Roman" w:hAnsi="Times New Roman" w:eastAsia="宋体" w:cs="Times New Roman"/>
      <w:kern w:val="0"/>
      <w:sz w:val="24"/>
      <w:szCs w:val="20"/>
      <w:lang w:val="en-AU"/>
    </w:rPr>
  </w:style>
  <w:style w:type="character" w:customStyle="1" w:styleId="662">
    <w:name w:val="infodetail11"/>
    <w:autoRedefine/>
    <w:qFormat/>
    <w:uiPriority w:val="0"/>
    <w:rPr>
      <w:sz w:val="24"/>
      <w:szCs w:val="24"/>
    </w:rPr>
  </w:style>
  <w:style w:type="character" w:customStyle="1" w:styleId="663">
    <w:name w:val="sub-dash Char"/>
    <w:autoRedefine/>
    <w:qFormat/>
    <w:uiPriority w:val="0"/>
    <w:rPr>
      <w:rFonts w:ascii="Arial" w:hAnsi="Arial" w:eastAsia="黑体"/>
      <w:b/>
      <w:spacing w:val="8"/>
      <w:sz w:val="24"/>
      <w:lang w:val="en-US" w:eastAsia="zh-CN" w:bidi="ar-SA"/>
    </w:rPr>
  </w:style>
  <w:style w:type="character" w:customStyle="1" w:styleId="664">
    <w:name w:val="bds_more1"/>
    <w:autoRedefine/>
    <w:qFormat/>
    <w:uiPriority w:val="0"/>
    <w:rPr>
      <w:rFonts w:hint="eastAsia" w:ascii="宋体" w:hAnsi="宋体" w:eastAsia="宋体"/>
    </w:rPr>
  </w:style>
  <w:style w:type="character" w:customStyle="1" w:styleId="665">
    <w:name w:val="Body Text(ch) Char1"/>
    <w:autoRedefine/>
    <w:qFormat/>
    <w:uiPriority w:val="0"/>
    <w:rPr>
      <w:rFonts w:eastAsia="楷体_GB2312"/>
      <w:spacing w:val="8"/>
      <w:sz w:val="28"/>
      <w:lang w:val="en-US" w:eastAsia="zh-CN" w:bidi="ar-SA"/>
    </w:rPr>
  </w:style>
  <w:style w:type="character" w:customStyle="1" w:styleId="666">
    <w:name w:val="txt11"/>
    <w:autoRedefine/>
    <w:qFormat/>
    <w:uiPriority w:val="0"/>
    <w:rPr>
      <w:sz w:val="28"/>
      <w:szCs w:val="28"/>
      <w:u w:val="none"/>
    </w:rPr>
  </w:style>
  <w:style w:type="character" w:customStyle="1" w:styleId="667">
    <w:name w:val="标题 5 Char"/>
    <w:autoRedefine/>
    <w:qFormat/>
    <w:uiPriority w:val="9"/>
    <w:rPr>
      <w:rFonts w:eastAsia="楷体_GB2312"/>
      <w:b/>
      <w:spacing w:val="8"/>
      <w:sz w:val="28"/>
      <w:lang w:val="en-US" w:eastAsia="zh-CN" w:bidi="ar-SA"/>
    </w:rPr>
  </w:style>
  <w:style w:type="character" w:customStyle="1" w:styleId="668">
    <w:name w:val="正文 Char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eastAsia="宋体" w:cs="宋体"/>
      <w:kern w:val="24"/>
      <w:sz w:val="24"/>
      <w:szCs w:val="24"/>
      <w:lang w:val="en-US" w:eastAsia="zh-CN" w:bidi="ar-SA"/>
    </w:rPr>
  </w:style>
  <w:style w:type="character" w:customStyle="1" w:styleId="669">
    <w:name w:val="正文B Char Char Char"/>
    <w:autoRedefine/>
    <w:qFormat/>
    <w:uiPriority w:val="0"/>
    <w:rPr>
      <w:rFonts w:eastAsia="楷体_GB2312"/>
      <w:spacing w:val="8"/>
      <w:sz w:val="28"/>
      <w:lang w:val="en-US" w:eastAsia="zh-CN" w:bidi="ar-SA"/>
    </w:rPr>
  </w:style>
  <w:style w:type="character" w:customStyle="1" w:styleId="670">
    <w:name w:val="pwl614"/>
    <w:basedOn w:val="94"/>
    <w:autoRedefine/>
    <w:qFormat/>
    <w:uiPriority w:val="0"/>
  </w:style>
  <w:style w:type="character" w:customStyle="1" w:styleId="671">
    <w:name w:val="明显强调1"/>
    <w:autoRedefine/>
    <w:qFormat/>
    <w:uiPriority w:val="0"/>
    <w:rPr>
      <w:b/>
      <w:bCs/>
      <w:i/>
      <w:iCs/>
      <w:color w:val="4F81BD"/>
    </w:rPr>
  </w:style>
  <w:style w:type="character" w:customStyle="1" w:styleId="672">
    <w:name w:val="正文3 Char Char"/>
    <w:autoRedefine/>
    <w:qFormat/>
    <w:uiPriority w:val="0"/>
    <w:rPr>
      <w:rFonts w:eastAsia="宋体"/>
      <w:sz w:val="30"/>
      <w:lang w:val="en-US" w:eastAsia="zh-CN" w:bidi="ar-SA"/>
    </w:rPr>
  </w:style>
  <w:style w:type="character" w:customStyle="1" w:styleId="673">
    <w:name w:val="样式 2 Char Char"/>
    <w:link w:val="674"/>
    <w:autoRedefine/>
    <w:qFormat/>
    <w:uiPriority w:val="0"/>
    <w:rPr>
      <w:rFonts w:ascii="宋体" w:hAnsi="宋体" w:eastAsia="黑体"/>
      <w:b/>
      <w:sz w:val="32"/>
      <w:szCs w:val="30"/>
    </w:rPr>
  </w:style>
  <w:style w:type="paragraph" w:customStyle="1" w:styleId="674">
    <w:name w:val="样式 2"/>
    <w:basedOn w:val="7"/>
    <w:link w:val="673"/>
    <w:autoRedefine/>
    <w:qFormat/>
    <w:uiPriority w:val="0"/>
    <w:pPr>
      <w:keepNext w:val="0"/>
      <w:widowControl/>
      <w:tabs>
        <w:tab w:val="left" w:pos="903"/>
      </w:tabs>
      <w:spacing w:before="0" w:after="0" w:line="360" w:lineRule="auto"/>
      <w:ind w:left="0"/>
      <w:jc w:val="center"/>
      <w:outlineLvl w:val="1"/>
    </w:pPr>
    <w:rPr>
      <w:rFonts w:ascii="宋体" w:hAnsi="宋体" w:eastAsia="黑体" w:cstheme="minorBidi"/>
      <w:bCs w:val="0"/>
      <w:sz w:val="32"/>
      <w:szCs w:val="30"/>
    </w:rPr>
  </w:style>
  <w:style w:type="character" w:customStyle="1" w:styleId="675">
    <w:name w:val="mynetcnframeb2"/>
    <w:autoRedefine/>
    <w:qFormat/>
    <w:uiPriority w:val="0"/>
    <w:rPr>
      <w:color w:val="202020"/>
      <w:sz w:val="18"/>
      <w:szCs w:val="18"/>
    </w:rPr>
  </w:style>
  <w:style w:type="character" w:customStyle="1" w:styleId="676">
    <w:name w:val="st1"/>
    <w:basedOn w:val="94"/>
    <w:autoRedefine/>
    <w:qFormat/>
    <w:uiPriority w:val="0"/>
  </w:style>
  <w:style w:type="character" w:customStyle="1" w:styleId="677">
    <w:name w:val="大章节 Char Char Char"/>
    <w:basedOn w:val="359"/>
    <w:autoRedefine/>
    <w:qFormat/>
    <w:uiPriority w:val="0"/>
    <w:rPr>
      <w:rFonts w:eastAsia="宋体"/>
      <w:kern w:val="2"/>
      <w:sz w:val="32"/>
      <w:szCs w:val="32"/>
      <w:lang w:val="en-US" w:eastAsia="zh-CN" w:bidi="ar-SA"/>
    </w:rPr>
  </w:style>
  <w:style w:type="character" w:customStyle="1" w:styleId="678">
    <w:name w:val="样式 表蕊 Char Char Char"/>
    <w:autoRedefine/>
    <w:qFormat/>
    <w:uiPriority w:val="0"/>
    <w:rPr>
      <w:rFonts w:hAnsi="宋体" w:eastAsia="宋体" w:cs="宋体"/>
      <w:spacing w:val="-10"/>
      <w:sz w:val="18"/>
      <w:szCs w:val="18"/>
      <w:lang w:val="en-US" w:eastAsia="zh-CN" w:bidi="ar-SA"/>
    </w:rPr>
  </w:style>
  <w:style w:type="character" w:customStyle="1" w:styleId="679">
    <w:name w:val="dgreyh181"/>
    <w:autoRedefine/>
    <w:qFormat/>
    <w:uiPriority w:val="0"/>
    <w:rPr>
      <w:rFonts w:hint="default" w:ascii="Arial" w:hAnsi="Arial" w:cs="Arial"/>
      <w:color w:val="8D8D8D"/>
      <w:sz w:val="18"/>
      <w:szCs w:val="18"/>
      <w:u w:val="none"/>
    </w:rPr>
  </w:style>
  <w:style w:type="character" w:customStyle="1" w:styleId="680">
    <w:name w:val="页眉1 Char"/>
    <w:autoRedefine/>
    <w:qFormat/>
    <w:uiPriority w:val="0"/>
    <w:rPr>
      <w:rFonts w:eastAsia="长城粗隶书"/>
      <w:sz w:val="21"/>
      <w:lang w:val="en-US" w:eastAsia="zh-CN" w:bidi="ar-SA"/>
    </w:rPr>
  </w:style>
  <w:style w:type="character" w:customStyle="1" w:styleId="681">
    <w:name w:val="px141"/>
    <w:autoRedefine/>
    <w:qFormat/>
    <w:uiPriority w:val="0"/>
    <w:rPr>
      <w:rFonts w:hint="default" w:ascii="ˎ̥" w:hAnsi="ˎ̥"/>
      <w:sz w:val="21"/>
      <w:szCs w:val="21"/>
    </w:rPr>
  </w:style>
  <w:style w:type="character" w:customStyle="1" w:styleId="682">
    <w:name w:val="PI Char1"/>
    <w:autoRedefine/>
    <w:qFormat/>
    <w:uiPriority w:val="0"/>
    <w:rPr>
      <w:rFonts w:eastAsia="文鼎中楷繁"/>
      <w:sz w:val="18"/>
      <w:lang w:val="en-US" w:eastAsia="zh-CN" w:bidi="ar-SA"/>
    </w:rPr>
  </w:style>
  <w:style w:type="character" w:customStyle="1" w:styleId="683">
    <w:name w:val="图表文字 Char Char Char"/>
    <w:autoRedefine/>
    <w:qFormat/>
    <w:uiPriority w:val="0"/>
    <w:rPr>
      <w:rFonts w:eastAsia="仿宋_GB2312"/>
      <w:kern w:val="2"/>
      <w:sz w:val="21"/>
      <w:szCs w:val="21"/>
      <w:lang w:val="en-US" w:eastAsia="zh-CN" w:bidi="ar-SA"/>
    </w:rPr>
  </w:style>
  <w:style w:type="character" w:customStyle="1" w:styleId="684">
    <w:name w:val="style39"/>
    <w:basedOn w:val="94"/>
    <w:autoRedefine/>
    <w:qFormat/>
    <w:uiPriority w:val="0"/>
  </w:style>
  <w:style w:type="character" w:customStyle="1" w:styleId="685">
    <w:name w:val="font_b1"/>
    <w:autoRedefine/>
    <w:qFormat/>
    <w:uiPriority w:val="0"/>
    <w:rPr>
      <w:rFonts w:hint="default" w:ascii="Arial" w:hAnsi="Arial" w:cs="Arial"/>
      <w:b/>
      <w:bCs/>
      <w:color w:val="000000"/>
      <w:sz w:val="20"/>
      <w:szCs w:val="20"/>
      <w:u w:val="none"/>
    </w:rPr>
  </w:style>
  <w:style w:type="character" w:customStyle="1" w:styleId="686">
    <w:name w:val="第五层条 Char3"/>
    <w:autoRedefine/>
    <w:qFormat/>
    <w:uiPriority w:val="0"/>
    <w:rPr>
      <w:rFonts w:ascii="Arial" w:hAnsi="Arial" w:eastAsia="宋体"/>
      <w:bCs/>
      <w:kern w:val="2"/>
      <w:sz w:val="24"/>
      <w:szCs w:val="24"/>
      <w:lang w:val="en-US" w:eastAsia="zh-CN" w:bidi="ar-SA"/>
    </w:rPr>
  </w:style>
  <w:style w:type="character" w:customStyle="1" w:styleId="687">
    <w:name w:val="明显引用 Char1"/>
    <w:autoRedefine/>
    <w:qFormat/>
    <w:uiPriority w:val="0"/>
    <w:rPr>
      <w:b/>
      <w:bCs/>
      <w:i/>
      <w:iCs/>
      <w:color w:val="4F81BD"/>
    </w:rPr>
  </w:style>
  <w:style w:type="character" w:customStyle="1" w:styleId="688">
    <w:name w:val="cucd-TB Char Char Char"/>
    <w:autoRedefine/>
    <w:qFormat/>
    <w:uiPriority w:val="0"/>
    <w:rPr>
      <w:rFonts w:ascii="Arial" w:hAnsi="Arial"/>
      <w:kern w:val="2"/>
      <w:sz w:val="21"/>
      <w:szCs w:val="21"/>
      <w:lang w:val="en-US" w:eastAsia="zh-CN" w:bidi="ar-SA"/>
    </w:rPr>
  </w:style>
  <w:style w:type="character" w:customStyle="1" w:styleId="689">
    <w:name w:val="word1"/>
    <w:autoRedefine/>
    <w:qFormat/>
    <w:uiPriority w:val="0"/>
    <w:rPr>
      <w:sz w:val="20"/>
      <w:szCs w:val="20"/>
    </w:rPr>
  </w:style>
  <w:style w:type="character" w:customStyle="1" w:styleId="690">
    <w:name w:val="1.1 Char Char"/>
    <w:autoRedefine/>
    <w:qFormat/>
    <w:uiPriority w:val="0"/>
    <w:rPr>
      <w:rFonts w:eastAsia="仿宋_GB2312"/>
      <w:kern w:val="2"/>
      <w:sz w:val="24"/>
      <w:szCs w:val="24"/>
      <w:lang w:val="en-US" w:eastAsia="zh-CN" w:bidi="ar-SA"/>
    </w:rPr>
  </w:style>
  <w:style w:type="character" w:customStyle="1" w:styleId="691">
    <w:name w:val="H8 Char Char"/>
    <w:autoRedefine/>
    <w:qFormat/>
    <w:uiPriority w:val="0"/>
    <w:rPr>
      <w:rFonts w:ascii="Arial" w:hAnsi="Arial" w:eastAsia="黑体"/>
      <w:spacing w:val="8"/>
      <w:sz w:val="24"/>
      <w:lang w:val="en-US" w:eastAsia="zh-CN" w:bidi="ar-SA"/>
    </w:rPr>
  </w:style>
  <w:style w:type="character" w:customStyle="1" w:styleId="692">
    <w:name w:val="da"/>
    <w:basedOn w:val="94"/>
    <w:autoRedefine/>
    <w:qFormat/>
    <w:uiPriority w:val="0"/>
  </w:style>
  <w:style w:type="character" w:customStyle="1" w:styleId="693">
    <w:name w:val="Hyperlink1"/>
    <w:autoRedefine/>
    <w:qFormat/>
    <w:uiPriority w:val="0"/>
    <w:rPr>
      <w:rFonts w:ascii="Verdana" w:hAnsi="Verdana" w:eastAsia="宋体"/>
      <w:color w:val="0000FF"/>
      <w:szCs w:val="21"/>
      <w:u w:val="single"/>
      <w:lang w:val="en-US" w:eastAsia="en-US" w:bidi="ar-SA"/>
    </w:rPr>
  </w:style>
  <w:style w:type="character" w:customStyle="1" w:styleId="694">
    <w:name w:val="style151"/>
    <w:autoRedefine/>
    <w:qFormat/>
    <w:uiPriority w:val="0"/>
    <w:rPr>
      <w:color w:val="FF0000"/>
      <w:sz w:val="27"/>
      <w:szCs w:val="27"/>
    </w:rPr>
  </w:style>
  <w:style w:type="character" w:customStyle="1" w:styleId="695">
    <w:name w:val="a11"/>
    <w:autoRedefine/>
    <w:qFormat/>
    <w:uiPriority w:val="0"/>
    <w:rPr>
      <w:rFonts w:hint="default"/>
      <w:color w:val="000000"/>
      <w:sz w:val="18"/>
      <w:szCs w:val="18"/>
      <w:u w:val="none"/>
    </w:rPr>
  </w:style>
  <w:style w:type="character" w:customStyle="1" w:styleId="696">
    <w:name w:val="red181"/>
    <w:autoRedefine/>
    <w:qFormat/>
    <w:uiPriority w:val="0"/>
    <w:rPr>
      <w:rFonts w:hint="default" w:ascii="ˎ̥" w:hAnsi="ˎ̥"/>
      <w:b/>
      <w:bCs/>
      <w:color w:val="790000"/>
      <w:sz w:val="27"/>
      <w:szCs w:val="27"/>
    </w:rPr>
  </w:style>
  <w:style w:type="character" w:customStyle="1" w:styleId="697">
    <w:name w:val="p1501"/>
    <w:basedOn w:val="94"/>
    <w:autoRedefine/>
    <w:qFormat/>
    <w:uiPriority w:val="0"/>
  </w:style>
  <w:style w:type="character" w:customStyle="1" w:styleId="698">
    <w:name w:val="vxh782"/>
    <w:basedOn w:val="94"/>
    <w:autoRedefine/>
    <w:qFormat/>
    <w:uiPriority w:val="0"/>
  </w:style>
  <w:style w:type="character" w:customStyle="1" w:styleId="699">
    <w:name w:val="li_hg1"/>
    <w:basedOn w:val="94"/>
    <w:autoRedefine/>
    <w:qFormat/>
    <w:uiPriority w:val="0"/>
  </w:style>
  <w:style w:type="character" w:customStyle="1" w:styleId="700">
    <w:name w:val="标题3 Char Char"/>
    <w:link w:val="701"/>
    <w:autoRedefine/>
    <w:qFormat/>
    <w:uiPriority w:val="0"/>
    <w:rPr>
      <w:rFonts w:hAnsi="宋体"/>
      <w:b/>
      <w:spacing w:val="8"/>
      <w:sz w:val="28"/>
      <w:szCs w:val="21"/>
    </w:rPr>
  </w:style>
  <w:style w:type="paragraph" w:customStyle="1" w:styleId="701">
    <w:name w:val="标题3"/>
    <w:basedOn w:val="7"/>
    <w:link w:val="700"/>
    <w:autoRedefine/>
    <w:qFormat/>
    <w:uiPriority w:val="0"/>
    <w:pPr>
      <w:keepNext w:val="0"/>
      <w:widowControl/>
      <w:tabs>
        <w:tab w:val="left" w:pos="903"/>
      </w:tabs>
      <w:spacing w:before="0" w:after="0" w:line="360" w:lineRule="auto"/>
      <w:ind w:left="0" w:firstLine="594" w:firstLineChars="200"/>
      <w:outlineLvl w:val="2"/>
    </w:pPr>
    <w:rPr>
      <w:rFonts w:hAnsi="宋体" w:asciiTheme="minorHAnsi" w:eastAsiaTheme="minorEastAsia" w:cstheme="minorBidi"/>
      <w:bCs w:val="0"/>
      <w:spacing w:val="8"/>
      <w:szCs w:val="21"/>
    </w:rPr>
  </w:style>
  <w:style w:type="character" w:customStyle="1" w:styleId="702">
    <w:name w:val="明显引用 Char"/>
    <w:link w:val="703"/>
    <w:autoRedefine/>
    <w:qFormat/>
    <w:uiPriority w:val="0"/>
    <w:rPr>
      <w:rFonts w:eastAsia="方正仿宋_GBK"/>
      <w:b/>
      <w:bCs/>
      <w:i/>
      <w:iCs/>
      <w:snapToGrid w:val="0"/>
      <w:color w:val="4F81BD"/>
    </w:rPr>
  </w:style>
  <w:style w:type="paragraph" w:styleId="703">
    <w:name w:val="Intense Quote"/>
    <w:basedOn w:val="1"/>
    <w:next w:val="1"/>
    <w:link w:val="702"/>
    <w:autoRedefine/>
    <w:qFormat/>
    <w:uiPriority w:val="0"/>
    <w:pPr>
      <w:pBdr>
        <w:bottom w:val="single" w:color="4F81BD" w:sz="4" w:space="4"/>
      </w:pBdr>
      <w:autoSpaceDE w:val="0"/>
      <w:autoSpaceDN w:val="0"/>
      <w:snapToGrid w:val="0"/>
      <w:spacing w:before="200" w:after="280" w:line="590" w:lineRule="atLeast"/>
      <w:ind w:left="936" w:right="936" w:firstLine="624"/>
    </w:pPr>
    <w:rPr>
      <w:rFonts w:eastAsia="方正仿宋_GBK" w:asciiTheme="minorHAnsi" w:hAnsiTheme="minorHAnsi" w:cstheme="minorBidi"/>
      <w:b/>
      <w:bCs/>
      <w:i/>
      <w:iCs/>
      <w:snapToGrid w:val="0"/>
      <w:color w:val="4F81BD"/>
      <w:szCs w:val="22"/>
    </w:rPr>
  </w:style>
  <w:style w:type="character" w:customStyle="1" w:styleId="704">
    <w:name w:val="明显引用 字符1"/>
    <w:basedOn w:val="94"/>
    <w:autoRedefine/>
    <w:qFormat/>
    <w:uiPriority w:val="30"/>
    <w:rPr>
      <w:rFonts w:ascii="Times New Roman" w:hAnsi="Times New Roman" w:eastAsia="宋体" w:cs="Times New Roman"/>
      <w:i/>
      <w:iCs/>
      <w:color w:val="5B9BD5" w:themeColor="accent1"/>
      <w:szCs w:val="24"/>
      <w14:textFill>
        <w14:solidFill>
          <w14:schemeClr w14:val="accent1"/>
        </w14:solidFill>
      </w14:textFill>
    </w:rPr>
  </w:style>
  <w:style w:type="character" w:customStyle="1" w:styleId="705">
    <w:name w:val="表蕊 Char Char"/>
    <w:autoRedefine/>
    <w:qFormat/>
    <w:uiPriority w:val="0"/>
    <w:rPr>
      <w:rFonts w:eastAsia="楷体_GB2312"/>
      <w:spacing w:val="-10"/>
      <w:sz w:val="21"/>
      <w:lang w:val="en-US" w:eastAsia="zh-CN" w:bidi="ar-SA"/>
    </w:rPr>
  </w:style>
  <w:style w:type="character" w:customStyle="1" w:styleId="706">
    <w:name w:val="css"/>
    <w:basedOn w:val="94"/>
    <w:autoRedefine/>
    <w:qFormat/>
    <w:uiPriority w:val="0"/>
  </w:style>
  <w:style w:type="character" w:customStyle="1" w:styleId="707">
    <w:name w:val="in151"/>
    <w:autoRedefine/>
    <w:qFormat/>
    <w:uiPriority w:val="0"/>
    <w:rPr>
      <w:sz w:val="16"/>
      <w:szCs w:val="16"/>
    </w:rPr>
  </w:style>
  <w:style w:type="character" w:customStyle="1" w:styleId="708">
    <w:name w:val="H9 Char"/>
    <w:autoRedefine/>
    <w:qFormat/>
    <w:uiPriority w:val="0"/>
    <w:rPr>
      <w:rFonts w:ascii="Arial" w:hAnsi="Arial" w:eastAsia="黑体"/>
      <w:kern w:val="2"/>
      <w:sz w:val="24"/>
      <w:szCs w:val="21"/>
      <w:lang w:val="en-US" w:eastAsia="zh-CN" w:bidi="ar-SA"/>
    </w:rPr>
  </w:style>
  <w:style w:type="character" w:customStyle="1" w:styleId="709">
    <w:name w:val="标题 Char2"/>
    <w:autoRedefine/>
    <w:qFormat/>
    <w:uiPriority w:val="10"/>
    <w:rPr>
      <w:rFonts w:ascii="Cambria" w:hAnsi="Cambria" w:eastAsia="宋体" w:cs="Times New Roman"/>
      <w:b/>
      <w:bCs/>
      <w:sz w:val="32"/>
      <w:szCs w:val="32"/>
    </w:rPr>
  </w:style>
  <w:style w:type="character" w:customStyle="1" w:styleId="710">
    <w:name w:val="a12"/>
    <w:basedOn w:val="94"/>
    <w:autoRedefine/>
    <w:qFormat/>
    <w:uiPriority w:val="0"/>
  </w:style>
  <w:style w:type="character" w:customStyle="1" w:styleId="711">
    <w:name w:val="big1"/>
    <w:autoRedefine/>
    <w:qFormat/>
    <w:uiPriority w:val="0"/>
    <w:rPr>
      <w:sz w:val="30"/>
      <w:szCs w:val="30"/>
    </w:rPr>
  </w:style>
  <w:style w:type="character" w:customStyle="1" w:styleId="712">
    <w:name w:val="41"/>
    <w:autoRedefine/>
    <w:qFormat/>
    <w:uiPriority w:val="0"/>
    <w:rPr>
      <w:color w:val="333333"/>
      <w:sz w:val="19"/>
      <w:szCs w:val="19"/>
      <w:u w:val="none"/>
    </w:rPr>
  </w:style>
  <w:style w:type="character" w:customStyle="1" w:styleId="713">
    <w:name w:val="样式 表蕊 Char Char"/>
    <w:link w:val="714"/>
    <w:autoRedefine/>
    <w:qFormat/>
    <w:uiPriority w:val="0"/>
    <w:rPr>
      <w:rFonts w:hAnsi="宋体" w:eastAsia="宋体" w:cs="宋体"/>
      <w:spacing w:val="-10"/>
      <w:sz w:val="18"/>
      <w:szCs w:val="18"/>
    </w:rPr>
  </w:style>
  <w:style w:type="paragraph" w:customStyle="1" w:styleId="714">
    <w:name w:val="样式 表蕊"/>
    <w:basedOn w:val="612"/>
    <w:link w:val="713"/>
    <w:autoRedefine/>
    <w:qFormat/>
    <w:uiPriority w:val="0"/>
    <w:pPr>
      <w:jc w:val="center"/>
    </w:pPr>
    <w:rPr>
      <w:rFonts w:hAnsi="宋体" w:eastAsia="宋体" w:cs="宋体"/>
      <w:sz w:val="18"/>
      <w:szCs w:val="18"/>
    </w:rPr>
  </w:style>
  <w:style w:type="character" w:customStyle="1" w:styleId="715">
    <w:name w:val="样式 正文（首行缩进两字） + 首行缩进:  2 字符 行距: 固定值 19 磅 Char Char"/>
    <w:autoRedefine/>
    <w:qFormat/>
    <w:uiPriority w:val="0"/>
    <w:rPr>
      <w:rFonts w:ascii="RomanS" w:hAnsi="RomanS" w:eastAsia="宋体" w:cs="宋体"/>
      <w:kern w:val="24"/>
      <w:sz w:val="24"/>
      <w:szCs w:val="24"/>
      <w:lang w:val="en-US" w:eastAsia="zh-CN" w:bidi="ar-SA"/>
    </w:rPr>
  </w:style>
  <w:style w:type="character" w:customStyle="1" w:styleId="716">
    <w:name w:val="small14"/>
    <w:basedOn w:val="94"/>
    <w:autoRedefine/>
    <w:qFormat/>
    <w:uiPriority w:val="0"/>
  </w:style>
  <w:style w:type="character" w:customStyle="1" w:styleId="717">
    <w:name w:val="正文文字 2 Char Char4"/>
    <w:autoRedefine/>
    <w:qFormat/>
    <w:uiPriority w:val="0"/>
    <w:rPr>
      <w:rFonts w:eastAsia="楷体_GB2312"/>
      <w:spacing w:val="8"/>
      <w:sz w:val="28"/>
      <w:lang w:val="en-US" w:eastAsia="zh-CN" w:bidi="ar-SA"/>
    </w:rPr>
  </w:style>
  <w:style w:type="character" w:customStyle="1" w:styleId="718">
    <w:name w:val="headline-content"/>
    <w:basedOn w:val="94"/>
    <w:autoRedefine/>
    <w:qFormat/>
    <w:uiPriority w:val="0"/>
  </w:style>
  <w:style w:type="character" w:customStyle="1" w:styleId="719">
    <w:name w:val="dash Char1"/>
    <w:autoRedefine/>
    <w:qFormat/>
    <w:uiPriority w:val="0"/>
    <w:rPr>
      <w:rFonts w:eastAsia="楷体_GB2312"/>
      <w:b/>
      <w:spacing w:val="8"/>
      <w:sz w:val="28"/>
      <w:lang w:val="en-US" w:eastAsia="zh-CN" w:bidi="ar-SA"/>
    </w:rPr>
  </w:style>
  <w:style w:type="character" w:customStyle="1" w:styleId="720">
    <w:name w:val="Body Text(ch) Char"/>
    <w:autoRedefine/>
    <w:qFormat/>
    <w:uiPriority w:val="0"/>
    <w:rPr>
      <w:rFonts w:eastAsia="楷体_GB2312"/>
      <w:spacing w:val="8"/>
      <w:sz w:val="28"/>
      <w:lang w:val="en-US" w:eastAsia="zh-CN" w:bidi="ar-SA"/>
    </w:rPr>
  </w:style>
  <w:style w:type="character" w:customStyle="1" w:styleId="721">
    <w:name w:val="图标题 Char Char Char Char"/>
    <w:autoRedefine/>
    <w:qFormat/>
    <w:uiPriority w:val="0"/>
    <w:rPr>
      <w:rFonts w:eastAsia="宋体"/>
      <w:b/>
      <w:kern w:val="2"/>
      <w:sz w:val="21"/>
      <w:szCs w:val="24"/>
      <w:lang w:val="en-US" w:eastAsia="zh-CN" w:bidi="ar-SA"/>
    </w:rPr>
  </w:style>
  <w:style w:type="character" w:customStyle="1" w:styleId="722">
    <w:name w:val="articlebody"/>
    <w:basedOn w:val="94"/>
    <w:autoRedefine/>
    <w:qFormat/>
    <w:uiPriority w:val="0"/>
  </w:style>
  <w:style w:type="character" w:customStyle="1" w:styleId="723">
    <w:name w:val="正文（首行缩进两字） Char2"/>
    <w:autoRedefine/>
    <w:qFormat/>
    <w:uiPriority w:val="0"/>
    <w:rPr>
      <w:rFonts w:ascii="仿宋_GB2312" w:eastAsia="仿宋_GB2312"/>
      <w:kern w:val="2"/>
      <w:sz w:val="28"/>
      <w:szCs w:val="24"/>
      <w:lang w:val="en-US" w:eastAsia="zh-CN" w:bidi="ar-SA"/>
    </w:rPr>
  </w:style>
  <w:style w:type="character" w:customStyle="1" w:styleId="724">
    <w:name w:val="报告正文 Char Char"/>
    <w:link w:val="725"/>
    <w:autoRedefine/>
    <w:qFormat/>
    <w:uiPriority w:val="0"/>
    <w:rPr>
      <w:rFonts w:eastAsia="楷体_GB2312"/>
      <w:bCs/>
      <w:spacing w:val="8"/>
      <w:sz w:val="30"/>
      <w:szCs w:val="24"/>
    </w:rPr>
  </w:style>
  <w:style w:type="paragraph" w:customStyle="1" w:styleId="725">
    <w:name w:val="报告正文"/>
    <w:basedOn w:val="1"/>
    <w:link w:val="724"/>
    <w:autoRedefine/>
    <w:qFormat/>
    <w:uiPriority w:val="0"/>
    <w:pPr>
      <w:adjustRightInd w:val="0"/>
      <w:spacing w:line="360" w:lineRule="auto"/>
      <w:ind w:firstLine="600" w:firstLineChars="200"/>
      <w:textAlignment w:val="baseline"/>
    </w:pPr>
    <w:rPr>
      <w:rFonts w:eastAsia="楷体_GB2312" w:asciiTheme="minorHAnsi" w:hAnsiTheme="minorHAnsi" w:cstheme="minorBidi"/>
      <w:bCs/>
      <w:spacing w:val="8"/>
      <w:sz w:val="30"/>
    </w:rPr>
  </w:style>
  <w:style w:type="character" w:customStyle="1" w:styleId="726">
    <w:name w:val="text12"/>
    <w:basedOn w:val="94"/>
    <w:autoRedefine/>
    <w:qFormat/>
    <w:uiPriority w:val="0"/>
  </w:style>
  <w:style w:type="character" w:customStyle="1" w:styleId="727">
    <w:name w:val="postcolor1"/>
    <w:autoRedefine/>
    <w:qFormat/>
    <w:uiPriority w:val="0"/>
    <w:rPr>
      <w:sz w:val="18"/>
    </w:rPr>
  </w:style>
  <w:style w:type="character" w:customStyle="1" w:styleId="728">
    <w:name w:val="书籍标题1"/>
    <w:autoRedefine/>
    <w:qFormat/>
    <w:uiPriority w:val="0"/>
    <w:rPr>
      <w:b/>
      <w:bCs/>
      <w:smallCaps/>
      <w:spacing w:val="5"/>
    </w:rPr>
  </w:style>
  <w:style w:type="character" w:customStyle="1" w:styleId="729">
    <w:name w:val="h1 Char3"/>
    <w:autoRedefine/>
    <w:qFormat/>
    <w:uiPriority w:val="0"/>
    <w:rPr>
      <w:rFonts w:ascii="Arial Rounded MT Bold" w:hAnsi="Arial Rounded MT Bold" w:eastAsia="文鼎CS大隶书"/>
      <w:spacing w:val="8"/>
      <w:sz w:val="48"/>
      <w:lang w:val="en-US" w:eastAsia="zh-CN" w:bidi="ar-SA"/>
    </w:rPr>
  </w:style>
  <w:style w:type="character" w:customStyle="1" w:styleId="730">
    <w:name w:val="highlight1"/>
    <w:autoRedefine/>
    <w:qFormat/>
    <w:uiPriority w:val="0"/>
    <w:rPr>
      <w:sz w:val="21"/>
      <w:szCs w:val="21"/>
    </w:rPr>
  </w:style>
  <w:style w:type="character" w:customStyle="1" w:styleId="731">
    <w:name w:val="cont21"/>
    <w:autoRedefine/>
    <w:qFormat/>
    <w:uiPriority w:val="0"/>
    <w:rPr>
      <w:sz w:val="23"/>
      <w:szCs w:val="23"/>
    </w:rPr>
  </w:style>
  <w:style w:type="character" w:customStyle="1" w:styleId="732">
    <w:name w:val="style1"/>
    <w:basedOn w:val="94"/>
    <w:autoRedefine/>
    <w:qFormat/>
    <w:uiPriority w:val="0"/>
  </w:style>
  <w:style w:type="character" w:customStyle="1" w:styleId="733">
    <w:name w:val="ca-1"/>
    <w:basedOn w:val="94"/>
    <w:autoRedefine/>
    <w:qFormat/>
    <w:uiPriority w:val="0"/>
  </w:style>
  <w:style w:type="character" w:customStyle="1" w:styleId="734">
    <w:name w:val="menu_title21"/>
    <w:autoRedefine/>
    <w:qFormat/>
    <w:uiPriority w:val="0"/>
    <w:rPr>
      <w:rFonts w:hint="default" w:ascii="Arial" w:hAnsi="Arial" w:cs="Arial"/>
      <w:color w:val="FF9900"/>
      <w:sz w:val="18"/>
      <w:szCs w:val="18"/>
    </w:rPr>
  </w:style>
  <w:style w:type="character" w:customStyle="1" w:styleId="735">
    <w:name w:val="WW8Num7z2"/>
    <w:autoRedefine/>
    <w:qFormat/>
    <w:uiPriority w:val="0"/>
    <w:rPr>
      <w:rFonts w:ascii="Times New Roman" w:hAnsi="Times New Roman" w:eastAsia="宋体" w:cs="Times New Roman"/>
    </w:rPr>
  </w:style>
  <w:style w:type="character" w:customStyle="1" w:styleId="736">
    <w:name w:val="表蕊 字元"/>
    <w:autoRedefine/>
    <w:qFormat/>
    <w:uiPriority w:val="0"/>
    <w:rPr>
      <w:rFonts w:eastAsia="楷体_GB2312"/>
      <w:spacing w:val="-10"/>
      <w:sz w:val="21"/>
      <w:lang w:val="en-US" w:eastAsia="zh-CN" w:bidi="ar-SA"/>
    </w:rPr>
  </w:style>
  <w:style w:type="character" w:customStyle="1" w:styleId="737">
    <w:name w:val="正文文字 2 Char Char2"/>
    <w:autoRedefine/>
    <w:qFormat/>
    <w:uiPriority w:val="0"/>
    <w:rPr>
      <w:rFonts w:eastAsia="楷体_GB2312"/>
      <w:spacing w:val="8"/>
      <w:sz w:val="28"/>
      <w:lang w:val="en-US" w:eastAsia="zh-CN" w:bidi="ar-SA"/>
    </w:rPr>
  </w:style>
  <w:style w:type="character" w:customStyle="1" w:styleId="738">
    <w:name w:val="ttitle1"/>
    <w:autoRedefine/>
    <w:qFormat/>
    <w:uiPriority w:val="0"/>
    <w:rPr>
      <w:spacing w:val="120"/>
      <w:sz w:val="21"/>
      <w:szCs w:val="21"/>
    </w:rPr>
  </w:style>
  <w:style w:type="character" w:customStyle="1" w:styleId="739">
    <w:name w:val="contents"/>
    <w:basedOn w:val="94"/>
    <w:autoRedefine/>
    <w:qFormat/>
    <w:uiPriority w:val="0"/>
  </w:style>
  <w:style w:type="character" w:customStyle="1" w:styleId="740">
    <w:name w:val="目录 1 Char Char"/>
    <w:autoRedefine/>
    <w:qFormat/>
    <w:uiPriority w:val="0"/>
    <w:rPr>
      <w:rFonts w:eastAsia="黑体"/>
      <w:caps/>
      <w:spacing w:val="8"/>
      <w:sz w:val="24"/>
      <w:lang w:val="en-US" w:eastAsia="zh-CN" w:bidi="ar-SA"/>
    </w:rPr>
  </w:style>
  <w:style w:type="character" w:customStyle="1" w:styleId="741">
    <w:name w:val="select"/>
    <w:basedOn w:val="94"/>
    <w:autoRedefine/>
    <w:qFormat/>
    <w:uiPriority w:val="0"/>
  </w:style>
  <w:style w:type="character" w:customStyle="1" w:styleId="742">
    <w:name w:val="正文编号 Char Char Char"/>
    <w:autoRedefine/>
    <w:qFormat/>
    <w:uiPriority w:val="0"/>
    <w:rPr>
      <w:rFonts w:eastAsia="楷体_GB2312"/>
      <w:spacing w:val="8"/>
      <w:sz w:val="28"/>
      <w:lang w:val="en-US" w:eastAsia="zh-CN" w:bidi="ar-SA"/>
    </w:rPr>
  </w:style>
  <w:style w:type="character" w:customStyle="1" w:styleId="743">
    <w:name w:val="目录 2 Char Char Char"/>
    <w:autoRedefine/>
    <w:qFormat/>
    <w:uiPriority w:val="0"/>
    <w:rPr>
      <w:rFonts w:eastAsia="楷体_GB2312"/>
      <w:smallCaps/>
      <w:spacing w:val="8"/>
      <w:sz w:val="24"/>
      <w:lang w:val="en-US" w:eastAsia="zh-CN" w:bidi="ar-SA"/>
    </w:rPr>
  </w:style>
  <w:style w:type="character" w:customStyle="1" w:styleId="744">
    <w:name w:val="新正文 Char Char"/>
    <w:link w:val="745"/>
    <w:autoRedefine/>
    <w:qFormat/>
    <w:uiPriority w:val="0"/>
    <w:rPr>
      <w:rFonts w:ascii="仿宋_GB2312" w:eastAsia="仿宋_GB2312"/>
      <w:bCs/>
      <w:sz w:val="28"/>
    </w:rPr>
  </w:style>
  <w:style w:type="paragraph" w:customStyle="1" w:styleId="745">
    <w:name w:val="新正文"/>
    <w:basedOn w:val="1"/>
    <w:link w:val="744"/>
    <w:autoRedefine/>
    <w:qFormat/>
    <w:uiPriority w:val="0"/>
    <w:pPr>
      <w:spacing w:line="480" w:lineRule="exact"/>
      <w:ind w:firstLine="567"/>
    </w:pPr>
    <w:rPr>
      <w:rFonts w:ascii="仿宋_GB2312" w:eastAsia="仿宋_GB2312" w:hAnsiTheme="minorHAnsi" w:cstheme="minorBidi"/>
      <w:bCs/>
      <w:sz w:val="28"/>
      <w:szCs w:val="22"/>
    </w:rPr>
  </w:style>
  <w:style w:type="character" w:customStyle="1" w:styleId="746">
    <w:name w:val="11p1"/>
    <w:autoRedefine/>
    <w:qFormat/>
    <w:uiPriority w:val="0"/>
    <w:rPr>
      <w:sz w:val="30"/>
      <w:szCs w:val="30"/>
    </w:rPr>
  </w:style>
  <w:style w:type="character" w:customStyle="1" w:styleId="747">
    <w:name w:val="标书正文 Char Char"/>
    <w:autoRedefine/>
    <w:qFormat/>
    <w:uiPriority w:val="0"/>
    <w:rPr>
      <w:rFonts w:ascii="宋体" w:hAnsi="宋体" w:eastAsia="宋体"/>
      <w:kern w:val="2"/>
      <w:sz w:val="24"/>
      <w:szCs w:val="24"/>
      <w:lang w:val="en-US" w:eastAsia="zh-CN" w:bidi="ar-SA"/>
    </w:rPr>
  </w:style>
  <w:style w:type="character" w:customStyle="1" w:styleId="748">
    <w:name w:val="正文文字 21 Char Char"/>
    <w:autoRedefine/>
    <w:qFormat/>
    <w:uiPriority w:val="0"/>
    <w:rPr>
      <w:rFonts w:ascii="Times New Roman" w:hAnsi="Times New Roman" w:eastAsia="宋体" w:cs="Times New Roman"/>
      <w:szCs w:val="20"/>
    </w:rPr>
  </w:style>
  <w:style w:type="character" w:customStyle="1" w:styleId="749">
    <w:name w:val="Legal Level 1.1.1.1. Char"/>
    <w:autoRedefine/>
    <w:qFormat/>
    <w:uiPriority w:val="0"/>
    <w:rPr>
      <w:rFonts w:ascii="Arial" w:hAnsi="Arial" w:eastAsia="黑体"/>
      <w:spacing w:val="8"/>
      <w:sz w:val="30"/>
      <w:lang w:val="en-US" w:eastAsia="zh-CN" w:bidi="ar-SA"/>
    </w:rPr>
  </w:style>
  <w:style w:type="character" w:customStyle="1" w:styleId="750">
    <w:name w:val="bold1"/>
    <w:autoRedefine/>
    <w:qFormat/>
    <w:uiPriority w:val="0"/>
    <w:rPr>
      <w:b/>
      <w:bCs/>
    </w:rPr>
  </w:style>
  <w:style w:type="character" w:customStyle="1" w:styleId="751">
    <w:name w:val="px14"/>
    <w:basedOn w:val="94"/>
    <w:autoRedefine/>
    <w:qFormat/>
    <w:uiPriority w:val="0"/>
  </w:style>
  <w:style w:type="character" w:customStyle="1" w:styleId="752">
    <w:name w:val="Body Text(ch) Char7"/>
    <w:autoRedefine/>
    <w:qFormat/>
    <w:uiPriority w:val="0"/>
    <w:rPr>
      <w:rFonts w:eastAsia="楷体_GB2312"/>
      <w:spacing w:val="8"/>
      <w:sz w:val="28"/>
      <w:lang w:val="en-US" w:eastAsia="zh-CN" w:bidi="ar-SA"/>
    </w:rPr>
  </w:style>
  <w:style w:type="character" w:customStyle="1" w:styleId="753">
    <w:name w:val="style3"/>
    <w:basedOn w:val="94"/>
    <w:autoRedefine/>
    <w:qFormat/>
    <w:uiPriority w:val="0"/>
  </w:style>
  <w:style w:type="character" w:customStyle="1" w:styleId="754">
    <w:name w:val="Char Char22"/>
    <w:autoRedefine/>
    <w:qFormat/>
    <w:uiPriority w:val="0"/>
    <w:rPr>
      <w:rFonts w:ascii="Arial" w:hAnsi="Arial" w:eastAsia="黑体"/>
      <w:spacing w:val="8"/>
      <w:sz w:val="30"/>
      <w:lang w:val="en-US" w:eastAsia="zh-CN" w:bidi="ar-SA"/>
    </w:rPr>
  </w:style>
  <w:style w:type="character" w:customStyle="1" w:styleId="755">
    <w:name w:val="Char Char49"/>
    <w:autoRedefine/>
    <w:qFormat/>
    <w:uiPriority w:val="0"/>
    <w:rPr>
      <w:rFonts w:ascii="Arial Rounded MT Bold" w:hAnsi="Arial Rounded MT Bold" w:eastAsia="文鼎CS大隶书"/>
      <w:spacing w:val="8"/>
      <w:sz w:val="48"/>
      <w:lang w:val="en-US" w:eastAsia="zh-CN" w:bidi="ar-SA"/>
    </w:rPr>
  </w:style>
  <w:style w:type="character" w:customStyle="1" w:styleId="756">
    <w:name w:val="h3 Char1"/>
    <w:autoRedefine/>
    <w:qFormat/>
    <w:uiPriority w:val="0"/>
    <w:rPr>
      <w:rFonts w:ascii="Arial Rounded MT Bold" w:hAnsi="Arial Rounded MT Bold" w:eastAsia="文鼎大标宋简"/>
      <w:spacing w:val="8"/>
      <w:sz w:val="28"/>
      <w:lang w:val="en-US" w:eastAsia="zh-CN" w:bidi="ar-SA"/>
    </w:rPr>
  </w:style>
  <w:style w:type="character" w:customStyle="1" w:styleId="757">
    <w:name w:val="文档结构图 Char1"/>
    <w:autoRedefine/>
    <w:qFormat/>
    <w:uiPriority w:val="0"/>
    <w:rPr>
      <w:rFonts w:ascii="宋体" w:eastAsia="宋体"/>
      <w:sz w:val="18"/>
      <w:szCs w:val="18"/>
    </w:rPr>
  </w:style>
  <w:style w:type="character" w:customStyle="1" w:styleId="758">
    <w:name w:val="正文首行缩进 2 Char1"/>
    <w:basedOn w:val="226"/>
    <w:autoRedefine/>
    <w:qFormat/>
    <w:uiPriority w:val="0"/>
  </w:style>
  <w:style w:type="character" w:customStyle="1" w:styleId="759">
    <w:name w:val="Char Char62"/>
    <w:autoRedefine/>
    <w:qFormat/>
    <w:uiPriority w:val="0"/>
    <w:rPr>
      <w:rFonts w:eastAsia="楷体_GB2312"/>
      <w:b/>
      <w:spacing w:val="8"/>
      <w:sz w:val="28"/>
      <w:lang w:val="en-US" w:eastAsia="zh-CN" w:bidi="ar-SA"/>
    </w:rPr>
  </w:style>
  <w:style w:type="character" w:customStyle="1" w:styleId="760">
    <w:name w:val="标题 4 Char1"/>
    <w:autoRedefine/>
    <w:qFormat/>
    <w:uiPriority w:val="0"/>
    <w:rPr>
      <w:rFonts w:eastAsia="文鼎CS细等线"/>
      <w:b/>
      <w:spacing w:val="8"/>
      <w:sz w:val="28"/>
      <w:lang w:val="en-US" w:eastAsia="zh-CN" w:bidi="ar-SA"/>
    </w:rPr>
  </w:style>
  <w:style w:type="character" w:customStyle="1" w:styleId="761">
    <w:name w:val="javascript"/>
    <w:basedOn w:val="94"/>
    <w:autoRedefine/>
    <w:qFormat/>
    <w:uiPriority w:val="0"/>
  </w:style>
  <w:style w:type="character" w:customStyle="1" w:styleId="762">
    <w:name w:val="trans"/>
    <w:basedOn w:val="94"/>
    <w:autoRedefine/>
    <w:qFormat/>
    <w:uiPriority w:val="0"/>
  </w:style>
  <w:style w:type="character" w:customStyle="1" w:styleId="763">
    <w:name w:val="hover19"/>
    <w:autoRedefine/>
    <w:qFormat/>
    <w:uiPriority w:val="0"/>
    <w:rPr>
      <w:color w:val="FF4300"/>
    </w:rPr>
  </w:style>
  <w:style w:type="character" w:customStyle="1" w:styleId="764">
    <w:name w:val="fontstrikethrough"/>
    <w:autoRedefine/>
    <w:qFormat/>
    <w:uiPriority w:val="0"/>
    <w:rPr>
      <w:strike/>
    </w:rPr>
  </w:style>
  <w:style w:type="character" w:customStyle="1" w:styleId="765">
    <w:name w:val="副标题 Char1"/>
    <w:autoRedefine/>
    <w:qFormat/>
    <w:uiPriority w:val="11"/>
    <w:rPr>
      <w:rFonts w:ascii="Cambria" w:hAnsi="Cambria" w:eastAsia="宋体" w:cs="Times New Roman"/>
      <w:b/>
      <w:bCs/>
      <w:kern w:val="28"/>
      <w:sz w:val="32"/>
      <w:szCs w:val="32"/>
    </w:rPr>
  </w:style>
  <w:style w:type="character" w:customStyle="1" w:styleId="766">
    <w:name w:val="数据来源 Char Char Char"/>
    <w:autoRedefine/>
    <w:qFormat/>
    <w:uiPriority w:val="0"/>
    <w:rPr>
      <w:rFonts w:ascii="宋体" w:hAnsi="宋体" w:eastAsia="楷体_GB2312"/>
      <w:sz w:val="21"/>
      <w:szCs w:val="21"/>
      <w:lang w:val="en-US" w:eastAsia="zh-CN" w:bidi="ar-SA"/>
    </w:rPr>
  </w:style>
  <w:style w:type="character" w:customStyle="1" w:styleId="767">
    <w:name w:val="WW8Num4z0"/>
    <w:autoRedefine/>
    <w:qFormat/>
    <w:uiPriority w:val="0"/>
    <w:rPr>
      <w:rFonts w:ascii="Wingdings" w:hAnsi="Wingdings"/>
    </w:rPr>
  </w:style>
  <w:style w:type="character" w:customStyle="1" w:styleId="768">
    <w:name w:val="content"/>
    <w:basedOn w:val="94"/>
    <w:autoRedefine/>
    <w:qFormat/>
    <w:uiPriority w:val="0"/>
  </w:style>
  <w:style w:type="character" w:customStyle="1" w:styleId="769">
    <w:name w:val="text-line1"/>
    <w:basedOn w:val="94"/>
    <w:autoRedefine/>
    <w:qFormat/>
    <w:uiPriority w:val="0"/>
  </w:style>
  <w:style w:type="character" w:customStyle="1" w:styleId="770">
    <w:name w:val="wz14"/>
    <w:basedOn w:val="94"/>
    <w:autoRedefine/>
    <w:qFormat/>
    <w:uiPriority w:val="0"/>
  </w:style>
  <w:style w:type="character" w:customStyle="1" w:styleId="771">
    <w:name w:val="line_news1"/>
    <w:autoRedefine/>
    <w:qFormat/>
    <w:uiPriority w:val="0"/>
    <w:rPr>
      <w:sz w:val="18"/>
      <w:szCs w:val="18"/>
    </w:rPr>
  </w:style>
  <w:style w:type="character" w:customStyle="1" w:styleId="772">
    <w:name w:val="style31"/>
    <w:autoRedefine/>
    <w:qFormat/>
    <w:uiPriority w:val="0"/>
    <w:rPr>
      <w:color w:val="666666"/>
    </w:rPr>
  </w:style>
  <w:style w:type="character" w:customStyle="1" w:styleId="773">
    <w:name w:val="bds_nopic2"/>
    <w:basedOn w:val="94"/>
    <w:autoRedefine/>
    <w:qFormat/>
    <w:uiPriority w:val="0"/>
  </w:style>
  <w:style w:type="character" w:customStyle="1" w:styleId="774">
    <w:name w:val="金宏发行正文 Char Char Char"/>
    <w:autoRedefine/>
    <w:qFormat/>
    <w:uiPriority w:val="0"/>
    <w:rPr>
      <w:rFonts w:ascii="Verdana" w:hAnsi="Verdana" w:eastAsia="仿宋_GB2312" w:cs="宋体"/>
      <w:kern w:val="2"/>
      <w:sz w:val="28"/>
      <w:szCs w:val="21"/>
      <w:lang w:val="en-US" w:eastAsia="zh-CN" w:bidi="ar-SA"/>
    </w:rPr>
  </w:style>
  <w:style w:type="character" w:customStyle="1" w:styleId="775">
    <w:name w:val="正文文字缩进 2 Char Char1"/>
    <w:autoRedefine/>
    <w:qFormat/>
    <w:uiPriority w:val="0"/>
    <w:rPr>
      <w:rFonts w:ascii="宋体"/>
      <w:kern w:val="2"/>
      <w:sz w:val="28"/>
    </w:rPr>
  </w:style>
  <w:style w:type="character" w:customStyle="1" w:styleId="776">
    <w:name w:val="jianju1"/>
    <w:autoRedefine/>
    <w:qFormat/>
    <w:uiPriority w:val="0"/>
    <w:rPr>
      <w:color w:val="000000"/>
      <w:sz w:val="21"/>
      <w:szCs w:val="21"/>
      <w:u w:val="none"/>
    </w:rPr>
  </w:style>
  <w:style w:type="character" w:customStyle="1" w:styleId="777">
    <w:name w:val="正文（首行缩进两字） Char Char10"/>
    <w:autoRedefine/>
    <w:qFormat/>
    <w:uiPriority w:val="0"/>
    <w:rPr>
      <w:rFonts w:ascii="仿宋_GB2312" w:eastAsia="仿宋_GB2312"/>
      <w:kern w:val="2"/>
      <w:sz w:val="28"/>
      <w:szCs w:val="24"/>
      <w:lang w:val="en-US" w:eastAsia="zh-CN" w:bidi="ar-SA"/>
    </w:rPr>
  </w:style>
  <w:style w:type="character" w:customStyle="1" w:styleId="778">
    <w:name w:val="表芯 Char Char"/>
    <w:link w:val="779"/>
    <w:autoRedefine/>
    <w:qFormat/>
    <w:uiPriority w:val="0"/>
    <w:rPr>
      <w:rFonts w:eastAsia="楷体_GB2312"/>
      <w:spacing w:val="-6"/>
    </w:rPr>
  </w:style>
  <w:style w:type="paragraph" w:customStyle="1" w:styleId="779">
    <w:name w:val="表芯"/>
    <w:basedOn w:val="161"/>
    <w:next w:val="1"/>
    <w:link w:val="778"/>
    <w:autoRedefine/>
    <w:qFormat/>
    <w:uiPriority w:val="0"/>
    <w:pPr>
      <w:textAlignment w:val="baseline"/>
    </w:pPr>
    <w:rPr>
      <w:rFonts w:eastAsia="楷体_GB2312" w:asciiTheme="minorHAnsi" w:hAnsiTheme="minorHAnsi"/>
      <w:spacing w:val="-6"/>
    </w:rPr>
  </w:style>
  <w:style w:type="character" w:customStyle="1" w:styleId="780">
    <w:name w:val="标题 3 Char Char Char"/>
    <w:autoRedefine/>
    <w:qFormat/>
    <w:uiPriority w:val="0"/>
    <w:rPr>
      <w:rFonts w:ascii="Times New Roman" w:hAnsi="Times New Roman" w:eastAsia="黑体" w:cs="Times New Roman"/>
      <w:bCs/>
      <w:spacing w:val="20"/>
      <w:kern w:val="0"/>
      <w:sz w:val="30"/>
      <w:szCs w:val="20"/>
    </w:rPr>
  </w:style>
  <w:style w:type="character" w:customStyle="1" w:styleId="781">
    <w:name w:val="Char Char20"/>
    <w:autoRedefine/>
    <w:qFormat/>
    <w:uiPriority w:val="0"/>
    <w:rPr>
      <w:rFonts w:eastAsia="楷体_GB2312"/>
      <w:sz w:val="21"/>
      <w:lang w:val="en-US" w:eastAsia="zh-CN" w:bidi="ar-SA"/>
    </w:rPr>
  </w:style>
  <w:style w:type="character" w:customStyle="1" w:styleId="782">
    <w:name w:val="textlarge1"/>
    <w:autoRedefine/>
    <w:qFormat/>
    <w:uiPriority w:val="0"/>
    <w:rPr>
      <w:sz w:val="21"/>
      <w:szCs w:val="21"/>
    </w:rPr>
  </w:style>
  <w:style w:type="character" w:customStyle="1" w:styleId="783">
    <w:name w:val="info"/>
    <w:basedOn w:val="94"/>
    <w:autoRedefine/>
    <w:qFormat/>
    <w:uiPriority w:val="0"/>
  </w:style>
  <w:style w:type="character" w:customStyle="1" w:styleId="784">
    <w:name w:val="WW8Num17z0"/>
    <w:autoRedefine/>
    <w:qFormat/>
    <w:uiPriority w:val="0"/>
    <w:rPr>
      <w:rFonts w:ascii="Wingdings" w:hAnsi="Wingdings"/>
    </w:rPr>
  </w:style>
  <w:style w:type="character" w:customStyle="1" w:styleId="785">
    <w:name w:val="日期 Char1"/>
    <w:basedOn w:val="94"/>
    <w:autoRedefine/>
    <w:qFormat/>
    <w:uiPriority w:val="0"/>
  </w:style>
  <w:style w:type="character" w:customStyle="1" w:styleId="786">
    <w:name w:val="font11"/>
    <w:autoRedefine/>
    <w:qFormat/>
    <w:uiPriority w:val="0"/>
    <w:rPr>
      <w:rFonts w:hint="default" w:ascii="Times New Roman" w:hAnsi="Times New Roman" w:cs="Times New Roman"/>
      <w:color w:val="000000"/>
      <w:sz w:val="21"/>
      <w:szCs w:val="21"/>
      <w:u w:val="none"/>
    </w:rPr>
  </w:style>
  <w:style w:type="character" w:customStyle="1" w:styleId="787">
    <w:name w:val="正文文字缩进 2 Char Char3"/>
    <w:autoRedefine/>
    <w:qFormat/>
    <w:uiPriority w:val="0"/>
    <w:rPr>
      <w:rFonts w:ascii="宋体" w:eastAsia="宋体"/>
      <w:kern w:val="2"/>
      <w:sz w:val="28"/>
      <w:lang w:val="en-US" w:eastAsia="zh-CN" w:bidi="ar-SA"/>
    </w:rPr>
  </w:style>
  <w:style w:type="character" w:customStyle="1" w:styleId="788">
    <w:name w:val="样式 宋体 小四 居中 行距: 最小值 0 磅"/>
    <w:autoRedefine/>
    <w:qFormat/>
    <w:uiPriority w:val="0"/>
    <w:rPr>
      <w:rFonts w:ascii="宋体" w:hAnsi="宋体" w:eastAsia="Times New Roman"/>
      <w:sz w:val="24"/>
    </w:rPr>
  </w:style>
  <w:style w:type="character" w:customStyle="1" w:styleId="789">
    <w:name w:val="bigtitle1"/>
    <w:autoRedefine/>
    <w:qFormat/>
    <w:uiPriority w:val="0"/>
    <w:rPr>
      <w:rFonts w:hint="default" w:ascii="ˎ̥" w:hAnsi="ˎ̥"/>
      <w:b/>
      <w:bCs/>
      <w:color w:val="333333"/>
      <w:sz w:val="39"/>
      <w:szCs w:val="39"/>
      <w:u w:val="none"/>
    </w:rPr>
  </w:style>
  <w:style w:type="character" w:customStyle="1" w:styleId="790">
    <w:name w:val="mynetcnframeb1"/>
    <w:autoRedefine/>
    <w:qFormat/>
    <w:uiPriority w:val="0"/>
    <w:rPr>
      <w:color w:val="202020"/>
      <w:sz w:val="18"/>
      <w:szCs w:val="18"/>
    </w:rPr>
  </w:style>
  <w:style w:type="character" w:customStyle="1" w:styleId="791">
    <w:name w:val="正文3 Char Char Char"/>
    <w:autoRedefine/>
    <w:qFormat/>
    <w:uiPriority w:val="0"/>
    <w:rPr>
      <w:rFonts w:eastAsia="宋体"/>
      <w:sz w:val="30"/>
      <w:lang w:val="en-US" w:eastAsia="zh-CN" w:bidi="ar-SA"/>
    </w:rPr>
  </w:style>
  <w:style w:type="character" w:customStyle="1" w:styleId="792">
    <w:name w:val="10p1"/>
    <w:autoRedefine/>
    <w:qFormat/>
    <w:uiPriority w:val="0"/>
    <w:rPr>
      <w:rFonts w:hint="eastAsia" w:ascii="宋体" w:hAnsi="宋体" w:eastAsia="宋体"/>
      <w:sz w:val="21"/>
      <w:szCs w:val="21"/>
    </w:rPr>
  </w:style>
  <w:style w:type="character" w:customStyle="1" w:styleId="793">
    <w:name w:val="style51"/>
    <w:autoRedefine/>
    <w:qFormat/>
    <w:uiPriority w:val="0"/>
    <w:rPr>
      <w:b/>
      <w:color w:val="2A79A0"/>
      <w:sz w:val="21"/>
    </w:rPr>
  </w:style>
  <w:style w:type="character" w:customStyle="1" w:styleId="794">
    <w:name w:val="大章节 Char Char"/>
    <w:basedOn w:val="359"/>
    <w:autoRedefine/>
    <w:qFormat/>
    <w:uiPriority w:val="0"/>
    <w:rPr>
      <w:rFonts w:eastAsia="宋体"/>
      <w:kern w:val="2"/>
      <w:sz w:val="32"/>
      <w:szCs w:val="32"/>
      <w:lang w:val="en-US" w:eastAsia="zh-CN" w:bidi="ar-SA"/>
    </w:rPr>
  </w:style>
  <w:style w:type="character" w:customStyle="1" w:styleId="795">
    <w:name w:val="数据来源 Char Char"/>
    <w:link w:val="796"/>
    <w:autoRedefine/>
    <w:qFormat/>
    <w:uiPriority w:val="0"/>
    <w:rPr>
      <w:rFonts w:ascii="宋体" w:hAnsi="宋体" w:eastAsia="楷体_GB2312"/>
      <w:szCs w:val="21"/>
    </w:rPr>
  </w:style>
  <w:style w:type="paragraph" w:customStyle="1" w:styleId="796">
    <w:name w:val="数据来源"/>
    <w:basedOn w:val="1"/>
    <w:next w:val="1"/>
    <w:link w:val="795"/>
    <w:autoRedefine/>
    <w:qFormat/>
    <w:uiPriority w:val="0"/>
    <w:pPr>
      <w:tabs>
        <w:tab w:val="left" w:pos="1440"/>
      </w:tabs>
      <w:ind w:left="1184" w:leftChars="400"/>
    </w:pPr>
    <w:rPr>
      <w:rFonts w:ascii="宋体" w:hAnsi="宋体" w:eastAsia="楷体_GB2312" w:cstheme="minorBidi"/>
      <w:szCs w:val="21"/>
    </w:rPr>
  </w:style>
  <w:style w:type="character" w:customStyle="1" w:styleId="797">
    <w:name w:val="正文文字缩进 2 Char Char"/>
    <w:autoRedefine/>
    <w:qFormat/>
    <w:uiPriority w:val="0"/>
    <w:rPr>
      <w:rFonts w:ascii="宋体" w:eastAsia="宋体"/>
      <w:kern w:val="2"/>
      <w:sz w:val="28"/>
      <w:lang w:val="en-US" w:eastAsia="zh-CN" w:bidi="ar-SA"/>
    </w:rPr>
  </w:style>
  <w:style w:type="character" w:customStyle="1" w:styleId="798">
    <w:name w:val="search_content1"/>
    <w:autoRedefine/>
    <w:qFormat/>
    <w:uiPriority w:val="0"/>
    <w:rPr>
      <w:sz w:val="20"/>
      <w:szCs w:val="20"/>
    </w:rPr>
  </w:style>
  <w:style w:type="character" w:customStyle="1" w:styleId="799">
    <w:name w:val="段 Char"/>
    <w:link w:val="800"/>
    <w:autoRedefine/>
    <w:qFormat/>
    <w:uiPriority w:val="0"/>
    <w:rPr>
      <w:rFonts w:ascii="宋体"/>
    </w:rPr>
  </w:style>
  <w:style w:type="paragraph" w:customStyle="1" w:styleId="800">
    <w:name w:val="段"/>
    <w:link w:val="799"/>
    <w:autoRedefine/>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801">
    <w:name w:val="lineheight1"/>
    <w:autoRedefine/>
    <w:qFormat/>
    <w:uiPriority w:val="0"/>
    <w:rPr>
      <w:rFonts w:hint="default" w:ascii="ˎ̥" w:hAnsi="ˎ̥"/>
    </w:rPr>
  </w:style>
  <w:style w:type="character" w:customStyle="1" w:styleId="802">
    <w:name w:val="style261"/>
    <w:autoRedefine/>
    <w:qFormat/>
    <w:uiPriority w:val="0"/>
    <w:rPr>
      <w:sz w:val="18"/>
      <w:szCs w:val="18"/>
    </w:rPr>
  </w:style>
  <w:style w:type="character" w:customStyle="1" w:styleId="803">
    <w:name w:val="mtk8141"/>
    <w:autoRedefine/>
    <w:qFormat/>
    <w:uiPriority w:val="0"/>
    <w:rPr>
      <w:vanish/>
    </w:rPr>
  </w:style>
  <w:style w:type="character" w:customStyle="1" w:styleId="804">
    <w:name w:val="webdict1"/>
    <w:autoRedefine/>
    <w:qFormat/>
    <w:uiPriority w:val="0"/>
    <w:rPr>
      <w:b/>
      <w:bCs/>
    </w:rPr>
  </w:style>
  <w:style w:type="character" w:customStyle="1" w:styleId="805">
    <w:name w:val="tab_right1"/>
    <w:autoRedefine/>
    <w:qFormat/>
    <w:uiPriority w:val="0"/>
    <w:rPr>
      <w:bdr w:val="single" w:color="CCCCCC" w:sz="12" w:space="0"/>
    </w:rPr>
  </w:style>
  <w:style w:type="character" w:customStyle="1" w:styleId="806">
    <w:name w:val="样式 首行缩进:  2 字符 Char1"/>
    <w:autoRedefine/>
    <w:qFormat/>
    <w:uiPriority w:val="0"/>
    <w:rPr>
      <w:rFonts w:eastAsia="宋体" w:cs="宋体"/>
      <w:kern w:val="2"/>
      <w:sz w:val="24"/>
      <w:lang w:val="en-US" w:eastAsia="zh-CN" w:bidi="ar-SA"/>
    </w:rPr>
  </w:style>
  <w:style w:type="character" w:customStyle="1" w:styleId="807">
    <w:name w:val="WW8Num25z0"/>
    <w:autoRedefine/>
    <w:qFormat/>
    <w:uiPriority w:val="0"/>
    <w:rPr>
      <w:rFonts w:ascii="Wingdings" w:hAnsi="Wingdings"/>
    </w:rPr>
  </w:style>
  <w:style w:type="character" w:customStyle="1" w:styleId="808">
    <w:name w:val="样式 表内容 + 居中 行距: 固定值 14 磅 Char Char"/>
    <w:link w:val="809"/>
    <w:autoRedefine/>
    <w:qFormat/>
    <w:uiPriority w:val="0"/>
    <w:rPr>
      <w:rFonts w:eastAsia="楷体_GB2312" w:cs="宋体"/>
      <w:spacing w:val="8"/>
      <w:sz w:val="28"/>
    </w:rPr>
  </w:style>
  <w:style w:type="paragraph" w:customStyle="1" w:styleId="809">
    <w:name w:val="样式 表内容 + 居中 行距: 固定值 14 磅"/>
    <w:basedOn w:val="1"/>
    <w:link w:val="808"/>
    <w:autoRedefine/>
    <w:qFormat/>
    <w:uiPriority w:val="0"/>
    <w:pPr>
      <w:adjustRightInd w:val="0"/>
      <w:snapToGrid w:val="0"/>
      <w:spacing w:line="280" w:lineRule="exact"/>
      <w:ind w:firstLine="601"/>
      <w:jc w:val="center"/>
      <w:textAlignment w:val="bottom"/>
    </w:pPr>
    <w:rPr>
      <w:rFonts w:eastAsia="楷体_GB2312" w:cs="宋体" w:asciiTheme="minorHAnsi" w:hAnsiTheme="minorHAnsi"/>
      <w:spacing w:val="8"/>
      <w:sz w:val="28"/>
      <w:szCs w:val="22"/>
    </w:rPr>
  </w:style>
  <w:style w:type="character" w:customStyle="1" w:styleId="810">
    <w:name w:val="hilite"/>
    <w:basedOn w:val="94"/>
    <w:autoRedefine/>
    <w:qFormat/>
    <w:uiPriority w:val="0"/>
  </w:style>
  <w:style w:type="character" w:customStyle="1" w:styleId="811">
    <w:name w:val="表芯 Char Char Char"/>
    <w:autoRedefine/>
    <w:qFormat/>
    <w:uiPriority w:val="0"/>
    <w:rPr>
      <w:rFonts w:eastAsia="楷体_GB2312"/>
      <w:spacing w:val="-6"/>
      <w:sz w:val="21"/>
      <w:lang w:val="en-US" w:eastAsia="zh-CN" w:bidi="ar-SA"/>
    </w:rPr>
  </w:style>
  <w:style w:type="character" w:customStyle="1" w:styleId="812">
    <w:name w:val="paragraph11"/>
    <w:autoRedefine/>
    <w:qFormat/>
    <w:uiPriority w:val="0"/>
    <w:rPr>
      <w:color w:val="333333"/>
    </w:rPr>
  </w:style>
  <w:style w:type="character" w:customStyle="1" w:styleId="813">
    <w:name w:val="结束语 Char1"/>
    <w:basedOn w:val="94"/>
    <w:autoRedefine/>
    <w:qFormat/>
    <w:uiPriority w:val="0"/>
  </w:style>
  <w:style w:type="character" w:customStyle="1" w:styleId="814">
    <w:name w:val="12px_bold_blue1"/>
    <w:autoRedefine/>
    <w:qFormat/>
    <w:uiPriority w:val="0"/>
    <w:rPr>
      <w:rFonts w:hint="default" w:ascii="Verdana" w:hAnsi="Verdana"/>
      <w:b/>
      <w:bCs/>
      <w:color w:val="000066"/>
      <w:sz w:val="18"/>
      <w:szCs w:val="18"/>
      <w:u w:val="none"/>
    </w:rPr>
  </w:style>
  <w:style w:type="character" w:customStyle="1" w:styleId="815">
    <w:name w:val="样式 正文文本缩进 3 + (西文) 宋体 Char"/>
    <w:autoRedefine/>
    <w:qFormat/>
    <w:uiPriority w:val="0"/>
    <w:rPr>
      <w:rFonts w:ascii="楷体_GB2312" w:hAnsi="宋体" w:eastAsia="楷体_GB2312"/>
      <w:kern w:val="2"/>
      <w:sz w:val="24"/>
      <w:szCs w:val="28"/>
      <w:lang w:val="en-US" w:eastAsia="zh-CN" w:bidi="ar-SA"/>
    </w:rPr>
  </w:style>
  <w:style w:type="character" w:customStyle="1" w:styleId="816">
    <w:name w:val="richtextmngstyle1"/>
    <w:autoRedefine/>
    <w:qFormat/>
    <w:uiPriority w:val="0"/>
    <w:rPr>
      <w:color w:val="000000"/>
      <w:spacing w:val="15"/>
      <w:sz w:val="21"/>
      <w:szCs w:val="21"/>
      <w:u w:val="none"/>
    </w:rPr>
  </w:style>
  <w:style w:type="paragraph" w:customStyle="1" w:styleId="817">
    <w:name w:val="样式 样式 左侧:  0.75 厘米 首行缩进:  0.75 厘米 + 段前: 0.1 行 段后: 0.1 行"/>
    <w:basedOn w:val="1"/>
    <w:autoRedefine/>
    <w:qFormat/>
    <w:uiPriority w:val="0"/>
    <w:pPr>
      <w:adjustRightInd w:val="0"/>
      <w:spacing w:line="400" w:lineRule="exact"/>
      <w:ind w:left="425" w:firstLine="425"/>
      <w:textAlignment w:val="baseline"/>
    </w:pPr>
    <w:rPr>
      <w:rFonts w:ascii="宋体" w:cs="宋体"/>
      <w:spacing w:val="30"/>
      <w:kern w:val="0"/>
      <w:sz w:val="24"/>
      <w:szCs w:val="20"/>
    </w:rPr>
  </w:style>
  <w:style w:type="paragraph" w:customStyle="1" w:styleId="818">
    <w:name w:val="Char2 Char Char Char Char Char Char"/>
    <w:basedOn w:val="1"/>
    <w:autoRedefine/>
    <w:qFormat/>
    <w:uiPriority w:val="0"/>
    <w:pPr>
      <w:adjustRightInd w:val="0"/>
      <w:snapToGrid w:val="0"/>
      <w:spacing w:line="400" w:lineRule="exact"/>
      <w:ind w:firstLine="601"/>
      <w:textAlignment w:val="baseline"/>
    </w:pPr>
    <w:rPr>
      <w:rFonts w:ascii="Arial" w:hAnsi="Arial"/>
      <w:spacing w:val="30"/>
      <w:kern w:val="0"/>
      <w:sz w:val="24"/>
      <w:szCs w:val="21"/>
    </w:rPr>
  </w:style>
  <w:style w:type="paragraph" w:customStyle="1" w:styleId="819">
    <w:name w:val="样式 样式 样式 样式 样式 样式 样式 样式 首行缩进:  2 字符 + 首行缩进:  2 字符2 + 仿宋_GB2312 行...1"/>
    <w:basedOn w:val="1"/>
    <w:autoRedefine/>
    <w:qFormat/>
    <w:uiPriority w:val="0"/>
    <w:pPr>
      <w:adjustRightInd w:val="0"/>
      <w:spacing w:line="520" w:lineRule="exact"/>
      <w:ind w:firstLine="200" w:firstLineChars="200"/>
      <w:textAlignment w:val="baseline"/>
    </w:pPr>
    <w:rPr>
      <w:rFonts w:ascii="宋体" w:cs="宋体"/>
      <w:spacing w:val="14"/>
      <w:kern w:val="0"/>
      <w:sz w:val="24"/>
      <w:szCs w:val="20"/>
    </w:rPr>
  </w:style>
  <w:style w:type="paragraph" w:customStyle="1" w:styleId="820">
    <w:name w:val="正文大"/>
    <w:basedOn w:val="1"/>
    <w:autoRedefine/>
    <w:qFormat/>
    <w:uiPriority w:val="0"/>
    <w:pPr>
      <w:adjustRightInd w:val="0"/>
      <w:spacing w:line="480" w:lineRule="exact"/>
      <w:ind w:firstLine="601"/>
      <w:textAlignment w:val="baseline"/>
    </w:pPr>
    <w:rPr>
      <w:rFonts w:ascii="宋体"/>
      <w:spacing w:val="30"/>
      <w:kern w:val="0"/>
      <w:sz w:val="24"/>
      <w:szCs w:val="20"/>
    </w:rPr>
  </w:style>
  <w:style w:type="paragraph" w:customStyle="1" w:styleId="821">
    <w:name w:val="标题2"/>
    <w:basedOn w:val="4"/>
    <w:link w:val="822"/>
    <w:autoRedefine/>
    <w:qFormat/>
    <w:uiPriority w:val="0"/>
    <w:pPr>
      <w:adjustRightInd/>
      <w:spacing w:before="240" w:after="240" w:line="500" w:lineRule="exact"/>
      <w:ind w:left="0"/>
      <w:jc w:val="both"/>
      <w:textAlignment w:val="auto"/>
    </w:pPr>
    <w:rPr>
      <w:rFonts w:ascii="Cambria" w:hAnsi="Cambria" w:eastAsia="宋体"/>
      <w:szCs w:val="32"/>
    </w:rPr>
  </w:style>
  <w:style w:type="character" w:customStyle="1" w:styleId="822">
    <w:name w:val="标题2 Char"/>
    <w:basedOn w:val="94"/>
    <w:link w:val="821"/>
    <w:autoRedefine/>
    <w:qFormat/>
    <w:uiPriority w:val="0"/>
    <w:rPr>
      <w:rFonts w:ascii="Cambria" w:hAnsi="Cambria"/>
      <w:b/>
      <w:kern w:val="2"/>
      <w:sz w:val="28"/>
      <w:szCs w:val="32"/>
    </w:rPr>
  </w:style>
  <w:style w:type="paragraph" w:customStyle="1" w:styleId="823">
    <w:name w:val="reader-word-layer reader-word-s2-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4">
    <w:name w:val="性质标题"/>
    <w:basedOn w:val="1"/>
    <w:next w:val="407"/>
    <w:autoRedefine/>
    <w:qFormat/>
    <w:uiPriority w:val="0"/>
    <w:pPr>
      <w:adjustRightInd w:val="0"/>
      <w:spacing w:before="60" w:after="60" w:line="280" w:lineRule="exact"/>
      <w:ind w:left="284" w:right="459" w:firstLine="200" w:firstLineChars="200"/>
      <w:jc w:val="left"/>
      <w:textAlignment w:val="baseline"/>
    </w:pPr>
    <w:rPr>
      <w:rFonts w:ascii="宋体"/>
      <w:b/>
      <w:spacing w:val="4"/>
      <w:kern w:val="0"/>
      <w:sz w:val="24"/>
    </w:rPr>
  </w:style>
  <w:style w:type="paragraph" w:customStyle="1" w:styleId="825">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26">
    <w:name w:val="LY标题2"/>
    <w:basedOn w:val="827"/>
    <w:next w:val="827"/>
    <w:autoRedefine/>
    <w:qFormat/>
    <w:uiPriority w:val="0"/>
    <w:pPr>
      <w:ind w:firstLine="0"/>
      <w:jc w:val="center"/>
    </w:pPr>
    <w:rPr>
      <w:b/>
    </w:rPr>
  </w:style>
  <w:style w:type="paragraph" w:customStyle="1" w:styleId="827">
    <w:name w:val="LY正文"/>
    <w:basedOn w:val="1"/>
    <w:autoRedefine/>
    <w:qFormat/>
    <w:uiPriority w:val="0"/>
    <w:pPr>
      <w:autoSpaceDE w:val="0"/>
      <w:autoSpaceDN w:val="0"/>
      <w:adjustRightInd w:val="0"/>
      <w:spacing w:line="360" w:lineRule="atLeast"/>
      <w:ind w:firstLine="522"/>
      <w:textAlignment w:val="baseline"/>
    </w:pPr>
    <w:rPr>
      <w:rFonts w:ascii="Arial" w:hAnsi="Arial"/>
      <w:spacing w:val="10"/>
      <w:kern w:val="0"/>
      <w:sz w:val="24"/>
      <w:szCs w:val="20"/>
    </w:rPr>
  </w:style>
  <w:style w:type="paragraph" w:customStyle="1" w:styleId="828">
    <w:name w:val="内容目录 10"/>
    <w:basedOn w:val="829"/>
    <w:autoRedefine/>
    <w:qFormat/>
    <w:uiPriority w:val="0"/>
    <w:pPr>
      <w:tabs>
        <w:tab w:val="right" w:leader="dot" w:pos="9637"/>
      </w:tabs>
      <w:ind w:left="2547" w:firstLine="0"/>
    </w:pPr>
  </w:style>
  <w:style w:type="paragraph" w:customStyle="1" w:styleId="829">
    <w:name w:val="目录"/>
    <w:basedOn w:val="1"/>
    <w:autoRedefine/>
    <w:qFormat/>
    <w:uiPriority w:val="0"/>
    <w:pPr>
      <w:suppressLineNumbers/>
      <w:adjustRightInd w:val="0"/>
      <w:spacing w:line="400" w:lineRule="exact"/>
      <w:ind w:firstLine="601"/>
      <w:textAlignment w:val="baseline"/>
    </w:pPr>
    <w:rPr>
      <w:rFonts w:ascii="宋体" w:cs="Tahoma"/>
      <w:spacing w:val="30"/>
      <w:kern w:val="0"/>
      <w:sz w:val="24"/>
      <w:szCs w:val="20"/>
    </w:rPr>
  </w:style>
  <w:style w:type="paragraph" w:customStyle="1" w:styleId="830">
    <w:name w:val="正文首行缩进G"/>
    <w:basedOn w:val="87"/>
    <w:next w:val="34"/>
    <w:autoRedefine/>
    <w:qFormat/>
    <w:uiPriority w:val="0"/>
    <w:pPr>
      <w:ind w:firstLine="200" w:firstLineChars="200"/>
    </w:pPr>
  </w:style>
  <w:style w:type="paragraph" w:customStyle="1" w:styleId="831">
    <w:name w:val="样式 纯文本 + 幼圆 小四 行距: 1.5 倍行距"/>
    <w:basedOn w:val="45"/>
    <w:autoRedefine/>
    <w:qFormat/>
    <w:uiPriority w:val="0"/>
    <w:pPr>
      <w:adjustRightInd/>
      <w:spacing w:before="0" w:line="360" w:lineRule="auto"/>
      <w:ind w:left="989" w:leftChars="412"/>
      <w:textAlignment w:val="auto"/>
    </w:pPr>
    <w:rPr>
      <w:rFonts w:ascii="幼圆" w:hAnsi="Dutch801 Rm BT" w:eastAsia="幼圆" w:cs="宋体"/>
      <w:spacing w:val="0"/>
      <w:kern w:val="2"/>
      <w:sz w:val="24"/>
      <w:szCs w:val="18"/>
    </w:rPr>
  </w:style>
  <w:style w:type="paragraph" w:customStyle="1" w:styleId="832">
    <w:name w:val="xl140"/>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kern w:val="0"/>
      <w:sz w:val="20"/>
      <w:szCs w:val="20"/>
    </w:rPr>
  </w:style>
  <w:style w:type="paragraph" w:customStyle="1" w:styleId="833">
    <w:name w:val="正文表标题"/>
    <w:next w:val="800"/>
    <w:autoRedefine/>
    <w:qFormat/>
    <w:uiPriority w:val="0"/>
    <w:pPr>
      <w:tabs>
        <w:tab w:val="left" w:pos="720"/>
      </w:tabs>
      <w:jc w:val="center"/>
    </w:pPr>
    <w:rPr>
      <w:rFonts w:ascii="黑体" w:hAnsi="Times New Roman" w:eastAsia="黑体" w:cs="Times New Roman"/>
      <w:sz w:val="21"/>
      <w:lang w:val="en-US" w:eastAsia="zh-CN" w:bidi="ar-SA"/>
    </w:rPr>
  </w:style>
  <w:style w:type="paragraph" w:customStyle="1" w:styleId="834">
    <w:name w:val="xl105"/>
    <w:basedOn w:val="1"/>
    <w:autoRedefine/>
    <w:qFormat/>
    <w:uiPriority w:val="0"/>
    <w:pPr>
      <w:widowControl/>
      <w:shd w:val="clear" w:color="auto" w:fill="FFFFFF"/>
      <w:spacing w:before="100" w:beforeAutospacing="1" w:after="100" w:afterAutospacing="1"/>
      <w:jc w:val="left"/>
    </w:pPr>
    <w:rPr>
      <w:rFonts w:ascii="宋体"/>
      <w:kern w:val="0"/>
      <w:sz w:val="20"/>
      <w:szCs w:val="20"/>
    </w:rPr>
  </w:style>
  <w:style w:type="paragraph" w:customStyle="1" w:styleId="835">
    <w:name w:val="Char1 Char Char Char Char Char Char Char Char Char1 Char Char Char Char Char Char"/>
    <w:basedOn w:val="1"/>
    <w:autoRedefine/>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836">
    <w:name w:val="正文段落"/>
    <w:basedOn w:val="35"/>
    <w:autoRedefine/>
    <w:qFormat/>
    <w:uiPriority w:val="0"/>
    <w:pPr>
      <w:snapToGrid/>
      <w:spacing w:before="0" w:line="240" w:lineRule="auto"/>
      <w:ind w:firstLine="420" w:firstLineChars="200"/>
    </w:pPr>
    <w:rPr>
      <w:rFonts w:ascii="宋体"/>
      <w:spacing w:val="30"/>
      <w:sz w:val="21"/>
    </w:rPr>
  </w:style>
  <w:style w:type="paragraph" w:customStyle="1" w:styleId="837">
    <w:name w:val="图文字"/>
    <w:basedOn w:val="1"/>
    <w:autoRedefine/>
    <w:qFormat/>
    <w:uiPriority w:val="0"/>
    <w:pPr>
      <w:adjustRightInd w:val="0"/>
      <w:spacing w:line="280" w:lineRule="exact"/>
      <w:ind w:firstLine="601"/>
      <w:jc w:val="center"/>
      <w:textAlignment w:val="baseline"/>
    </w:pPr>
    <w:rPr>
      <w:rFonts w:ascii="宋体" w:hAnsi="宋体"/>
      <w:spacing w:val="30"/>
      <w:kern w:val="0"/>
      <w:sz w:val="24"/>
    </w:rPr>
  </w:style>
  <w:style w:type="paragraph" w:customStyle="1" w:styleId="838">
    <w:name w:val="图标"/>
    <w:basedOn w:val="21"/>
    <w:autoRedefine/>
    <w:qFormat/>
    <w:uiPriority w:val="0"/>
    <w:pPr>
      <w:adjustRightInd w:val="0"/>
      <w:spacing w:after="60" w:line="400" w:lineRule="exact"/>
      <w:ind w:firstLine="0" w:firstLineChars="0"/>
      <w:jc w:val="center"/>
      <w:textAlignment w:val="baseline"/>
    </w:pPr>
    <w:rPr>
      <w:rFonts w:ascii="宋体" w:eastAsia="文鼎CS中宋"/>
      <w:spacing w:val="8"/>
      <w:kern w:val="0"/>
      <w:sz w:val="24"/>
      <w:szCs w:val="20"/>
    </w:rPr>
  </w:style>
  <w:style w:type="paragraph" w:customStyle="1" w:styleId="839">
    <w:name w:val="报告表格"/>
    <w:basedOn w:val="1"/>
    <w:link w:val="840"/>
    <w:autoRedefine/>
    <w:qFormat/>
    <w:uiPriority w:val="0"/>
    <w:pPr>
      <w:autoSpaceDE w:val="0"/>
      <w:autoSpaceDN w:val="0"/>
      <w:adjustRightInd w:val="0"/>
      <w:spacing w:line="400" w:lineRule="exact"/>
      <w:jc w:val="center"/>
      <w:textAlignment w:val="bottom"/>
    </w:pPr>
    <w:rPr>
      <w:rFonts w:ascii="宋体"/>
      <w:kern w:val="0"/>
      <w:szCs w:val="21"/>
    </w:rPr>
  </w:style>
  <w:style w:type="character" w:customStyle="1" w:styleId="840">
    <w:name w:val="报告表格 Char"/>
    <w:link w:val="839"/>
    <w:autoRedefine/>
    <w:qFormat/>
    <w:uiPriority w:val="0"/>
    <w:rPr>
      <w:rFonts w:ascii="宋体"/>
      <w:sz w:val="21"/>
      <w:szCs w:val="21"/>
    </w:rPr>
  </w:style>
  <w:style w:type="paragraph" w:customStyle="1" w:styleId="84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b/>
      <w:bCs/>
      <w:color w:val="000000"/>
      <w:kern w:val="0"/>
      <w:sz w:val="24"/>
    </w:rPr>
  </w:style>
  <w:style w:type="paragraph" w:customStyle="1" w:styleId="842">
    <w:name w:val="1 Char Char Char Char Char Char Char Char Char Char"/>
    <w:basedOn w:val="1"/>
    <w:autoRedefine/>
    <w:qFormat/>
    <w:uiPriority w:val="0"/>
    <w:rPr>
      <w:rFonts w:ascii="仿宋_GB2312" w:eastAsia="仿宋_GB2312"/>
      <w:sz w:val="24"/>
    </w:rPr>
  </w:style>
  <w:style w:type="paragraph" w:customStyle="1" w:styleId="843">
    <w:name w:val="gy"/>
    <w:basedOn w:val="1"/>
    <w:autoRedefine/>
    <w:qFormat/>
    <w:uiPriority w:val="0"/>
    <w:pPr>
      <w:widowControl/>
      <w:spacing w:before="100" w:beforeAutospacing="1" w:after="100" w:afterAutospacing="1" w:line="360" w:lineRule="auto"/>
      <w:ind w:left="136" w:right="136" w:firstLine="360"/>
      <w:jc w:val="left"/>
    </w:pPr>
    <w:rPr>
      <w:rFonts w:ascii="宋体" w:hAnsi="宋体" w:cs="宋体"/>
      <w:kern w:val="0"/>
      <w:sz w:val="16"/>
      <w:szCs w:val="16"/>
    </w:rPr>
  </w:style>
  <w:style w:type="paragraph" w:customStyle="1" w:styleId="844">
    <w:name w:val="cucd-TB-Head"/>
    <w:basedOn w:val="1"/>
    <w:next w:val="195"/>
    <w:autoRedefine/>
    <w:qFormat/>
    <w:uiPriority w:val="0"/>
    <w:pPr>
      <w:spacing w:line="360" w:lineRule="exact"/>
      <w:jc w:val="center"/>
    </w:pPr>
    <w:rPr>
      <w:rFonts w:ascii="宋体" w:eastAsia="黑体"/>
      <w:sz w:val="18"/>
      <w:szCs w:val="18"/>
    </w:rPr>
  </w:style>
  <w:style w:type="paragraph" w:customStyle="1" w:styleId="845">
    <w:name w:val="Char1 Char Char Char Char Char Char"/>
    <w:basedOn w:val="1"/>
    <w:autoRedefine/>
    <w:qFormat/>
    <w:uiPriority w:val="0"/>
    <w:rPr>
      <w:rFonts w:ascii="宋体"/>
      <w:sz w:val="24"/>
    </w:rPr>
  </w:style>
  <w:style w:type="paragraph" w:customStyle="1" w:styleId="846">
    <w:name w:val="报告样式3"/>
    <w:basedOn w:val="5"/>
    <w:next w:val="847"/>
    <w:autoRedefine/>
    <w:qFormat/>
    <w:uiPriority w:val="0"/>
    <w:pPr>
      <w:keepNext w:val="0"/>
      <w:keepLines w:val="0"/>
      <w:tabs>
        <w:tab w:val="left" w:pos="2126"/>
      </w:tabs>
      <w:spacing w:before="0" w:after="0" w:line="360" w:lineRule="auto"/>
    </w:pPr>
    <w:rPr>
      <w:rFonts w:ascii="Arial Rounded MT Bold" w:hAnsi="Arial Rounded MT Bold" w:eastAsia="宋体" w:cs="Times New Roman"/>
      <w:b w:val="0"/>
      <w:sz w:val="24"/>
      <w:szCs w:val="24"/>
    </w:rPr>
  </w:style>
  <w:style w:type="paragraph" w:customStyle="1" w:styleId="847">
    <w:name w:val="报告样式4"/>
    <w:basedOn w:val="21"/>
    <w:autoRedefine/>
    <w:qFormat/>
    <w:uiPriority w:val="0"/>
    <w:pPr>
      <w:spacing w:line="360" w:lineRule="auto"/>
      <w:ind w:firstLine="480"/>
    </w:pPr>
    <w:rPr>
      <w:bCs/>
      <w:sz w:val="24"/>
      <w:szCs w:val="22"/>
    </w:rPr>
  </w:style>
  <w:style w:type="paragraph" w:customStyle="1" w:styleId="848">
    <w:name w:val="字元4 Char Char Char"/>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849">
    <w:name w:val="第二标题"/>
    <w:basedOn w:val="1"/>
    <w:autoRedefine/>
    <w:qFormat/>
    <w:uiPriority w:val="0"/>
    <w:pPr>
      <w:widowControl/>
      <w:adjustRightInd w:val="0"/>
      <w:jc w:val="left"/>
      <w:textAlignment w:val="baseline"/>
    </w:pPr>
    <w:rPr>
      <w:rFonts w:ascii="宋体" w:eastAsia="黑体"/>
      <w:kern w:val="0"/>
      <w:sz w:val="30"/>
      <w:szCs w:val="20"/>
      <w:lang w:val="en-AU"/>
    </w:rPr>
  </w:style>
  <w:style w:type="paragraph" w:customStyle="1" w:styleId="850">
    <w:name w:val="CM16"/>
    <w:basedOn w:val="112"/>
    <w:next w:val="112"/>
    <w:autoRedefine/>
    <w:qFormat/>
    <w:uiPriority w:val="0"/>
    <w:pPr>
      <w:spacing w:line="468" w:lineRule="atLeast"/>
    </w:pPr>
    <w:rPr>
      <w:rFonts w:ascii="宋体" w:eastAsia="宋体" w:cs="Times New Roman"/>
      <w:color w:val="auto"/>
    </w:rPr>
  </w:style>
  <w:style w:type="paragraph" w:customStyle="1" w:styleId="851">
    <w:name w:val="价格变化趋"/>
    <w:basedOn w:val="1"/>
    <w:autoRedefine/>
    <w:qFormat/>
    <w:uiPriority w:val="0"/>
    <w:pPr>
      <w:adjustRightInd w:val="0"/>
      <w:spacing w:line="315" w:lineRule="atLeast"/>
      <w:ind w:firstLine="601"/>
      <w:jc w:val="left"/>
      <w:textAlignment w:val="baseline"/>
    </w:pPr>
    <w:rPr>
      <w:rFonts w:ascii="宋体"/>
      <w:spacing w:val="30"/>
      <w:kern w:val="0"/>
      <w:sz w:val="24"/>
      <w:szCs w:val="20"/>
    </w:rPr>
  </w:style>
  <w:style w:type="paragraph" w:customStyle="1" w:styleId="852">
    <w:name w:val="xl161"/>
    <w:basedOn w:val="1"/>
    <w:autoRedefine/>
    <w:qFormat/>
    <w:uiPriority w:val="0"/>
    <w:pPr>
      <w:widowControl/>
      <w:pBdr>
        <w:bottom w:val="single" w:color="auto" w:sz="8" w:space="0"/>
        <w:right w:val="single" w:color="auto" w:sz="8" w:space="0"/>
      </w:pBdr>
      <w:shd w:val="clear" w:color="auto" w:fill="FFFFFF"/>
      <w:spacing w:before="100" w:beforeAutospacing="1" w:after="100" w:afterAutospacing="1"/>
      <w:jc w:val="left"/>
    </w:pPr>
    <w:rPr>
      <w:rFonts w:ascii="宋体"/>
      <w:kern w:val="0"/>
      <w:sz w:val="16"/>
      <w:szCs w:val="16"/>
    </w:rPr>
  </w:style>
  <w:style w:type="paragraph" w:customStyle="1" w:styleId="853">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854">
    <w:name w:val="索引 41"/>
    <w:basedOn w:val="1"/>
    <w:next w:val="1"/>
    <w:autoRedefine/>
    <w:qFormat/>
    <w:uiPriority w:val="0"/>
    <w:pPr>
      <w:adjustRightInd w:val="0"/>
      <w:spacing w:line="400" w:lineRule="exact"/>
      <w:ind w:left="1260"/>
      <w:textAlignment w:val="baseline"/>
    </w:pPr>
    <w:rPr>
      <w:rFonts w:ascii="宋体"/>
      <w:spacing w:val="30"/>
      <w:kern w:val="0"/>
      <w:sz w:val="24"/>
      <w:szCs w:val="20"/>
    </w:rPr>
  </w:style>
  <w:style w:type="paragraph" w:customStyle="1" w:styleId="855">
    <w:name w:val="reader-word-layer reader-word-s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56">
    <w:name w:val="Char1"/>
    <w:basedOn w:val="1"/>
    <w:autoRedefine/>
    <w:qFormat/>
    <w:uiPriority w:val="0"/>
    <w:rPr>
      <w:rFonts w:ascii="宋体" w:hAnsi="宋体"/>
      <w:sz w:val="28"/>
    </w:rPr>
  </w:style>
  <w:style w:type="paragraph" w:customStyle="1" w:styleId="857">
    <w:name w:val="reader-word-layer reader-word-s1-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58">
    <w:name w:val="LY标题1"/>
    <w:basedOn w:val="827"/>
    <w:next w:val="826"/>
    <w:autoRedefine/>
    <w:qFormat/>
    <w:uiPriority w:val="0"/>
    <w:pPr>
      <w:spacing w:before="120" w:after="120"/>
      <w:ind w:firstLine="0"/>
      <w:jc w:val="center"/>
    </w:pPr>
    <w:rPr>
      <w:b/>
      <w:sz w:val="28"/>
    </w:rPr>
  </w:style>
  <w:style w:type="paragraph" w:customStyle="1" w:styleId="859">
    <w:name w:val="xl4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val="0"/>
      <w:spacing w:before="100" w:beforeAutospacing="1" w:after="100" w:afterAutospacing="1" w:line="400" w:lineRule="exact"/>
      <w:ind w:firstLine="601"/>
      <w:jc w:val="left"/>
      <w:textAlignment w:val="baseline"/>
    </w:pPr>
    <w:rPr>
      <w:rFonts w:hint="eastAsia" w:ascii="宋体" w:hAnsi="宋体"/>
      <w:color w:val="000000"/>
      <w:spacing w:val="30"/>
      <w:kern w:val="0"/>
      <w:sz w:val="20"/>
      <w:szCs w:val="20"/>
    </w:rPr>
  </w:style>
  <w:style w:type="paragraph" w:customStyle="1" w:styleId="860">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861">
    <w:name w:val="xl126"/>
    <w:basedOn w:val="1"/>
    <w:autoRedefine/>
    <w:qFormat/>
    <w:uiPriority w:val="0"/>
    <w:pPr>
      <w:widowControl/>
      <w:shd w:val="clear" w:color="auto" w:fill="FFFFFF"/>
      <w:spacing w:before="100" w:beforeAutospacing="1" w:after="100" w:afterAutospacing="1"/>
      <w:jc w:val="left"/>
    </w:pPr>
    <w:rPr>
      <w:rFonts w:ascii="宋体"/>
      <w:b/>
      <w:bCs/>
      <w:color w:val="0000FF"/>
      <w:kern w:val="0"/>
      <w:sz w:val="20"/>
      <w:szCs w:val="20"/>
    </w:rPr>
  </w:style>
  <w:style w:type="paragraph" w:customStyle="1" w:styleId="862">
    <w:name w:val="图标题"/>
    <w:basedOn w:val="1"/>
    <w:autoRedefine/>
    <w:qFormat/>
    <w:uiPriority w:val="0"/>
    <w:pPr>
      <w:adjustRightInd w:val="0"/>
      <w:spacing w:line="300" w:lineRule="exact"/>
      <w:ind w:firstLine="601"/>
      <w:textAlignment w:val="baseline"/>
    </w:pPr>
    <w:rPr>
      <w:rFonts w:ascii="仿宋_GB2312" w:eastAsia="仿宋_GB2312"/>
      <w:b/>
      <w:bCs/>
      <w:spacing w:val="30"/>
      <w:kern w:val="0"/>
      <w:sz w:val="24"/>
    </w:rPr>
  </w:style>
  <w:style w:type="paragraph" w:customStyle="1" w:styleId="863">
    <w:name w:val="CM12"/>
    <w:basedOn w:val="112"/>
    <w:next w:val="112"/>
    <w:autoRedefine/>
    <w:qFormat/>
    <w:uiPriority w:val="0"/>
    <w:pPr>
      <w:spacing w:line="468" w:lineRule="atLeast"/>
    </w:pPr>
    <w:rPr>
      <w:rFonts w:ascii="宋体" w:eastAsia="宋体" w:cs="Times New Roman"/>
      <w:color w:val="auto"/>
    </w:rPr>
  </w:style>
  <w:style w:type="paragraph" w:customStyle="1" w:styleId="864">
    <w:name w:val="样式 样式 表格标题正文（首行缩进两字） Char Char Char Char Char Char Char正文（首行缩进两字..."/>
    <w:basedOn w:val="1"/>
    <w:autoRedefine/>
    <w:qFormat/>
    <w:uiPriority w:val="0"/>
    <w:pPr>
      <w:adjustRightInd w:val="0"/>
      <w:spacing w:before="120" w:after="93" w:afterLines="30" w:line="400" w:lineRule="exact"/>
      <w:ind w:firstLine="400" w:firstLineChars="400"/>
      <w:textAlignment w:val="baseline"/>
    </w:pPr>
    <w:rPr>
      <w:rFonts w:ascii="宋体" w:eastAsia="文鼎CS中宋" w:cs="宋体"/>
      <w:spacing w:val="30"/>
      <w:kern w:val="0"/>
      <w:sz w:val="24"/>
      <w:szCs w:val="20"/>
    </w:rPr>
  </w:style>
  <w:style w:type="paragraph" w:customStyle="1" w:styleId="865">
    <w:name w:val="样式 表格标题 + 首行缩进:  2 字符"/>
    <w:basedOn w:val="1"/>
    <w:autoRedefine/>
    <w:qFormat/>
    <w:uiPriority w:val="0"/>
    <w:pPr>
      <w:adjustRightInd w:val="0"/>
      <w:spacing w:before="120" w:line="360" w:lineRule="auto"/>
      <w:ind w:firstLine="480" w:firstLineChars="200"/>
      <w:jc w:val="center"/>
      <w:textAlignment w:val="baseline"/>
    </w:pPr>
    <w:rPr>
      <w:rFonts w:ascii="宋体" w:eastAsia="汉鼎简特宋"/>
      <w:kern w:val="0"/>
      <w:sz w:val="24"/>
      <w:szCs w:val="20"/>
    </w:rPr>
  </w:style>
  <w:style w:type="paragraph" w:customStyle="1" w:styleId="866">
    <w:name w:val="CM8"/>
    <w:basedOn w:val="112"/>
    <w:next w:val="112"/>
    <w:autoRedefine/>
    <w:qFormat/>
    <w:uiPriority w:val="0"/>
    <w:pPr>
      <w:spacing w:line="588" w:lineRule="atLeast"/>
    </w:pPr>
    <w:rPr>
      <w:rFonts w:ascii="宋体" w:eastAsia="宋体" w:cs="Times New Roman"/>
      <w:color w:val="auto"/>
    </w:rPr>
  </w:style>
  <w:style w:type="paragraph" w:customStyle="1" w:styleId="867">
    <w:name w:val="正文新 Char"/>
    <w:basedOn w:val="1"/>
    <w:autoRedefine/>
    <w:qFormat/>
    <w:uiPriority w:val="0"/>
    <w:pPr>
      <w:spacing w:line="360" w:lineRule="auto"/>
      <w:ind w:firstLine="200" w:firstLineChars="200"/>
    </w:pPr>
    <w:rPr>
      <w:sz w:val="24"/>
      <w:szCs w:val="20"/>
    </w:rPr>
  </w:style>
  <w:style w:type="paragraph" w:customStyle="1" w:styleId="868">
    <w:name w:val="Plain Text1"/>
    <w:basedOn w:val="1"/>
    <w:autoRedefine/>
    <w:qFormat/>
    <w:uiPriority w:val="0"/>
    <w:pPr>
      <w:adjustRightInd w:val="0"/>
    </w:pPr>
    <w:rPr>
      <w:rFonts w:hint="eastAsia" w:ascii="宋体" w:hAnsi="Courier New"/>
      <w:szCs w:val="20"/>
    </w:rPr>
  </w:style>
  <w:style w:type="paragraph" w:customStyle="1" w:styleId="869">
    <w:name w:val="字元 字元 字元 字元 字元"/>
    <w:basedOn w:val="1"/>
    <w:autoRedefine/>
    <w:qFormat/>
    <w:uiPriority w:val="0"/>
    <w:pPr>
      <w:adjustRightInd w:val="0"/>
      <w:spacing w:line="400" w:lineRule="exact"/>
      <w:ind w:firstLine="200" w:firstLineChars="200"/>
      <w:textAlignment w:val="baseline"/>
    </w:pPr>
    <w:rPr>
      <w:rFonts w:ascii="宋体"/>
      <w:spacing w:val="30"/>
      <w:kern w:val="0"/>
      <w:sz w:val="24"/>
      <w:szCs w:val="28"/>
    </w:rPr>
  </w:style>
  <w:style w:type="paragraph" w:customStyle="1" w:styleId="870">
    <w:name w:val="reader-word-layer reader-word-s1-3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71">
    <w:name w:val="Char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72">
    <w:name w:val="font20"/>
    <w:basedOn w:val="1"/>
    <w:autoRedefine/>
    <w:qFormat/>
    <w:uiPriority w:val="0"/>
    <w:pPr>
      <w:widowControl/>
      <w:spacing w:before="100" w:beforeAutospacing="1" w:after="100" w:afterAutospacing="1"/>
      <w:jc w:val="left"/>
    </w:pPr>
    <w:rPr>
      <w:rFonts w:ascii="宋体" w:hAnsi="宋体" w:cs="宋体"/>
      <w:b/>
      <w:bCs/>
      <w:color w:val="0000FF"/>
      <w:kern w:val="0"/>
      <w:sz w:val="24"/>
    </w:rPr>
  </w:style>
  <w:style w:type="paragraph" w:customStyle="1" w:styleId="873">
    <w:name w:val="3102节级目录"/>
    <w:basedOn w:val="4"/>
    <w:autoRedefine/>
    <w:qFormat/>
    <w:uiPriority w:val="0"/>
    <w:pPr>
      <w:tabs>
        <w:tab w:val="left" w:pos="927"/>
        <w:tab w:val="left" w:pos="1418"/>
      </w:tabs>
      <w:adjustRightInd/>
      <w:spacing w:before="200" w:line="500" w:lineRule="atLeast"/>
      <w:ind w:left="425"/>
      <w:jc w:val="both"/>
      <w:textAlignment w:val="auto"/>
    </w:pPr>
    <w:rPr>
      <w:rFonts w:ascii="黑体" w:hAnsi="宋体" w:eastAsia="宋体"/>
      <w:bCs/>
      <w:snapToGrid w:val="0"/>
      <w:color w:val="0000FF"/>
      <w:sz w:val="32"/>
      <w:szCs w:val="30"/>
    </w:rPr>
  </w:style>
  <w:style w:type="paragraph" w:customStyle="1" w:styleId="874">
    <w:name w:val="Char3 Char Char Char Char Char Char1 Char Char Char Char Char Char Char Char Char1 Char Char Char1"/>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875">
    <w:name w:val="MTDisplayEquation"/>
    <w:basedOn w:val="1"/>
    <w:link w:val="876"/>
    <w:autoRedefine/>
    <w:qFormat/>
    <w:uiPriority w:val="0"/>
    <w:pPr>
      <w:spacing w:line="480" w:lineRule="exact"/>
      <w:ind w:firstLine="496" w:firstLineChars="200"/>
    </w:pPr>
    <w:rPr>
      <w:rFonts w:ascii="宋体" w:cs="宋体"/>
      <w:spacing w:val="4"/>
      <w:sz w:val="24"/>
      <w:szCs w:val="20"/>
    </w:rPr>
  </w:style>
  <w:style w:type="character" w:customStyle="1" w:styleId="876">
    <w:name w:val="MTDisplayEquation Char"/>
    <w:link w:val="875"/>
    <w:autoRedefine/>
    <w:qFormat/>
    <w:uiPriority w:val="0"/>
    <w:rPr>
      <w:rFonts w:ascii="宋体" w:cs="宋体"/>
      <w:spacing w:val="4"/>
      <w:kern w:val="2"/>
      <w:sz w:val="24"/>
    </w:rPr>
  </w:style>
  <w:style w:type="paragraph" w:customStyle="1" w:styleId="877">
    <w:name w:val="字元 字元"/>
    <w:basedOn w:val="1"/>
    <w:autoRedefine/>
    <w:qFormat/>
    <w:uiPriority w:val="0"/>
    <w:pPr>
      <w:adjustRightInd w:val="0"/>
      <w:spacing w:line="240" w:lineRule="exact"/>
      <w:ind w:firstLine="200" w:firstLineChars="200"/>
      <w:textAlignment w:val="baseline"/>
    </w:pPr>
    <w:rPr>
      <w:rFonts w:ascii="宋体" w:hAnsi="宋体" w:cs="宋体"/>
      <w:spacing w:val="30"/>
      <w:kern w:val="0"/>
      <w:sz w:val="24"/>
    </w:rPr>
  </w:style>
  <w:style w:type="paragraph" w:customStyle="1" w:styleId="878">
    <w:name w:val="textcontent"/>
    <w:basedOn w:val="1"/>
    <w:autoRedefine/>
    <w:qFormat/>
    <w:uiPriority w:val="0"/>
    <w:pPr>
      <w:widowControl/>
      <w:adjustRightInd w:val="0"/>
      <w:spacing w:line="400" w:lineRule="exact"/>
      <w:ind w:firstLine="601"/>
      <w:textAlignment w:val="baseline"/>
    </w:pPr>
    <w:rPr>
      <w:rFonts w:ascii="Arial" w:hAnsi="Arial" w:cs="Arial"/>
      <w:spacing w:val="30"/>
      <w:kern w:val="0"/>
      <w:sz w:val="24"/>
      <w:szCs w:val="21"/>
    </w:rPr>
  </w:style>
  <w:style w:type="paragraph" w:customStyle="1" w:styleId="879">
    <w:name w:val="p0"/>
    <w:basedOn w:val="1"/>
    <w:autoRedefine/>
    <w:qFormat/>
    <w:uiPriority w:val="0"/>
    <w:pPr>
      <w:widowControl/>
      <w:spacing w:line="365" w:lineRule="atLeast"/>
      <w:ind w:left="1"/>
      <w:textAlignment w:val="bottom"/>
    </w:pPr>
    <w:rPr>
      <w:kern w:val="0"/>
      <w:sz w:val="20"/>
      <w:szCs w:val="20"/>
    </w:rPr>
  </w:style>
  <w:style w:type="paragraph" w:customStyle="1" w:styleId="880">
    <w:name w:val="xl3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val="0"/>
      <w:spacing w:before="100" w:beforeAutospacing="1" w:after="100" w:afterAutospacing="1" w:line="400" w:lineRule="exact"/>
      <w:ind w:firstLine="601"/>
      <w:jc w:val="center"/>
      <w:textAlignment w:val="baseline"/>
    </w:pPr>
    <w:rPr>
      <w:rFonts w:hint="eastAsia" w:ascii="宋体" w:hAnsi="宋体"/>
      <w:color w:val="000000"/>
      <w:spacing w:val="30"/>
      <w:kern w:val="0"/>
      <w:sz w:val="20"/>
      <w:szCs w:val="20"/>
    </w:rPr>
  </w:style>
  <w:style w:type="paragraph" w:customStyle="1" w:styleId="881">
    <w:name w:val="xl109"/>
    <w:basedOn w:val="1"/>
    <w:autoRedefine/>
    <w:qFormat/>
    <w:uiPriority w:val="0"/>
    <w:pPr>
      <w:widowControl/>
      <w:shd w:val="clear" w:color="auto" w:fill="FFFFFF"/>
      <w:spacing w:before="100" w:beforeAutospacing="1" w:after="100" w:afterAutospacing="1"/>
      <w:jc w:val="left"/>
    </w:pPr>
    <w:rPr>
      <w:rFonts w:ascii="宋体"/>
      <w:b/>
      <w:bCs/>
      <w:color w:val="FF0000"/>
      <w:kern w:val="0"/>
      <w:sz w:val="20"/>
      <w:szCs w:val="20"/>
      <w:u w:val="single"/>
    </w:rPr>
  </w:style>
  <w:style w:type="paragraph" w:customStyle="1" w:styleId="882">
    <w:name w:val="正文不空"/>
    <w:basedOn w:val="1"/>
    <w:autoRedefine/>
    <w:qFormat/>
    <w:uiPriority w:val="0"/>
    <w:pPr>
      <w:spacing w:line="360" w:lineRule="auto"/>
      <w:jc w:val="center"/>
    </w:pPr>
    <w:rPr>
      <w:rFonts w:ascii="Arial" w:hAnsi="Arial" w:eastAsia="仿宋_GB2312"/>
      <w:sz w:val="24"/>
      <w:szCs w:val="28"/>
    </w:rPr>
  </w:style>
  <w:style w:type="paragraph" w:customStyle="1" w:styleId="88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884">
    <w:name w:val="红线"/>
    <w:basedOn w:val="3"/>
    <w:autoRedefine/>
    <w:qFormat/>
    <w:uiPriority w:val="0"/>
    <w:pPr>
      <w:keepNext w:val="0"/>
      <w:keepLines w:val="0"/>
      <w:autoSpaceDE w:val="0"/>
      <w:autoSpaceDN w:val="0"/>
      <w:adjustRightInd w:val="0"/>
      <w:spacing w:before="0" w:after="851" w:line="227" w:lineRule="atLeast"/>
      <w:ind w:right="-142"/>
      <w:jc w:val="center"/>
      <w:outlineLvl w:val="9"/>
    </w:pPr>
    <w:rPr>
      <w:rFonts w:ascii="宋体"/>
      <w:bCs/>
      <w:snapToGrid w:val="0"/>
      <w:kern w:val="2"/>
      <w:sz w:val="10"/>
      <w:szCs w:val="28"/>
    </w:rPr>
  </w:style>
  <w:style w:type="paragraph" w:customStyle="1" w:styleId="885">
    <w:name w:val="前言、引言标题"/>
    <w:next w:val="1"/>
    <w:autoRedefine/>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szCs w:val="32"/>
      <w:lang w:val="en-US" w:eastAsia="zh-CN" w:bidi="ar-SA"/>
    </w:rPr>
  </w:style>
  <w:style w:type="paragraph" w:customStyle="1" w:styleId="886">
    <w:name w:val="标题 Bb"/>
    <w:basedOn w:val="362"/>
    <w:autoRedefine/>
    <w:qFormat/>
    <w:uiPriority w:val="0"/>
    <w:pPr>
      <w:keepNext w:val="0"/>
      <w:spacing w:before="0" w:after="0"/>
    </w:pPr>
    <w:rPr>
      <w:rFonts w:ascii="Times New Roman" w:hAnsi="Times New Roman"/>
      <w:b/>
      <w:spacing w:val="24"/>
    </w:rPr>
  </w:style>
  <w:style w:type="paragraph" w:customStyle="1" w:styleId="887">
    <w:name w:val="Char3 Char Char Char Char Char Char1 Char Char Char Char Char Char Char Char Char1 Char Char Char"/>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888">
    <w:name w:val="图文框"/>
    <w:basedOn w:val="1"/>
    <w:autoRedefine/>
    <w:qFormat/>
    <w:uiPriority w:val="0"/>
    <w:pPr>
      <w:adjustRightInd w:val="0"/>
      <w:snapToGrid w:val="0"/>
      <w:spacing w:line="300" w:lineRule="exact"/>
      <w:jc w:val="center"/>
    </w:pPr>
    <w:rPr>
      <w:rFonts w:ascii="黑体" w:hAnsi="宋体" w:eastAsia="黑体"/>
      <w:szCs w:val="20"/>
    </w:rPr>
  </w:style>
  <w:style w:type="paragraph" w:customStyle="1" w:styleId="889">
    <w:name w:val="正文标准"/>
    <w:basedOn w:val="1"/>
    <w:autoRedefine/>
    <w:qFormat/>
    <w:uiPriority w:val="0"/>
    <w:pPr>
      <w:adjustRightInd w:val="0"/>
      <w:spacing w:line="480" w:lineRule="exact"/>
      <w:ind w:firstLine="560" w:firstLineChars="200"/>
      <w:textAlignment w:val="baseline"/>
    </w:pPr>
    <w:rPr>
      <w:rFonts w:ascii="仿宋_GB2312" w:hAnsi="宋体" w:eastAsia="仿宋_GB2312"/>
      <w:spacing w:val="30"/>
      <w:kern w:val="0"/>
      <w:sz w:val="24"/>
      <w:szCs w:val="28"/>
    </w:rPr>
  </w:style>
  <w:style w:type="paragraph" w:customStyle="1" w:styleId="890">
    <w:name w:val="表蕊居中"/>
    <w:autoRedefine/>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paragraph" w:customStyle="1" w:styleId="891">
    <w:name w:val="列出段落1"/>
    <w:basedOn w:val="1"/>
    <w:autoRedefine/>
    <w:qFormat/>
    <w:uiPriority w:val="0"/>
    <w:pPr>
      <w:ind w:firstLine="420" w:firstLineChars="200"/>
    </w:pPr>
  </w:style>
  <w:style w:type="paragraph" w:customStyle="1" w:styleId="892">
    <w:name w:val="项目编号"/>
    <w:basedOn w:val="1"/>
    <w:next w:val="1"/>
    <w:autoRedefine/>
    <w:qFormat/>
    <w:uiPriority w:val="0"/>
    <w:pPr>
      <w:adjustRightInd w:val="0"/>
      <w:spacing w:before="120" w:after="120" w:line="360" w:lineRule="auto"/>
      <w:ind w:firstLine="601"/>
      <w:textAlignment w:val="baseline"/>
    </w:pPr>
    <w:rPr>
      <w:rFonts w:ascii="宋体"/>
      <w:spacing w:val="30"/>
      <w:kern w:val="0"/>
      <w:sz w:val="24"/>
      <w:szCs w:val="20"/>
    </w:rPr>
  </w:style>
  <w:style w:type="paragraph" w:customStyle="1" w:styleId="893">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宋体"/>
      <w:kern w:val="0"/>
      <w:sz w:val="20"/>
      <w:szCs w:val="20"/>
    </w:rPr>
  </w:style>
  <w:style w:type="paragraph" w:customStyle="1" w:styleId="894">
    <w:name w:val="第×节"/>
    <w:basedOn w:val="1"/>
    <w:autoRedefine/>
    <w:qFormat/>
    <w:uiPriority w:val="0"/>
    <w:pPr>
      <w:adjustRightInd w:val="0"/>
      <w:spacing w:line="400" w:lineRule="exact"/>
      <w:textAlignment w:val="baseline"/>
    </w:pPr>
    <w:rPr>
      <w:rFonts w:ascii="宋体" w:eastAsia="文鼎CS行楷"/>
      <w:color w:val="008000"/>
      <w:spacing w:val="30"/>
      <w:kern w:val="0"/>
      <w:sz w:val="30"/>
      <w:szCs w:val="20"/>
    </w:rPr>
  </w:style>
  <w:style w:type="paragraph" w:customStyle="1" w:styleId="895">
    <w:name w:val="Char3 Char Char Char"/>
    <w:basedOn w:val="1"/>
    <w:autoRedefine/>
    <w:qFormat/>
    <w:uiPriority w:val="0"/>
    <w:pPr>
      <w:adjustRightInd w:val="0"/>
      <w:spacing w:line="400" w:lineRule="exact"/>
      <w:ind w:firstLine="601"/>
      <w:textAlignment w:val="baseline"/>
    </w:pPr>
    <w:rPr>
      <w:rFonts w:ascii="宋体"/>
      <w:spacing w:val="30"/>
      <w:kern w:val="0"/>
      <w:sz w:val="24"/>
      <w:szCs w:val="20"/>
    </w:rPr>
  </w:style>
  <w:style w:type="paragraph" w:customStyle="1" w:styleId="896">
    <w:name w:val="单位"/>
    <w:autoRedefine/>
    <w:qFormat/>
    <w:uiPriority w:val="0"/>
    <w:pPr>
      <w:spacing w:before="156" w:beforeLines="50"/>
      <w:ind w:left="1440" w:right="240" w:rightChars="100"/>
      <w:jc w:val="right"/>
    </w:pPr>
    <w:rPr>
      <w:rFonts w:ascii="Times New Roman" w:hAnsi="Times New Roman" w:eastAsia="仿宋_GB2312" w:cs="Times New Roman"/>
      <w:sz w:val="21"/>
      <w:lang w:val="en-US" w:eastAsia="zh-CN" w:bidi="ar-SA"/>
    </w:rPr>
  </w:style>
  <w:style w:type="paragraph" w:customStyle="1" w:styleId="897">
    <w:name w:val="图表文字"/>
    <w:basedOn w:val="1"/>
    <w:autoRedefine/>
    <w:qFormat/>
    <w:uiPriority w:val="0"/>
    <w:pPr>
      <w:adjustRightInd w:val="0"/>
      <w:spacing w:line="300" w:lineRule="exact"/>
      <w:ind w:firstLine="601"/>
      <w:jc w:val="center"/>
      <w:textAlignment w:val="baseline"/>
    </w:pPr>
    <w:rPr>
      <w:rFonts w:ascii="宋体"/>
      <w:bCs/>
      <w:spacing w:val="30"/>
      <w:kern w:val="0"/>
      <w:sz w:val="24"/>
      <w:szCs w:val="20"/>
    </w:rPr>
  </w:style>
  <w:style w:type="paragraph" w:customStyle="1" w:styleId="898">
    <w:name w:val="xl42"/>
    <w:basedOn w:val="1"/>
    <w:autoRedefine/>
    <w:qFormat/>
    <w:uiPriority w:val="0"/>
    <w:pPr>
      <w:widowControl/>
      <w:pBdr>
        <w:bottom w:val="dotted" w:color="auto" w:sz="4" w:space="0"/>
        <w:right w:val="dotted" w:color="auto" w:sz="4" w:space="0"/>
      </w:pBdr>
      <w:spacing w:before="100" w:beforeAutospacing="1" w:after="100" w:afterAutospacing="1"/>
      <w:jc w:val="center"/>
    </w:pPr>
    <w:rPr>
      <w:kern w:val="0"/>
      <w:szCs w:val="21"/>
    </w:rPr>
  </w:style>
  <w:style w:type="paragraph" w:customStyle="1" w:styleId="899">
    <w:name w:val="xl111"/>
    <w:basedOn w:val="1"/>
    <w:autoRedefine/>
    <w:qFormat/>
    <w:uiPriority w:val="0"/>
    <w:pPr>
      <w:widowControl/>
      <w:shd w:val="clear" w:color="auto" w:fill="FFFFFF"/>
      <w:spacing w:before="100" w:beforeAutospacing="1" w:after="100" w:afterAutospacing="1"/>
      <w:jc w:val="left"/>
    </w:pPr>
    <w:rPr>
      <w:rFonts w:ascii="宋体"/>
      <w:color w:val="FF0000"/>
      <w:kern w:val="0"/>
      <w:sz w:val="20"/>
      <w:szCs w:val="20"/>
    </w:rPr>
  </w:style>
  <w:style w:type="paragraph" w:customStyle="1" w:styleId="900">
    <w:name w:val="条题"/>
    <w:basedOn w:val="1"/>
    <w:autoRedefine/>
    <w:qFormat/>
    <w:uiPriority w:val="0"/>
    <w:pPr>
      <w:tabs>
        <w:tab w:val="left" w:pos="1512"/>
      </w:tabs>
      <w:spacing w:line="360" w:lineRule="auto"/>
    </w:pPr>
    <w:rPr>
      <w:rFonts w:ascii="宋体" w:eastAsia="黑体"/>
      <w:bCs/>
      <w:color w:val="993300"/>
      <w:kern w:val="0"/>
      <w:sz w:val="30"/>
      <w:szCs w:val="20"/>
    </w:rPr>
  </w:style>
  <w:style w:type="paragraph" w:customStyle="1" w:styleId="901">
    <w:name w:val="纯文本2"/>
    <w:basedOn w:val="1"/>
    <w:autoRedefine/>
    <w:qFormat/>
    <w:uiPriority w:val="0"/>
    <w:pPr>
      <w:autoSpaceDE w:val="0"/>
      <w:autoSpaceDN w:val="0"/>
      <w:adjustRightInd w:val="0"/>
      <w:spacing w:line="400" w:lineRule="exact"/>
      <w:ind w:firstLine="601"/>
      <w:textAlignment w:val="baseline"/>
    </w:pPr>
    <w:rPr>
      <w:rFonts w:ascii="宋体"/>
      <w:spacing w:val="30"/>
      <w:kern w:val="0"/>
      <w:sz w:val="24"/>
      <w:szCs w:val="20"/>
    </w:rPr>
  </w:style>
  <w:style w:type="paragraph" w:customStyle="1" w:styleId="902">
    <w:name w:val="三级"/>
    <w:basedOn w:val="1"/>
    <w:autoRedefine/>
    <w:qFormat/>
    <w:uiPriority w:val="0"/>
    <w:pPr>
      <w:ind w:left="200" w:leftChars="200" w:firstLine="560" w:firstLineChars="200"/>
      <w:jc w:val="left"/>
      <w:outlineLvl w:val="1"/>
    </w:pPr>
    <w:rPr>
      <w:rFonts w:ascii="宋体" w:hAnsi="宋体"/>
      <w:kern w:val="0"/>
      <w:sz w:val="24"/>
      <w:szCs w:val="20"/>
    </w:rPr>
  </w:style>
  <w:style w:type="paragraph" w:customStyle="1" w:styleId="903">
    <w:name w:val="原料"/>
    <w:basedOn w:val="904"/>
    <w:autoRedefine/>
    <w:qFormat/>
    <w:uiPriority w:val="0"/>
  </w:style>
  <w:style w:type="paragraph" w:customStyle="1" w:styleId="904">
    <w:name w:val="近年该"/>
    <w:basedOn w:val="1"/>
    <w:autoRedefine/>
    <w:qFormat/>
    <w:uiPriority w:val="0"/>
    <w:pPr>
      <w:adjustRightInd w:val="0"/>
      <w:spacing w:line="315" w:lineRule="atLeast"/>
      <w:ind w:firstLine="601"/>
      <w:jc w:val="left"/>
      <w:textAlignment w:val="baseline"/>
    </w:pPr>
    <w:rPr>
      <w:rFonts w:ascii="宋体"/>
      <w:spacing w:val="30"/>
      <w:kern w:val="0"/>
      <w:sz w:val="24"/>
      <w:szCs w:val="20"/>
    </w:rPr>
  </w:style>
  <w:style w:type="paragraph" w:customStyle="1" w:styleId="905">
    <w:name w:val="xl37"/>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b/>
      <w:bCs/>
      <w:kern w:val="0"/>
      <w:sz w:val="28"/>
      <w:szCs w:val="28"/>
    </w:rPr>
  </w:style>
  <w:style w:type="paragraph" w:customStyle="1" w:styleId="906">
    <w:name w:val="font15"/>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eastAsia="PMingLiU"/>
      <w:b/>
      <w:bCs/>
      <w:spacing w:val="30"/>
      <w:kern w:val="0"/>
      <w:sz w:val="24"/>
      <w:lang w:eastAsia="zh-TW"/>
    </w:rPr>
  </w:style>
  <w:style w:type="paragraph" w:customStyle="1" w:styleId="907">
    <w:name w:val="字元1"/>
    <w:basedOn w:val="1"/>
    <w:autoRedefine/>
    <w:qFormat/>
    <w:uiPriority w:val="0"/>
    <w:rPr>
      <w:rFonts w:ascii="宋体"/>
      <w:szCs w:val="21"/>
    </w:rPr>
  </w:style>
  <w:style w:type="paragraph" w:customStyle="1" w:styleId="908">
    <w:name w:val="标书3级标题"/>
    <w:basedOn w:val="1"/>
    <w:next w:val="1"/>
    <w:autoRedefine/>
    <w:qFormat/>
    <w:uiPriority w:val="0"/>
    <w:pPr>
      <w:widowControl/>
      <w:tabs>
        <w:tab w:val="left" w:pos="525"/>
      </w:tabs>
      <w:spacing w:before="78" w:after="78" w:line="400" w:lineRule="exact"/>
      <w:ind w:right="210"/>
      <w:jc w:val="left"/>
      <w:outlineLvl w:val="3"/>
    </w:pPr>
    <w:rPr>
      <w:rFonts w:ascii="黑体" w:hAnsi="Arial Narrow" w:eastAsia="黑体"/>
      <w:spacing w:val="4"/>
      <w:kern w:val="24"/>
      <w:sz w:val="24"/>
    </w:rPr>
  </w:style>
  <w:style w:type="paragraph" w:customStyle="1" w:styleId="909">
    <w:name w:val="样式 样式 首行缩进:  0.75 厘米 + 段前: 0.1 行 段后: 0.1 行"/>
    <w:basedOn w:val="1"/>
    <w:autoRedefine/>
    <w:qFormat/>
    <w:uiPriority w:val="0"/>
    <w:pPr>
      <w:adjustRightInd w:val="0"/>
      <w:spacing w:line="400" w:lineRule="exact"/>
      <w:ind w:firstLine="425"/>
      <w:textAlignment w:val="baseline"/>
    </w:pPr>
    <w:rPr>
      <w:rFonts w:ascii="宋体" w:cs="宋体"/>
      <w:spacing w:val="30"/>
      <w:kern w:val="0"/>
      <w:sz w:val="24"/>
      <w:szCs w:val="20"/>
    </w:rPr>
  </w:style>
  <w:style w:type="paragraph" w:customStyle="1" w:styleId="910">
    <w:name w:val="字元4 Char Char Char 字元 字元 字元"/>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911">
    <w:name w:val="图号标题 Char Char"/>
    <w:basedOn w:val="1"/>
    <w:next w:val="1"/>
    <w:autoRedefine/>
    <w:qFormat/>
    <w:uiPriority w:val="0"/>
    <w:pPr>
      <w:spacing w:line="440" w:lineRule="exact"/>
      <w:jc w:val="center"/>
    </w:pPr>
    <w:rPr>
      <w:rFonts w:ascii="宋体"/>
      <w:b/>
      <w:szCs w:val="20"/>
    </w:rPr>
  </w:style>
  <w:style w:type="paragraph" w:customStyle="1" w:styleId="912">
    <w:name w:val="Char Char Char Char"/>
    <w:basedOn w:val="1"/>
    <w:autoRedefine/>
    <w:qFormat/>
    <w:uiPriority w:val="0"/>
    <w:rPr>
      <w:sz w:val="24"/>
    </w:rPr>
  </w:style>
  <w:style w:type="paragraph" w:customStyle="1" w:styleId="913">
    <w:name w:val="CM86"/>
    <w:basedOn w:val="112"/>
    <w:next w:val="112"/>
    <w:autoRedefine/>
    <w:qFormat/>
    <w:uiPriority w:val="0"/>
    <w:rPr>
      <w:rFonts w:ascii="宋体" w:eastAsia="宋体" w:cs="Times New Roman"/>
      <w:color w:val="auto"/>
    </w:rPr>
  </w:style>
  <w:style w:type="paragraph" w:customStyle="1" w:styleId="914">
    <w:name w:val="普通(Web)1"/>
    <w:basedOn w:val="1"/>
    <w:autoRedefine/>
    <w:qFormat/>
    <w:uiPriority w:val="0"/>
    <w:pPr>
      <w:widowControl/>
      <w:ind w:firstLine="329"/>
      <w:jc w:val="left"/>
    </w:pPr>
    <w:rPr>
      <w:rFonts w:ascii="宋体" w:hAnsi="宋体" w:cs="宋体"/>
      <w:kern w:val="0"/>
      <w:sz w:val="24"/>
    </w:rPr>
  </w:style>
  <w:style w:type="paragraph" w:customStyle="1" w:styleId="915">
    <w:name w:val="xl143"/>
    <w:basedOn w:val="1"/>
    <w:autoRedefine/>
    <w:qFormat/>
    <w:uiPriority w:val="0"/>
    <w:pPr>
      <w:widowControl/>
      <w:pBdr>
        <w:right w:val="single" w:color="auto" w:sz="8" w:space="0"/>
      </w:pBdr>
      <w:shd w:val="clear" w:color="auto" w:fill="FFFFFF"/>
      <w:spacing w:before="100" w:beforeAutospacing="1" w:after="100" w:afterAutospacing="1"/>
      <w:jc w:val="left"/>
    </w:pPr>
    <w:rPr>
      <w:rFonts w:ascii="宋体"/>
      <w:kern w:val="0"/>
      <w:sz w:val="18"/>
      <w:szCs w:val="18"/>
      <w:u w:val="single"/>
    </w:rPr>
  </w:style>
  <w:style w:type="paragraph" w:customStyle="1" w:styleId="916">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Cs w:val="21"/>
    </w:rPr>
  </w:style>
  <w:style w:type="paragraph" w:customStyle="1" w:styleId="917">
    <w:name w:val="字元 字元4"/>
    <w:basedOn w:val="1"/>
    <w:autoRedefine/>
    <w:qFormat/>
    <w:uiPriority w:val="0"/>
    <w:pPr>
      <w:adjustRightInd w:val="0"/>
      <w:snapToGrid w:val="0"/>
      <w:spacing w:line="360" w:lineRule="auto"/>
      <w:ind w:firstLine="200" w:firstLineChars="200"/>
      <w:textAlignment w:val="baseline"/>
    </w:pPr>
    <w:rPr>
      <w:rFonts w:ascii="宋体" w:eastAsia="仿宋_GB2312"/>
      <w:spacing w:val="30"/>
      <w:kern w:val="0"/>
      <w:sz w:val="24"/>
    </w:rPr>
  </w:style>
  <w:style w:type="paragraph" w:customStyle="1" w:styleId="918">
    <w:name w:val="xl104"/>
    <w:basedOn w:val="1"/>
    <w:autoRedefine/>
    <w:qFormat/>
    <w:uiPriority w:val="0"/>
    <w:pPr>
      <w:widowControl/>
      <w:shd w:val="clear" w:color="auto" w:fill="FFFFFF"/>
      <w:spacing w:before="100" w:beforeAutospacing="1" w:after="100" w:afterAutospacing="1"/>
      <w:jc w:val="left"/>
    </w:pPr>
    <w:rPr>
      <w:rFonts w:ascii="宋体"/>
      <w:kern w:val="0"/>
      <w:sz w:val="18"/>
      <w:szCs w:val="18"/>
    </w:rPr>
  </w:style>
  <w:style w:type="paragraph" w:customStyle="1" w:styleId="919">
    <w:name w:val="样式 正文 首行缩进 2字符 + 首行缩进:  2 字符"/>
    <w:basedOn w:val="1"/>
    <w:autoRedefine/>
    <w:qFormat/>
    <w:uiPriority w:val="0"/>
    <w:pPr>
      <w:overflowPunct w:val="0"/>
      <w:autoSpaceDE w:val="0"/>
      <w:autoSpaceDN w:val="0"/>
      <w:adjustRightInd w:val="0"/>
      <w:spacing w:line="360" w:lineRule="auto"/>
      <w:ind w:firstLine="200" w:firstLineChars="200"/>
      <w:textAlignment w:val="baseline"/>
    </w:pPr>
    <w:rPr>
      <w:rFonts w:ascii="宋体" w:cs="宋体"/>
      <w:spacing w:val="30"/>
      <w:kern w:val="0"/>
      <w:sz w:val="24"/>
      <w:szCs w:val="20"/>
    </w:rPr>
  </w:style>
  <w:style w:type="paragraph" w:customStyle="1" w:styleId="920">
    <w:name w:val="Char3 Char Char Char Char Char Char1"/>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921">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400" w:lineRule="exact"/>
      <w:ind w:firstLine="601"/>
      <w:jc w:val="center"/>
      <w:textAlignment w:val="baseline"/>
    </w:pPr>
    <w:rPr>
      <w:rFonts w:ascii="Arial Unicode MS" w:hAnsi="Arial Unicode MS" w:eastAsia="Arial Unicode MS"/>
      <w:color w:val="000000"/>
      <w:spacing w:val="30"/>
      <w:kern w:val="0"/>
      <w:sz w:val="20"/>
      <w:szCs w:val="20"/>
    </w:rPr>
  </w:style>
  <w:style w:type="paragraph" w:customStyle="1" w:styleId="922">
    <w:name w:val="font9"/>
    <w:basedOn w:val="1"/>
    <w:autoRedefine/>
    <w:qFormat/>
    <w:uiPriority w:val="0"/>
    <w:pPr>
      <w:widowControl/>
      <w:adjustRightInd w:val="0"/>
      <w:spacing w:before="100" w:beforeAutospacing="1" w:after="100" w:afterAutospacing="1" w:line="400" w:lineRule="exact"/>
      <w:ind w:firstLine="601"/>
      <w:jc w:val="left"/>
      <w:textAlignment w:val="baseline"/>
    </w:pPr>
    <w:rPr>
      <w:rFonts w:hint="eastAsia" w:ascii="宋体" w:hAnsi="宋体" w:cs="Century"/>
      <w:b/>
      <w:bCs/>
      <w:spacing w:val="30"/>
      <w:kern w:val="0"/>
      <w:sz w:val="24"/>
      <w:szCs w:val="21"/>
    </w:rPr>
  </w:style>
  <w:style w:type="paragraph" w:customStyle="1" w:styleId="923">
    <w:name w:val="Char3 Char Char Char1"/>
    <w:basedOn w:val="1"/>
    <w:autoRedefine/>
    <w:qFormat/>
    <w:uiPriority w:val="0"/>
    <w:pPr>
      <w:adjustRightInd w:val="0"/>
      <w:spacing w:line="400" w:lineRule="exact"/>
      <w:ind w:firstLine="601"/>
      <w:textAlignment w:val="baseline"/>
    </w:pPr>
    <w:rPr>
      <w:rFonts w:ascii="宋体"/>
      <w:spacing w:val="30"/>
      <w:kern w:val="0"/>
      <w:sz w:val="24"/>
      <w:szCs w:val="20"/>
    </w:rPr>
  </w:style>
  <w:style w:type="paragraph" w:customStyle="1" w:styleId="924">
    <w:name w:val="CM41"/>
    <w:basedOn w:val="112"/>
    <w:next w:val="112"/>
    <w:autoRedefine/>
    <w:qFormat/>
    <w:uiPriority w:val="0"/>
    <w:pPr>
      <w:spacing w:line="473" w:lineRule="atLeast"/>
    </w:pPr>
    <w:rPr>
      <w:rFonts w:ascii="宋体" w:eastAsia="宋体" w:cs="Times New Roman"/>
      <w:color w:val="auto"/>
    </w:rPr>
  </w:style>
  <w:style w:type="paragraph" w:customStyle="1" w:styleId="925">
    <w:name w:val="font10"/>
    <w:basedOn w:val="1"/>
    <w:autoRedefine/>
    <w:qFormat/>
    <w:uiPriority w:val="0"/>
    <w:pPr>
      <w:widowControl/>
      <w:adjustRightInd w:val="0"/>
      <w:spacing w:before="100" w:beforeAutospacing="1" w:after="100" w:afterAutospacing="1" w:line="400" w:lineRule="exact"/>
      <w:ind w:firstLine="601"/>
      <w:jc w:val="left"/>
      <w:textAlignment w:val="baseline"/>
    </w:pPr>
    <w:rPr>
      <w:rFonts w:hint="eastAsia" w:ascii="宋体" w:hAnsi="宋体" w:cs="Century"/>
      <w:b/>
      <w:bCs/>
      <w:spacing w:val="30"/>
      <w:kern w:val="0"/>
      <w:sz w:val="24"/>
      <w:szCs w:val="28"/>
    </w:rPr>
  </w:style>
  <w:style w:type="paragraph" w:customStyle="1" w:styleId="926">
    <w:name w:val="参加人员"/>
    <w:basedOn w:val="1"/>
    <w:autoRedefine/>
    <w:qFormat/>
    <w:uiPriority w:val="0"/>
    <w:pPr>
      <w:adjustRightInd w:val="0"/>
      <w:spacing w:line="500" w:lineRule="atLeast"/>
      <w:ind w:firstLine="601"/>
      <w:textAlignment w:val="baseline"/>
    </w:pPr>
    <w:rPr>
      <w:rFonts w:ascii="宋体"/>
      <w:spacing w:val="30"/>
      <w:kern w:val="0"/>
      <w:sz w:val="24"/>
      <w:szCs w:val="20"/>
    </w:rPr>
  </w:style>
  <w:style w:type="paragraph" w:customStyle="1" w:styleId="927">
    <w:name w:val="正文首缩"/>
    <w:basedOn w:val="1"/>
    <w:autoRedefine/>
    <w:qFormat/>
    <w:uiPriority w:val="0"/>
    <w:pPr>
      <w:adjustRightInd w:val="0"/>
      <w:snapToGrid w:val="0"/>
      <w:spacing w:line="360" w:lineRule="auto"/>
      <w:ind w:firstLine="480" w:firstLineChars="200"/>
      <w:textAlignment w:val="baseline"/>
    </w:pPr>
    <w:rPr>
      <w:rFonts w:ascii="宋体"/>
      <w:spacing w:val="30"/>
      <w:kern w:val="0"/>
      <w:sz w:val="24"/>
    </w:rPr>
  </w:style>
  <w:style w:type="paragraph" w:customStyle="1" w:styleId="928">
    <w:name w:val="默认段落字体 Para Char Char Char Char Char Char Char Char Char Char"/>
    <w:basedOn w:val="1"/>
    <w:autoRedefine/>
    <w:qFormat/>
    <w:uiPriority w:val="0"/>
    <w:rPr>
      <w:rFonts w:ascii="Verdana" w:hAnsi="Verdana"/>
      <w:kern w:val="0"/>
      <w:sz w:val="20"/>
      <w:szCs w:val="21"/>
      <w:lang w:eastAsia="en-US"/>
    </w:rPr>
  </w:style>
  <w:style w:type="paragraph" w:customStyle="1" w:styleId="929">
    <w:name w:val="小四表格"/>
    <w:basedOn w:val="1"/>
    <w:autoRedefine/>
    <w:qFormat/>
    <w:uiPriority w:val="0"/>
    <w:pPr>
      <w:keepNext/>
      <w:autoSpaceDE w:val="0"/>
      <w:autoSpaceDN w:val="0"/>
      <w:adjustRightInd w:val="0"/>
      <w:spacing w:line="480" w:lineRule="atLeast"/>
      <w:jc w:val="center"/>
    </w:pPr>
    <w:rPr>
      <w:rFonts w:ascii="宋体"/>
      <w:color w:val="000000"/>
      <w:sz w:val="24"/>
      <w:szCs w:val="20"/>
    </w:rPr>
  </w:style>
  <w:style w:type="paragraph" w:customStyle="1" w:styleId="930">
    <w:name w:val="p1"/>
    <w:basedOn w:val="1"/>
    <w:autoRedefine/>
    <w:qFormat/>
    <w:uiPriority w:val="0"/>
    <w:pPr>
      <w:widowControl/>
      <w:spacing w:before="100" w:beforeAutospacing="1" w:after="100" w:afterAutospacing="1" w:line="300" w:lineRule="atLeast"/>
      <w:ind w:firstLine="480"/>
      <w:jc w:val="left"/>
    </w:pPr>
    <w:rPr>
      <w:rFonts w:ascii="ˎ̥" w:hAnsi="ˎ̥" w:cs="宋体"/>
      <w:color w:val="212121"/>
      <w:kern w:val="0"/>
      <w:sz w:val="20"/>
      <w:szCs w:val="20"/>
    </w:rPr>
  </w:style>
  <w:style w:type="paragraph" w:customStyle="1" w:styleId="931">
    <w:name w:val="标题正4"/>
    <w:basedOn w:val="1"/>
    <w:autoRedefine/>
    <w:qFormat/>
    <w:uiPriority w:val="0"/>
    <w:pPr>
      <w:adjustRightInd w:val="0"/>
      <w:spacing w:line="280" w:lineRule="exact"/>
      <w:ind w:firstLine="601"/>
      <w:jc w:val="center"/>
      <w:textAlignment w:val="baseline"/>
    </w:pPr>
    <w:rPr>
      <w:rFonts w:ascii="宋体" w:hAnsi="宋体"/>
      <w:spacing w:val="30"/>
      <w:kern w:val="0"/>
      <w:sz w:val="24"/>
      <w:szCs w:val="21"/>
    </w:rPr>
  </w:style>
  <w:style w:type="paragraph" w:customStyle="1" w:styleId="932">
    <w:name w:val="索引 51"/>
    <w:basedOn w:val="1"/>
    <w:next w:val="1"/>
    <w:autoRedefine/>
    <w:qFormat/>
    <w:uiPriority w:val="0"/>
    <w:pPr>
      <w:adjustRightInd w:val="0"/>
      <w:spacing w:line="400" w:lineRule="exact"/>
      <w:ind w:left="1680"/>
      <w:textAlignment w:val="baseline"/>
    </w:pPr>
    <w:rPr>
      <w:rFonts w:ascii="宋体"/>
      <w:spacing w:val="30"/>
      <w:kern w:val="0"/>
      <w:sz w:val="24"/>
      <w:szCs w:val="20"/>
    </w:rPr>
  </w:style>
  <w:style w:type="paragraph" w:customStyle="1" w:styleId="933">
    <w:name w:val="Plain Text2"/>
    <w:basedOn w:val="1"/>
    <w:autoRedefine/>
    <w:qFormat/>
    <w:uiPriority w:val="0"/>
    <w:pPr>
      <w:autoSpaceDE w:val="0"/>
      <w:autoSpaceDN w:val="0"/>
      <w:adjustRightInd w:val="0"/>
      <w:textAlignment w:val="baseline"/>
    </w:pPr>
    <w:rPr>
      <w:rFonts w:ascii="宋体"/>
      <w:szCs w:val="20"/>
    </w:rPr>
  </w:style>
  <w:style w:type="paragraph" w:customStyle="1" w:styleId="934">
    <w:name w:val="文本"/>
    <w:basedOn w:val="1"/>
    <w:link w:val="935"/>
    <w:autoRedefine/>
    <w:qFormat/>
    <w:uiPriority w:val="0"/>
    <w:pPr>
      <w:tabs>
        <w:tab w:val="left" w:pos="315"/>
        <w:tab w:val="left" w:pos="360"/>
      </w:tabs>
      <w:spacing w:line="360" w:lineRule="auto"/>
      <w:jc w:val="left"/>
    </w:pPr>
    <w:rPr>
      <w:rFonts w:ascii="宋体"/>
      <w:sz w:val="24"/>
    </w:rPr>
  </w:style>
  <w:style w:type="character" w:customStyle="1" w:styleId="935">
    <w:name w:val="文本 Char1"/>
    <w:link w:val="934"/>
    <w:autoRedefine/>
    <w:qFormat/>
    <w:uiPriority w:val="0"/>
    <w:rPr>
      <w:rFonts w:ascii="宋体"/>
      <w:kern w:val="2"/>
      <w:sz w:val="24"/>
      <w:szCs w:val="24"/>
    </w:rPr>
  </w:style>
  <w:style w:type="paragraph" w:customStyle="1" w:styleId="936">
    <w:name w:val="wf1"/>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hAnsi="宋体" w:cs="宋体"/>
      <w:color w:val="000000"/>
      <w:spacing w:val="30"/>
      <w:kern w:val="0"/>
      <w:sz w:val="18"/>
      <w:szCs w:val="18"/>
    </w:rPr>
  </w:style>
  <w:style w:type="paragraph" w:customStyle="1" w:styleId="937">
    <w:name w:val="xl150"/>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color w:val="000000"/>
      <w:kern w:val="0"/>
      <w:sz w:val="18"/>
      <w:szCs w:val="18"/>
    </w:rPr>
  </w:style>
  <w:style w:type="paragraph" w:customStyle="1" w:styleId="938">
    <w:name w:val="xl157"/>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b/>
      <w:bCs/>
      <w:kern w:val="0"/>
      <w:sz w:val="20"/>
      <w:szCs w:val="20"/>
    </w:rPr>
  </w:style>
  <w:style w:type="paragraph" w:customStyle="1" w:styleId="939">
    <w:name w:val="页脚1"/>
    <w:basedOn w:val="1"/>
    <w:autoRedefine/>
    <w:qFormat/>
    <w:uiPriority w:val="0"/>
    <w:pPr>
      <w:pBdr>
        <w:top w:val="single" w:color="auto" w:sz="4" w:space="1"/>
      </w:pBdr>
      <w:adjustRightInd w:val="0"/>
      <w:spacing w:line="400" w:lineRule="exact"/>
      <w:ind w:right="360" w:firstLine="601"/>
      <w:textAlignment w:val="baseline"/>
    </w:pPr>
    <w:rPr>
      <w:rFonts w:ascii="宋体"/>
      <w:spacing w:val="30"/>
      <w:kern w:val="0"/>
      <w:szCs w:val="20"/>
    </w:rPr>
  </w:style>
  <w:style w:type="paragraph" w:customStyle="1" w:styleId="940">
    <w:name w:val="chuang1"/>
    <w:basedOn w:val="1"/>
    <w:autoRedefine/>
    <w:qFormat/>
    <w:uiPriority w:val="0"/>
    <w:pPr>
      <w:tabs>
        <w:tab w:val="left" w:pos="360"/>
      </w:tabs>
      <w:ind w:left="360" w:hanging="360"/>
    </w:pPr>
    <w:rPr>
      <w:rFonts w:ascii="宋体" w:eastAsia="黑体"/>
      <w:sz w:val="32"/>
      <w:szCs w:val="20"/>
    </w:rPr>
  </w:style>
  <w:style w:type="paragraph" w:customStyle="1" w:styleId="941">
    <w:name w:val="reader-word-layer reader-word-s1-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42">
    <w:name w:val="正文 Char Char Char Char Char Char Char Char Char Char Char Char Char Char Char Char Char Char Char Char Char Char Char Char Char Char Char Char Char Char Char Char Char Char Char Char Char Char Char Char Char Char Char Char Char"/>
    <w:basedOn w:val="1"/>
    <w:autoRedefine/>
    <w:qFormat/>
    <w:uiPriority w:val="0"/>
    <w:pPr>
      <w:spacing w:line="440" w:lineRule="exact"/>
    </w:pPr>
    <w:rPr>
      <w:rFonts w:ascii="宋体" w:cs="宋体"/>
      <w:kern w:val="24"/>
      <w:sz w:val="24"/>
    </w:rPr>
  </w:style>
  <w:style w:type="paragraph" w:customStyle="1" w:styleId="943">
    <w:name w:val="Char4"/>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944">
    <w:name w:val="Char Char Char 字元 字元"/>
    <w:basedOn w:val="1"/>
    <w:autoRedefine/>
    <w:qFormat/>
    <w:uiPriority w:val="0"/>
    <w:rPr>
      <w:rFonts w:ascii="宋体"/>
      <w:szCs w:val="20"/>
    </w:rPr>
  </w:style>
  <w:style w:type="paragraph" w:customStyle="1" w:styleId="945">
    <w:name w:val="表标题"/>
    <w:basedOn w:val="1"/>
    <w:autoRedefine/>
    <w:qFormat/>
    <w:uiPriority w:val="0"/>
    <w:pPr>
      <w:spacing w:line="500" w:lineRule="exact"/>
      <w:ind w:firstLine="482" w:firstLineChars="200"/>
      <w:jc w:val="center"/>
    </w:pPr>
    <w:rPr>
      <w:rFonts w:ascii="仿宋_GB2312" w:eastAsia="仿宋_GB2312"/>
      <w:b/>
      <w:bCs/>
      <w:sz w:val="24"/>
    </w:rPr>
  </w:style>
  <w:style w:type="paragraph" w:customStyle="1" w:styleId="946">
    <w:name w:val="样式 标书1级标题 + 首行缩进:  0.99 厘米"/>
    <w:basedOn w:val="947"/>
    <w:autoRedefine/>
    <w:qFormat/>
    <w:uiPriority w:val="0"/>
    <w:pPr>
      <w:tabs>
        <w:tab w:val="left" w:pos="-3780"/>
        <w:tab w:val="left" w:pos="420"/>
        <w:tab w:val="left" w:pos="425"/>
      </w:tabs>
      <w:ind w:left="420" w:leftChars="0" w:firstLine="560"/>
    </w:pPr>
    <w:rPr>
      <w:b w:val="0"/>
      <w:bCs w:val="0"/>
      <w:color w:val="000080"/>
      <w:sz w:val="28"/>
      <w14:shadow w14:blurRad="50800" w14:dist="38100" w14:dir="2700000" w14:sx="100000" w14:sy="100000" w14:kx="0" w14:ky="0" w14:algn="tl">
        <w14:srgbClr w14:val="000000">
          <w14:alpha w14:val="60000"/>
        </w14:srgbClr>
      </w14:shadow>
    </w:rPr>
  </w:style>
  <w:style w:type="paragraph" w:customStyle="1" w:styleId="947">
    <w:name w:val="标书1级标题"/>
    <w:basedOn w:val="1"/>
    <w:next w:val="1"/>
    <w:autoRedefine/>
    <w:qFormat/>
    <w:uiPriority w:val="0"/>
    <w:pPr>
      <w:tabs>
        <w:tab w:val="left" w:pos="-3780"/>
        <w:tab w:val="left" w:pos="425"/>
      </w:tabs>
      <w:adjustRightInd w:val="0"/>
      <w:spacing w:before="156" w:beforeLines="50" w:after="156" w:afterLines="50" w:line="440" w:lineRule="exact"/>
      <w:ind w:left="215" w:leftChars="-100" w:firstLine="200"/>
      <w:outlineLvl w:val="1"/>
    </w:pPr>
    <w:rPr>
      <w:rFonts w:ascii="黑体" w:hAnsi="Arial Black" w:eastAsia="黑体"/>
      <w:b/>
      <w:bCs/>
      <w:sz w:val="30"/>
      <w:szCs w:val="28"/>
    </w:rPr>
  </w:style>
  <w:style w:type="paragraph" w:customStyle="1" w:styleId="948">
    <w:name w:val="xl3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val="0"/>
      <w:spacing w:before="100" w:beforeAutospacing="1" w:after="100" w:afterAutospacing="1" w:line="400" w:lineRule="exact"/>
      <w:ind w:firstLine="601"/>
      <w:jc w:val="left"/>
      <w:textAlignment w:val="baseline"/>
    </w:pPr>
    <w:rPr>
      <w:rFonts w:hint="eastAsia" w:ascii="宋体" w:hAnsi="宋体"/>
      <w:color w:val="000000"/>
      <w:spacing w:val="30"/>
      <w:kern w:val="0"/>
      <w:sz w:val="20"/>
      <w:szCs w:val="20"/>
    </w:rPr>
  </w:style>
  <w:style w:type="paragraph" w:customStyle="1" w:styleId="949">
    <w:name w:val="xl117"/>
    <w:basedOn w:val="1"/>
    <w:autoRedefine/>
    <w:qFormat/>
    <w:uiPriority w:val="0"/>
    <w:pPr>
      <w:widowControl/>
      <w:shd w:val="clear" w:color="auto" w:fill="FFFFFF"/>
      <w:spacing w:before="100" w:beforeAutospacing="1" w:after="100" w:afterAutospacing="1"/>
      <w:jc w:val="left"/>
    </w:pPr>
    <w:rPr>
      <w:rFonts w:ascii="宋体"/>
      <w:kern w:val="0"/>
      <w:sz w:val="18"/>
      <w:szCs w:val="18"/>
    </w:rPr>
  </w:style>
  <w:style w:type="paragraph" w:customStyle="1" w:styleId="950">
    <w:name w:val="CM31"/>
    <w:basedOn w:val="112"/>
    <w:next w:val="112"/>
    <w:autoRedefine/>
    <w:qFormat/>
    <w:uiPriority w:val="0"/>
    <w:pPr>
      <w:spacing w:line="500" w:lineRule="atLeast"/>
    </w:pPr>
    <w:rPr>
      <w:rFonts w:ascii="宋体" w:eastAsia="宋体" w:cs="Times New Roman"/>
      <w:color w:val="auto"/>
    </w:rPr>
  </w:style>
  <w:style w:type="paragraph" w:customStyle="1" w:styleId="951">
    <w:name w:val="jieneng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2">
    <w:name w:val="节标题"/>
    <w:basedOn w:val="1"/>
    <w:autoRedefine/>
    <w:qFormat/>
    <w:uiPriority w:val="0"/>
    <w:pPr>
      <w:adjustRightInd w:val="0"/>
      <w:spacing w:before="312" w:beforeLines="100" w:after="312" w:afterLines="100" w:line="360" w:lineRule="auto"/>
      <w:ind w:firstLine="601"/>
      <w:textAlignment w:val="baseline"/>
    </w:pPr>
    <w:rPr>
      <w:rFonts w:ascii="宋体" w:eastAsia="黑体"/>
      <w:bCs/>
      <w:spacing w:val="30"/>
      <w:kern w:val="0"/>
      <w:sz w:val="30"/>
    </w:rPr>
  </w:style>
  <w:style w:type="paragraph" w:customStyle="1" w:styleId="953">
    <w:name w:val="xl125"/>
    <w:basedOn w:val="1"/>
    <w:autoRedefine/>
    <w:qFormat/>
    <w:uiPriority w:val="0"/>
    <w:pPr>
      <w:widowControl/>
      <w:shd w:val="clear" w:color="auto" w:fill="FFFFFF"/>
      <w:spacing w:before="100" w:beforeAutospacing="1" w:after="100" w:afterAutospacing="1"/>
      <w:jc w:val="center"/>
    </w:pPr>
    <w:rPr>
      <w:rFonts w:ascii="宋体"/>
      <w:b/>
      <w:bCs/>
      <w:kern w:val="0"/>
      <w:sz w:val="20"/>
      <w:szCs w:val="20"/>
    </w:rPr>
  </w:style>
  <w:style w:type="paragraph" w:customStyle="1" w:styleId="954">
    <w:name w:val="xl49"/>
    <w:basedOn w:val="1"/>
    <w:autoRedefine/>
    <w:qFormat/>
    <w:uiPriority w:val="0"/>
    <w:pPr>
      <w:widowControl/>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jc w:val="center"/>
      <w:textAlignment w:val="baseline"/>
    </w:pPr>
    <w:rPr>
      <w:rFonts w:ascii="Arial Unicode MS" w:hAnsi="Arial Unicode MS" w:eastAsia="Arial Unicode MS"/>
      <w:color w:val="000000"/>
      <w:spacing w:val="30"/>
      <w:kern w:val="0"/>
      <w:sz w:val="20"/>
      <w:szCs w:val="20"/>
    </w:rPr>
  </w:style>
  <w:style w:type="paragraph" w:customStyle="1" w:styleId="955">
    <w:name w:val="unnamed3"/>
    <w:basedOn w:val="1"/>
    <w:autoRedefine/>
    <w:qFormat/>
    <w:uiPriority w:val="0"/>
    <w:pPr>
      <w:widowControl/>
      <w:adjustRightInd w:val="0"/>
      <w:spacing w:before="100" w:beforeAutospacing="1" w:after="100" w:afterAutospacing="1" w:line="480" w:lineRule="auto"/>
      <w:ind w:firstLine="601"/>
      <w:jc w:val="left"/>
      <w:textAlignment w:val="baseline"/>
    </w:pPr>
    <w:rPr>
      <w:rFonts w:ascii="ˎ̥" w:hAnsi="ˎ̥" w:cs="宋体"/>
      <w:spacing w:val="30"/>
      <w:kern w:val="0"/>
      <w:sz w:val="24"/>
      <w:szCs w:val="21"/>
    </w:rPr>
  </w:style>
  <w:style w:type="paragraph" w:customStyle="1" w:styleId="956">
    <w:name w:val="CM25"/>
    <w:basedOn w:val="112"/>
    <w:next w:val="112"/>
    <w:autoRedefine/>
    <w:qFormat/>
    <w:uiPriority w:val="0"/>
    <w:pPr>
      <w:spacing w:line="468" w:lineRule="atLeast"/>
    </w:pPr>
    <w:rPr>
      <w:rFonts w:ascii="宋体" w:eastAsia="宋体" w:cs="Times New Roman"/>
      <w:color w:val="auto"/>
    </w:rPr>
  </w:style>
  <w:style w:type="paragraph" w:customStyle="1" w:styleId="957">
    <w:name w:val="连续正文文字"/>
    <w:basedOn w:val="34"/>
    <w:autoRedefine/>
    <w:qFormat/>
    <w:uiPriority w:val="0"/>
    <w:pPr>
      <w:adjustRightInd w:val="0"/>
      <w:spacing w:after="0" w:line="0" w:lineRule="atLeast"/>
      <w:jc w:val="center"/>
      <w:textAlignment w:val="baseline"/>
    </w:pPr>
    <w:rPr>
      <w:rFonts w:ascii="宋体" w:eastAsia="楷体_GB2312"/>
      <w:spacing w:val="8"/>
      <w:kern w:val="28"/>
      <w:szCs w:val="20"/>
    </w:rPr>
  </w:style>
  <w:style w:type="paragraph" w:customStyle="1" w:styleId="958">
    <w:name w:val="CM81"/>
    <w:basedOn w:val="112"/>
    <w:next w:val="112"/>
    <w:autoRedefine/>
    <w:qFormat/>
    <w:uiPriority w:val="0"/>
    <w:rPr>
      <w:rFonts w:ascii="宋体" w:eastAsia="宋体" w:cs="Times New Roman"/>
      <w:color w:val="auto"/>
    </w:rPr>
  </w:style>
  <w:style w:type="paragraph" w:customStyle="1" w:styleId="959">
    <w:name w:val="xl138"/>
    <w:basedOn w:val="1"/>
    <w:autoRedefine/>
    <w:qFormat/>
    <w:uiPriority w:val="0"/>
    <w:pPr>
      <w:widowControl/>
      <w:pBdr>
        <w:left w:val="single" w:color="auto" w:sz="8" w:space="0"/>
      </w:pBdr>
      <w:shd w:val="clear" w:color="auto" w:fill="FFFFFF"/>
      <w:spacing w:before="100" w:beforeAutospacing="1" w:after="100" w:afterAutospacing="1"/>
      <w:jc w:val="center"/>
      <w:textAlignment w:val="center"/>
    </w:pPr>
    <w:rPr>
      <w:rFonts w:ascii="宋体"/>
      <w:b/>
      <w:bCs/>
      <w:kern w:val="0"/>
      <w:sz w:val="24"/>
      <w:szCs w:val="28"/>
    </w:rPr>
  </w:style>
  <w:style w:type="paragraph" w:customStyle="1" w:styleId="960">
    <w:name w:val="introduction"/>
    <w:basedOn w:val="1"/>
    <w:autoRedefine/>
    <w:qFormat/>
    <w:uiPriority w:val="0"/>
    <w:pPr>
      <w:widowControl/>
      <w:spacing w:before="100" w:beforeAutospacing="1" w:after="100" w:afterAutospacing="1"/>
      <w:jc w:val="left"/>
      <w:textAlignment w:val="baseline"/>
    </w:pPr>
    <w:rPr>
      <w:rFonts w:ascii="宋体" w:hAnsi="宋体" w:cs="宋体"/>
      <w:kern w:val="0"/>
      <w:sz w:val="24"/>
    </w:rPr>
  </w:style>
  <w:style w:type="paragraph" w:customStyle="1" w:styleId="961">
    <w:name w:val="样式 标题 2 + 段前: 0 磅"/>
    <w:basedOn w:val="4"/>
    <w:autoRedefine/>
    <w:qFormat/>
    <w:uiPriority w:val="0"/>
    <w:pPr>
      <w:adjustRightInd/>
      <w:spacing w:before="0" w:after="120" w:line="520" w:lineRule="exact"/>
      <w:ind w:left="0"/>
      <w:jc w:val="both"/>
      <w:textAlignment w:val="auto"/>
    </w:pPr>
    <w:rPr>
      <w:rFonts w:eastAsia="宋体" w:cs="宋体"/>
      <w:sz w:val="24"/>
    </w:rPr>
  </w:style>
  <w:style w:type="paragraph" w:customStyle="1" w:styleId="962">
    <w:name w:val="小四宋居中1.0"/>
    <w:basedOn w:val="1"/>
    <w:next w:val="1"/>
    <w:autoRedefine/>
    <w:qFormat/>
    <w:uiPriority w:val="0"/>
    <w:pPr>
      <w:spacing w:line="360" w:lineRule="exact"/>
      <w:jc w:val="center"/>
    </w:pPr>
    <w:rPr>
      <w:rFonts w:ascii="仿宋_GB2312" w:eastAsia="仿宋_GB2312"/>
      <w:spacing w:val="-20"/>
      <w:sz w:val="24"/>
    </w:rPr>
  </w:style>
  <w:style w:type="paragraph" w:customStyle="1" w:styleId="963">
    <w:name w:val="Char Char Char Char Char Char1 Char Char Char Char Char Char Char"/>
    <w:basedOn w:val="1"/>
    <w:autoRedefine/>
    <w:qFormat/>
    <w:uiPriority w:val="0"/>
    <w:pPr>
      <w:adjustRightInd w:val="0"/>
      <w:spacing w:line="400" w:lineRule="exact"/>
      <w:ind w:firstLine="601"/>
      <w:textAlignment w:val="baseline"/>
    </w:pPr>
    <w:rPr>
      <w:rFonts w:ascii="宋体"/>
      <w:spacing w:val="30"/>
      <w:kern w:val="0"/>
      <w:sz w:val="24"/>
      <w:szCs w:val="20"/>
    </w:rPr>
  </w:style>
  <w:style w:type="paragraph" w:customStyle="1" w:styleId="964">
    <w:name w:val="Char11"/>
    <w:basedOn w:val="1"/>
    <w:autoRedefine/>
    <w:qFormat/>
    <w:uiPriority w:val="0"/>
    <w:pPr>
      <w:snapToGrid w:val="0"/>
      <w:spacing w:line="360" w:lineRule="auto"/>
    </w:pPr>
    <w:rPr>
      <w:szCs w:val="20"/>
    </w:rPr>
  </w:style>
  <w:style w:type="paragraph" w:customStyle="1" w:styleId="965">
    <w:name w:val="字元4 Char Char Char Char Char Char 字元"/>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966">
    <w:name w:val="表字1"/>
    <w:basedOn w:val="1"/>
    <w:autoRedefine/>
    <w:qFormat/>
    <w:uiPriority w:val="0"/>
    <w:pPr>
      <w:adjustRightInd w:val="0"/>
      <w:spacing w:line="360" w:lineRule="auto"/>
      <w:jc w:val="center"/>
    </w:pPr>
    <w:rPr>
      <w:rFonts w:ascii="宋体" w:eastAsia="仿宋_GB2312"/>
      <w:color w:val="000000"/>
      <w:kern w:val="0"/>
      <w:szCs w:val="21"/>
    </w:rPr>
  </w:style>
  <w:style w:type="paragraph" w:customStyle="1" w:styleId="967">
    <w:name w:val="CM72"/>
    <w:basedOn w:val="112"/>
    <w:next w:val="112"/>
    <w:autoRedefine/>
    <w:qFormat/>
    <w:uiPriority w:val="0"/>
    <w:pPr>
      <w:spacing w:after="100"/>
    </w:pPr>
    <w:rPr>
      <w:rFonts w:ascii="宋体" w:eastAsia="宋体" w:cs="Times New Roman"/>
      <w:color w:val="auto"/>
    </w:rPr>
  </w:style>
  <w:style w:type="paragraph" w:customStyle="1" w:styleId="968">
    <w:name w:val="xl159"/>
    <w:basedOn w:val="1"/>
    <w:autoRedefine/>
    <w:qFormat/>
    <w:uiPriority w:val="0"/>
    <w:pPr>
      <w:widowControl/>
      <w:pBdr>
        <w:bottom w:val="single" w:color="auto" w:sz="8" w:space="0"/>
      </w:pBdr>
      <w:shd w:val="clear" w:color="auto" w:fill="FFFFFF"/>
      <w:spacing w:before="100" w:beforeAutospacing="1" w:after="100" w:afterAutospacing="1"/>
      <w:jc w:val="left"/>
    </w:pPr>
    <w:rPr>
      <w:rFonts w:ascii="宋体"/>
      <w:kern w:val="0"/>
      <w:sz w:val="16"/>
      <w:szCs w:val="16"/>
      <w:u w:val="single"/>
    </w:rPr>
  </w:style>
  <w:style w:type="paragraph" w:customStyle="1" w:styleId="969">
    <w:name w:val="样式 四号 黑色 首行缩进:  0.85 厘米 段前: 3.9 磅 行距: 固定值 26 磅"/>
    <w:basedOn w:val="1"/>
    <w:autoRedefine/>
    <w:qFormat/>
    <w:uiPriority w:val="0"/>
    <w:pPr>
      <w:adjustRightInd w:val="0"/>
      <w:spacing w:before="78" w:line="520" w:lineRule="exact"/>
      <w:ind w:firstLine="482"/>
      <w:textAlignment w:val="baseline"/>
    </w:pPr>
    <w:rPr>
      <w:rFonts w:ascii="宋体" w:cs="宋体"/>
      <w:color w:val="000000"/>
      <w:spacing w:val="30"/>
      <w:kern w:val="0"/>
      <w:sz w:val="24"/>
      <w:szCs w:val="20"/>
    </w:rPr>
  </w:style>
  <w:style w:type="paragraph" w:customStyle="1" w:styleId="970">
    <w:name w:val="style6"/>
    <w:basedOn w:val="1"/>
    <w:autoRedefine/>
    <w:qFormat/>
    <w:uiPriority w:val="0"/>
    <w:pPr>
      <w:widowControl/>
      <w:spacing w:before="100" w:beforeAutospacing="1" w:after="100" w:afterAutospacing="1"/>
      <w:jc w:val="left"/>
    </w:pPr>
    <w:rPr>
      <w:rFonts w:ascii="宋体" w:hAnsi="宋体"/>
      <w:kern w:val="0"/>
      <w:szCs w:val="21"/>
    </w:rPr>
  </w:style>
  <w:style w:type="paragraph" w:customStyle="1" w:styleId="971">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972">
    <w:name w:val="规范正文"/>
    <w:basedOn w:val="1"/>
    <w:next w:val="1"/>
    <w:autoRedefine/>
    <w:qFormat/>
    <w:uiPriority w:val="0"/>
    <w:pPr>
      <w:autoSpaceDE w:val="0"/>
      <w:autoSpaceDN w:val="0"/>
      <w:adjustRightInd w:val="0"/>
      <w:jc w:val="left"/>
    </w:pPr>
    <w:rPr>
      <w:rFonts w:ascii="黑体" w:eastAsia="黑体"/>
      <w:kern w:val="0"/>
      <w:sz w:val="20"/>
      <w:szCs w:val="20"/>
    </w:rPr>
  </w:style>
  <w:style w:type="paragraph" w:customStyle="1" w:styleId="973">
    <w:name w:val="样式 标书1级标题 + 左侧:  0 厘米 首行缩进:  0 厘米1"/>
    <w:basedOn w:val="974"/>
    <w:next w:val="1"/>
    <w:autoRedefine/>
    <w:qFormat/>
    <w:uiPriority w:val="0"/>
    <w:pPr>
      <w:keepNext w:val="0"/>
      <w:keepLines w:val="0"/>
      <w:widowControl/>
      <w:tabs>
        <w:tab w:val="left" w:pos="550"/>
        <w:tab w:val="left" w:pos="720"/>
        <w:tab w:val="left" w:pos="992"/>
        <w:tab w:val="left" w:pos="1276"/>
      </w:tabs>
      <w:adjustRightInd w:val="0"/>
      <w:spacing w:before="0" w:after="0"/>
      <w:ind w:left="576" w:hanging="576"/>
      <w:jc w:val="both"/>
    </w:pPr>
    <w:rPr>
      <w:rFonts w:ascii="黑体" w:hAnsi="Times New Roman"/>
    </w:rPr>
  </w:style>
  <w:style w:type="paragraph" w:customStyle="1" w:styleId="974">
    <w:name w:val="标书2级标题2"/>
    <w:basedOn w:val="975"/>
    <w:next w:val="1"/>
    <w:autoRedefine/>
    <w:qFormat/>
    <w:uiPriority w:val="0"/>
    <w:pPr>
      <w:tabs>
        <w:tab w:val="left" w:pos="550"/>
        <w:tab w:val="left" w:pos="720"/>
        <w:tab w:val="left" w:pos="1276"/>
      </w:tabs>
      <w:spacing w:line="440" w:lineRule="exact"/>
      <w:ind w:left="720" w:hanging="720"/>
      <w:outlineLvl w:val="2"/>
    </w:pPr>
    <w:rPr>
      <w:rFonts w:ascii="Arial Black" w:hAnsi="Arial Black" w:eastAsia="黑体"/>
      <w:bCs w:val="0"/>
      <w:sz w:val="28"/>
      <w:szCs w:val="24"/>
    </w:rPr>
  </w:style>
  <w:style w:type="paragraph" w:customStyle="1" w:styleId="975">
    <w:name w:val="标书2级标题"/>
    <w:basedOn w:val="4"/>
    <w:next w:val="1"/>
    <w:autoRedefine/>
    <w:qFormat/>
    <w:uiPriority w:val="0"/>
    <w:pPr>
      <w:tabs>
        <w:tab w:val="left" w:pos="550"/>
      </w:tabs>
      <w:adjustRightInd/>
      <w:spacing w:before="78" w:after="78" w:line="400" w:lineRule="exact"/>
      <w:ind w:left="551" w:hanging="567"/>
      <w:textAlignment w:val="auto"/>
    </w:pPr>
    <w:rPr>
      <w:rFonts w:eastAsia="宋体"/>
      <w:bCs/>
      <w:sz w:val="24"/>
    </w:rPr>
  </w:style>
  <w:style w:type="paragraph" w:customStyle="1" w:styleId="976">
    <w:name w:val="简单回函地址"/>
    <w:basedOn w:val="1"/>
    <w:autoRedefine/>
    <w:qFormat/>
    <w:uiPriority w:val="0"/>
    <w:rPr>
      <w:sz w:val="24"/>
      <w:szCs w:val="20"/>
    </w:rPr>
  </w:style>
  <w:style w:type="paragraph" w:customStyle="1" w:styleId="977">
    <w:name w:val="WW-表格标题"/>
    <w:basedOn w:val="1"/>
    <w:autoRedefine/>
    <w:qFormat/>
    <w:uiPriority w:val="0"/>
    <w:pPr>
      <w:suppressAutoHyphens/>
      <w:spacing w:before="120" w:line="400" w:lineRule="exact"/>
      <w:jc w:val="center"/>
      <w:textAlignment w:val="baseline"/>
    </w:pPr>
    <w:rPr>
      <w:rFonts w:ascii="宋体" w:eastAsia="文鼎CS中宋"/>
      <w:spacing w:val="30"/>
      <w:kern w:val="0"/>
      <w:sz w:val="24"/>
      <w:szCs w:val="20"/>
      <w:lang w:eastAsia="ar-SA"/>
    </w:rPr>
  </w:style>
  <w:style w:type="paragraph" w:customStyle="1" w:styleId="978">
    <w:name w:val="Char Char Char Char Char Char Char Char Char"/>
    <w:basedOn w:val="1"/>
    <w:autoRedefine/>
    <w:qFormat/>
    <w:uiPriority w:val="0"/>
    <w:pPr>
      <w:widowControl/>
      <w:adjustRightInd w:val="0"/>
      <w:spacing w:after="160" w:line="240" w:lineRule="exact"/>
      <w:ind w:firstLine="601"/>
      <w:jc w:val="left"/>
      <w:textAlignment w:val="baseline"/>
    </w:pPr>
    <w:rPr>
      <w:rFonts w:ascii="Verdana" w:hAnsi="Verdana" w:eastAsia="仿宋_GB2312"/>
      <w:spacing w:val="30"/>
      <w:kern w:val="0"/>
      <w:sz w:val="24"/>
      <w:szCs w:val="20"/>
      <w:lang w:eastAsia="en-US"/>
    </w:rPr>
  </w:style>
  <w:style w:type="paragraph" w:customStyle="1" w:styleId="979">
    <w:name w:val="xl106"/>
    <w:basedOn w:val="1"/>
    <w:autoRedefine/>
    <w:qFormat/>
    <w:uiPriority w:val="0"/>
    <w:pPr>
      <w:widowControl/>
      <w:shd w:val="clear" w:color="auto" w:fill="FFFFFF"/>
      <w:spacing w:before="100" w:beforeAutospacing="1" w:after="100" w:afterAutospacing="1"/>
      <w:jc w:val="left"/>
    </w:pPr>
    <w:rPr>
      <w:rFonts w:ascii="宋体"/>
      <w:b/>
      <w:bCs/>
      <w:kern w:val="0"/>
      <w:sz w:val="20"/>
      <w:szCs w:val="20"/>
    </w:rPr>
  </w:style>
  <w:style w:type="paragraph" w:customStyle="1" w:styleId="980">
    <w:name w:val="文"/>
    <w:basedOn w:val="1"/>
    <w:autoRedefine/>
    <w:qFormat/>
    <w:uiPriority w:val="0"/>
    <w:pPr>
      <w:adjustRightInd w:val="0"/>
      <w:spacing w:line="460" w:lineRule="exact"/>
      <w:ind w:firstLine="200" w:firstLineChars="200"/>
      <w:textAlignment w:val="baseline"/>
      <w:outlineLvl w:val="4"/>
    </w:pPr>
    <w:rPr>
      <w:rFonts w:ascii="宋体"/>
      <w:snapToGrid w:val="0"/>
      <w:spacing w:val="30"/>
      <w:kern w:val="0"/>
      <w:sz w:val="24"/>
      <w:szCs w:val="20"/>
    </w:rPr>
  </w:style>
  <w:style w:type="paragraph" w:customStyle="1" w:styleId="981">
    <w:name w:val="xl50"/>
    <w:basedOn w:val="1"/>
    <w:autoRedefine/>
    <w:qFormat/>
    <w:uiPriority w:val="0"/>
    <w:pPr>
      <w:widowControl/>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jc w:val="center"/>
      <w:textAlignment w:val="baseline"/>
    </w:pPr>
    <w:rPr>
      <w:rFonts w:hint="eastAsia" w:ascii="宋体" w:hAnsi="宋体"/>
      <w:color w:val="000000"/>
      <w:spacing w:val="30"/>
      <w:kern w:val="0"/>
      <w:sz w:val="20"/>
      <w:szCs w:val="20"/>
    </w:rPr>
  </w:style>
  <w:style w:type="paragraph" w:customStyle="1" w:styleId="982">
    <w:name w:val="价格变化趋1"/>
    <w:basedOn w:val="1"/>
    <w:autoRedefine/>
    <w:qFormat/>
    <w:uiPriority w:val="0"/>
    <w:pPr>
      <w:adjustRightInd w:val="0"/>
      <w:spacing w:line="315" w:lineRule="atLeast"/>
      <w:ind w:firstLine="601"/>
      <w:jc w:val="left"/>
      <w:textAlignment w:val="baseline"/>
    </w:pPr>
    <w:rPr>
      <w:rFonts w:ascii="宋体"/>
      <w:spacing w:val="30"/>
      <w:kern w:val="0"/>
      <w:sz w:val="24"/>
      <w:szCs w:val="20"/>
    </w:rPr>
  </w:style>
  <w:style w:type="paragraph" w:customStyle="1" w:styleId="983">
    <w:name w:val="Abschnitt"/>
    <w:basedOn w:val="1"/>
    <w:autoRedefine/>
    <w:qFormat/>
    <w:uiPriority w:val="0"/>
    <w:pPr>
      <w:widowControl/>
      <w:spacing w:after="240"/>
      <w:ind w:left="993"/>
    </w:pPr>
    <w:rPr>
      <w:rFonts w:ascii="Arial" w:hAnsi="Arial"/>
      <w:kern w:val="0"/>
      <w:sz w:val="24"/>
      <w:szCs w:val="20"/>
      <w:lang w:val="en-GB" w:eastAsia="en-US"/>
    </w:rPr>
  </w:style>
  <w:style w:type="paragraph" w:customStyle="1" w:styleId="984">
    <w:name w:val="CM28"/>
    <w:basedOn w:val="112"/>
    <w:next w:val="112"/>
    <w:autoRedefine/>
    <w:qFormat/>
    <w:uiPriority w:val="0"/>
    <w:pPr>
      <w:spacing w:line="500" w:lineRule="atLeast"/>
    </w:pPr>
    <w:rPr>
      <w:rFonts w:ascii="宋体" w:eastAsia="宋体" w:cs="Times New Roman"/>
      <w:color w:val="auto"/>
    </w:rPr>
  </w:style>
  <w:style w:type="paragraph" w:customStyle="1" w:styleId="985">
    <w:name w:val="哈哈"/>
    <w:basedOn w:val="1"/>
    <w:autoRedefine/>
    <w:qFormat/>
    <w:uiPriority w:val="0"/>
    <w:pPr>
      <w:widowControl/>
      <w:spacing w:before="100" w:beforeAutospacing="1" w:after="100" w:afterAutospacing="1" w:line="300" w:lineRule="atLeast"/>
      <w:jc w:val="left"/>
    </w:pPr>
    <w:rPr>
      <w:rFonts w:ascii="宋体" w:hAnsi="宋体" w:cs="宋体"/>
      <w:kern w:val="0"/>
      <w:sz w:val="24"/>
    </w:rPr>
  </w:style>
  <w:style w:type="paragraph" w:customStyle="1" w:styleId="986">
    <w:name w:val="p16"/>
    <w:basedOn w:val="1"/>
    <w:autoRedefine/>
    <w:qFormat/>
    <w:uiPriority w:val="0"/>
    <w:pPr>
      <w:widowControl/>
      <w:snapToGrid w:val="0"/>
      <w:spacing w:before="120" w:line="400" w:lineRule="atLeast"/>
      <w:jc w:val="center"/>
    </w:pPr>
    <w:rPr>
      <w:spacing w:val="8"/>
      <w:kern w:val="0"/>
      <w:sz w:val="24"/>
    </w:rPr>
  </w:style>
  <w:style w:type="paragraph" w:customStyle="1" w:styleId="987">
    <w:name w:val="字元"/>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988">
    <w:name w:val="CM9"/>
    <w:basedOn w:val="112"/>
    <w:next w:val="112"/>
    <w:autoRedefine/>
    <w:qFormat/>
    <w:uiPriority w:val="0"/>
    <w:pPr>
      <w:spacing w:line="400" w:lineRule="atLeast"/>
    </w:pPr>
    <w:rPr>
      <w:rFonts w:ascii="宋体" w:eastAsia="宋体" w:cs="Times New Roman"/>
      <w:color w:val="auto"/>
    </w:rPr>
  </w:style>
  <w:style w:type="paragraph" w:customStyle="1" w:styleId="989">
    <w:name w:val="图表"/>
    <w:basedOn w:val="1"/>
    <w:link w:val="990"/>
    <w:autoRedefine/>
    <w:qFormat/>
    <w:uiPriority w:val="0"/>
    <w:pPr>
      <w:jc w:val="center"/>
    </w:pPr>
    <w:rPr>
      <w:rFonts w:ascii="宋体"/>
    </w:rPr>
  </w:style>
  <w:style w:type="character" w:customStyle="1" w:styleId="990">
    <w:name w:val="图表 Char"/>
    <w:link w:val="989"/>
    <w:autoRedefine/>
    <w:qFormat/>
    <w:uiPriority w:val="0"/>
    <w:rPr>
      <w:rFonts w:ascii="宋体"/>
      <w:kern w:val="2"/>
      <w:sz w:val="21"/>
      <w:szCs w:val="24"/>
    </w:rPr>
  </w:style>
  <w:style w:type="paragraph" w:customStyle="1" w:styleId="991">
    <w:name w:val="xl112"/>
    <w:basedOn w:val="1"/>
    <w:autoRedefine/>
    <w:qFormat/>
    <w:uiPriority w:val="0"/>
    <w:pPr>
      <w:widowControl/>
      <w:shd w:val="clear" w:color="auto" w:fill="FFFFFF"/>
      <w:spacing w:before="100" w:beforeAutospacing="1" w:after="100" w:afterAutospacing="1"/>
      <w:jc w:val="left"/>
    </w:pPr>
    <w:rPr>
      <w:rFonts w:ascii="宋体"/>
      <w:b/>
      <w:bCs/>
      <w:color w:val="FF0000"/>
      <w:kern w:val="0"/>
      <w:sz w:val="20"/>
      <w:szCs w:val="20"/>
      <w:u w:val="single"/>
    </w:rPr>
  </w:style>
  <w:style w:type="paragraph" w:customStyle="1" w:styleId="992">
    <w:name w:val="xl47"/>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400" w:lineRule="exact"/>
      <w:ind w:firstLine="601"/>
      <w:jc w:val="right"/>
      <w:textAlignment w:val="baseline"/>
    </w:pPr>
    <w:rPr>
      <w:rFonts w:ascii="Arial Unicode MS" w:hAnsi="Arial Unicode MS" w:eastAsia="Arial Unicode MS"/>
      <w:color w:val="000000"/>
      <w:spacing w:val="30"/>
      <w:kern w:val="0"/>
      <w:sz w:val="20"/>
      <w:szCs w:val="20"/>
    </w:rPr>
  </w:style>
  <w:style w:type="paragraph" w:customStyle="1" w:styleId="993">
    <w:name w:val="p17"/>
    <w:basedOn w:val="1"/>
    <w:autoRedefine/>
    <w:qFormat/>
    <w:uiPriority w:val="0"/>
    <w:pPr>
      <w:widowControl/>
      <w:snapToGrid w:val="0"/>
      <w:spacing w:line="320" w:lineRule="atLeast"/>
      <w:jc w:val="left"/>
    </w:pPr>
    <w:rPr>
      <w:spacing w:val="-10"/>
      <w:kern w:val="0"/>
      <w:szCs w:val="21"/>
    </w:rPr>
  </w:style>
  <w:style w:type="paragraph" w:customStyle="1" w:styleId="994">
    <w:name w:val="title11"/>
    <w:basedOn w:val="1"/>
    <w:autoRedefine/>
    <w:qFormat/>
    <w:uiPriority w:val="0"/>
    <w:pPr>
      <w:widowControl/>
      <w:pBdr>
        <w:bottom w:val="single" w:color="DDDDDD" w:sz="6" w:space="4"/>
      </w:pBdr>
      <w:spacing w:before="150" w:after="225" w:line="195" w:lineRule="atLeast"/>
      <w:jc w:val="left"/>
    </w:pPr>
    <w:rPr>
      <w:rFonts w:ascii="宋体" w:hAnsi="宋体" w:cs="宋体"/>
      <w:b/>
      <w:bCs/>
      <w:kern w:val="0"/>
      <w:szCs w:val="21"/>
    </w:rPr>
  </w:style>
  <w:style w:type="paragraph" w:customStyle="1" w:styleId="995">
    <w:name w:val="Normal1"/>
    <w:autoRedefine/>
    <w:qFormat/>
    <w:uiPriority w:val="0"/>
    <w:pPr>
      <w:autoSpaceDE w:val="0"/>
      <w:autoSpaceDN w:val="0"/>
      <w:adjustRightInd w:val="0"/>
      <w:spacing w:line="360" w:lineRule="atLeast"/>
      <w:ind w:firstLine="539"/>
      <w:jc w:val="both"/>
      <w:textAlignment w:val="bottom"/>
    </w:pPr>
    <w:rPr>
      <w:rFonts w:ascii="宋体" w:hAnsi="Times New Roman" w:eastAsia="宋体" w:cs="Times New Roman"/>
      <w:spacing w:val="30"/>
      <w:sz w:val="24"/>
      <w:lang w:val="en-US" w:eastAsia="zh-CN" w:bidi="ar-SA"/>
    </w:rPr>
  </w:style>
  <w:style w:type="paragraph" w:customStyle="1" w:styleId="996">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997">
    <w:name w:val="Char Char Char"/>
    <w:basedOn w:val="1"/>
    <w:autoRedefine/>
    <w:qFormat/>
    <w:uiPriority w:val="0"/>
    <w:pPr>
      <w:adjustRightInd w:val="0"/>
      <w:spacing w:line="400" w:lineRule="exact"/>
      <w:ind w:firstLine="601"/>
      <w:textAlignment w:val="baseline"/>
    </w:pPr>
    <w:rPr>
      <w:rFonts w:ascii="Tahoma" w:hAnsi="Tahoma"/>
      <w:spacing w:val="30"/>
      <w:kern w:val="0"/>
      <w:sz w:val="24"/>
      <w:szCs w:val="20"/>
    </w:rPr>
  </w:style>
  <w:style w:type="paragraph" w:customStyle="1" w:styleId="998">
    <w:name w:val="仿宋体"/>
    <w:basedOn w:val="1"/>
    <w:autoRedefine/>
    <w:qFormat/>
    <w:uiPriority w:val="0"/>
    <w:pPr>
      <w:widowControl/>
      <w:adjustRightInd w:val="0"/>
      <w:spacing w:line="844" w:lineRule="atLeast"/>
      <w:ind w:firstLine="419"/>
      <w:textAlignment w:val="baseline"/>
    </w:pPr>
    <w:rPr>
      <w:rFonts w:ascii="宋体" w:eastAsia="仿宋_GB2312"/>
      <w:color w:val="000000"/>
      <w:spacing w:val="30"/>
      <w:kern w:val="0"/>
      <w:sz w:val="31"/>
      <w:szCs w:val="20"/>
      <w:u w:color="000000"/>
    </w:rPr>
  </w:style>
  <w:style w:type="paragraph" w:customStyle="1" w:styleId="999">
    <w:name w:val="Char Char Char Char Char Char"/>
    <w:basedOn w:val="1"/>
    <w:autoRedefine/>
    <w:qFormat/>
    <w:uiPriority w:val="0"/>
    <w:rPr>
      <w:rFonts w:ascii="宋体"/>
      <w:sz w:val="24"/>
    </w:rPr>
  </w:style>
  <w:style w:type="paragraph" w:customStyle="1" w:styleId="1000">
    <w:name w:val="框内容"/>
    <w:basedOn w:val="34"/>
    <w:autoRedefine/>
    <w:qFormat/>
    <w:uiPriority w:val="0"/>
    <w:pPr>
      <w:adjustRightInd w:val="0"/>
      <w:spacing w:line="400" w:lineRule="exact"/>
      <w:ind w:firstLine="601"/>
      <w:textAlignment w:val="baseline"/>
    </w:pPr>
    <w:rPr>
      <w:rFonts w:ascii="宋体" w:eastAsia="楷体_GB2312"/>
      <w:spacing w:val="8"/>
      <w:kern w:val="0"/>
      <w:sz w:val="28"/>
      <w:szCs w:val="20"/>
    </w:rPr>
  </w:style>
  <w:style w:type="paragraph" w:customStyle="1" w:styleId="1001">
    <w:name w:val="Char Char Char Char Char Char Char"/>
    <w:basedOn w:val="1"/>
    <w:autoRedefine/>
    <w:qFormat/>
    <w:uiPriority w:val="0"/>
    <w:rPr>
      <w:sz w:val="24"/>
    </w:rPr>
  </w:style>
  <w:style w:type="paragraph" w:customStyle="1" w:styleId="1002">
    <w:name w:val="reader-word-layer reader-word-s1-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03">
    <w:name w:val="正文文本缩进 21"/>
    <w:basedOn w:val="1"/>
    <w:autoRedefine/>
    <w:qFormat/>
    <w:uiPriority w:val="0"/>
    <w:pPr>
      <w:adjustRightInd w:val="0"/>
      <w:snapToGrid w:val="0"/>
      <w:spacing w:line="312" w:lineRule="atLeast"/>
      <w:ind w:left="660" w:firstLine="492"/>
      <w:textAlignment w:val="baseline"/>
    </w:pPr>
    <w:rPr>
      <w:rFonts w:ascii="宋体"/>
      <w:kern w:val="0"/>
      <w:sz w:val="24"/>
      <w:szCs w:val="20"/>
    </w:rPr>
  </w:style>
  <w:style w:type="paragraph" w:customStyle="1" w:styleId="1004">
    <w:name w:val="xl148"/>
    <w:basedOn w:val="1"/>
    <w:autoRedefine/>
    <w:qFormat/>
    <w:uiPriority w:val="0"/>
    <w:pPr>
      <w:widowControl/>
      <w:pBdr>
        <w:left w:val="single" w:color="auto" w:sz="8" w:space="0"/>
      </w:pBdr>
      <w:shd w:val="clear" w:color="auto" w:fill="FFFFFF"/>
      <w:spacing w:before="100" w:beforeAutospacing="1" w:after="100" w:afterAutospacing="1"/>
      <w:jc w:val="center"/>
    </w:pPr>
    <w:rPr>
      <w:rFonts w:ascii="宋体"/>
      <w:kern w:val="0"/>
      <w:sz w:val="18"/>
      <w:szCs w:val="18"/>
    </w:rPr>
  </w:style>
  <w:style w:type="paragraph" w:customStyle="1" w:styleId="1005">
    <w:name w:val="xl149"/>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color w:val="000000"/>
      <w:kern w:val="0"/>
      <w:sz w:val="18"/>
      <w:szCs w:val="18"/>
    </w:rPr>
  </w:style>
  <w:style w:type="paragraph" w:customStyle="1" w:styleId="1006">
    <w:name w:val="表格内容"/>
    <w:basedOn w:val="1"/>
    <w:link w:val="1007"/>
    <w:autoRedefine/>
    <w:qFormat/>
    <w:uiPriority w:val="0"/>
    <w:pPr>
      <w:autoSpaceDE w:val="0"/>
      <w:autoSpaceDN w:val="0"/>
      <w:adjustRightInd w:val="0"/>
      <w:spacing w:line="240" w:lineRule="exact"/>
    </w:pPr>
    <w:rPr>
      <w:rFonts w:ascii="宋体"/>
      <w:color w:val="000000"/>
    </w:rPr>
  </w:style>
  <w:style w:type="character" w:customStyle="1" w:styleId="1007">
    <w:name w:val="表格内容 Char1"/>
    <w:link w:val="1006"/>
    <w:autoRedefine/>
    <w:qFormat/>
    <w:uiPriority w:val="0"/>
    <w:rPr>
      <w:rFonts w:ascii="宋体" w:hAnsi="Times New Roman" w:eastAsia="宋体" w:cs="Times New Roman"/>
      <w:color w:val="000000"/>
      <w:szCs w:val="24"/>
    </w:rPr>
  </w:style>
  <w:style w:type="paragraph" w:customStyle="1" w:styleId="1008">
    <w:name w:val="xl56"/>
    <w:basedOn w:val="1"/>
    <w:autoRedefine/>
    <w:qFormat/>
    <w:uiPriority w:val="0"/>
    <w:pPr>
      <w:widowControl/>
      <w:shd w:val="clear" w:color="auto" w:fill="FFFFFF"/>
      <w:adjustRightInd w:val="0"/>
      <w:spacing w:before="100" w:beforeAutospacing="1" w:after="100" w:afterAutospacing="1" w:line="400" w:lineRule="exact"/>
      <w:ind w:firstLine="601"/>
      <w:jc w:val="right"/>
      <w:textAlignment w:val="baseline"/>
    </w:pPr>
    <w:rPr>
      <w:rFonts w:hint="eastAsia" w:ascii="宋体" w:hAnsi="宋体"/>
      <w:spacing w:val="30"/>
      <w:kern w:val="0"/>
      <w:sz w:val="20"/>
      <w:szCs w:val="20"/>
    </w:rPr>
  </w:style>
  <w:style w:type="paragraph" w:customStyle="1" w:styleId="1009">
    <w:name w:val="标题1"/>
    <w:basedOn w:val="3"/>
    <w:autoRedefine/>
    <w:qFormat/>
    <w:uiPriority w:val="0"/>
    <w:pPr>
      <w:spacing w:before="360" w:after="360" w:line="500" w:lineRule="exact"/>
    </w:pPr>
    <w:rPr>
      <w:sz w:val="28"/>
      <w:szCs w:val="44"/>
    </w:rPr>
  </w:style>
  <w:style w:type="paragraph" w:customStyle="1" w:styleId="1010">
    <w:name w:val="CM4"/>
    <w:basedOn w:val="1"/>
    <w:next w:val="1"/>
    <w:autoRedefine/>
    <w:qFormat/>
    <w:uiPriority w:val="0"/>
    <w:pPr>
      <w:autoSpaceDE w:val="0"/>
      <w:autoSpaceDN w:val="0"/>
      <w:adjustRightInd w:val="0"/>
      <w:jc w:val="left"/>
    </w:pPr>
    <w:rPr>
      <w:rFonts w:ascii="BVQDJE+FZHTJW--GB1-0" w:eastAsia="BVQDJE+FZHTJW--GB1-0"/>
      <w:kern w:val="0"/>
      <w:sz w:val="24"/>
    </w:rPr>
  </w:style>
  <w:style w:type="paragraph" w:customStyle="1" w:styleId="1011">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12">
    <w:name w:val="正文文本内容"/>
    <w:basedOn w:val="1"/>
    <w:autoRedefine/>
    <w:qFormat/>
    <w:uiPriority w:val="0"/>
    <w:pPr>
      <w:adjustRightInd w:val="0"/>
      <w:spacing w:line="360" w:lineRule="auto"/>
      <w:ind w:firstLine="602" w:firstLineChars="200"/>
      <w:textAlignment w:val="baseline"/>
    </w:pPr>
    <w:rPr>
      <w:rFonts w:ascii="宋体" w:eastAsia="仿宋_GB2312"/>
      <w:spacing w:val="30"/>
      <w:kern w:val="0"/>
      <w:sz w:val="24"/>
      <w:szCs w:val="20"/>
    </w:rPr>
  </w:style>
  <w:style w:type="paragraph" w:customStyle="1" w:styleId="1013">
    <w:name w:val="已有表格"/>
    <w:basedOn w:val="1"/>
    <w:autoRedefine/>
    <w:qFormat/>
    <w:uiPriority w:val="0"/>
    <w:pPr>
      <w:adjustRightInd w:val="0"/>
      <w:spacing w:before="40" w:after="40"/>
      <w:jc w:val="center"/>
      <w:textAlignment w:val="baseline"/>
    </w:pPr>
    <w:rPr>
      <w:b/>
      <w:kern w:val="0"/>
      <w:sz w:val="24"/>
      <w:szCs w:val="20"/>
    </w:rPr>
  </w:style>
  <w:style w:type="paragraph" w:customStyle="1" w:styleId="1014">
    <w:name w:val="CM6"/>
    <w:basedOn w:val="112"/>
    <w:next w:val="112"/>
    <w:autoRedefine/>
    <w:qFormat/>
    <w:uiPriority w:val="0"/>
    <w:pPr>
      <w:spacing w:line="396" w:lineRule="atLeast"/>
    </w:pPr>
    <w:rPr>
      <w:rFonts w:ascii="宋体" w:eastAsia="宋体" w:cs="Times New Roman"/>
      <w:color w:val="auto"/>
    </w:rPr>
  </w:style>
  <w:style w:type="paragraph" w:customStyle="1" w:styleId="1015">
    <w:name w:val="Paragraphe 3"/>
    <w:basedOn w:val="1"/>
    <w:autoRedefine/>
    <w:qFormat/>
    <w:uiPriority w:val="0"/>
    <w:pPr>
      <w:widowControl/>
    </w:pPr>
    <w:rPr>
      <w:rFonts w:ascii="宋体"/>
      <w:kern w:val="0"/>
      <w:sz w:val="24"/>
      <w:szCs w:val="20"/>
      <w:lang w:val="en-GB"/>
    </w:rPr>
  </w:style>
  <w:style w:type="paragraph" w:customStyle="1" w:styleId="1016">
    <w:name w:val="Default Text"/>
    <w:basedOn w:val="1"/>
    <w:autoRedefine/>
    <w:qFormat/>
    <w:uiPriority w:val="0"/>
    <w:pPr>
      <w:autoSpaceDE w:val="0"/>
      <w:autoSpaceDN w:val="0"/>
      <w:adjustRightInd w:val="0"/>
      <w:jc w:val="left"/>
      <w:textAlignment w:val="baseline"/>
    </w:pPr>
    <w:rPr>
      <w:rFonts w:ascii="宋体"/>
      <w:kern w:val="0"/>
      <w:sz w:val="24"/>
      <w:szCs w:val="20"/>
    </w:rPr>
  </w:style>
  <w:style w:type="paragraph" w:customStyle="1" w:styleId="1017">
    <w:name w:val="Blockquote"/>
    <w:basedOn w:val="1"/>
    <w:autoRedefine/>
    <w:qFormat/>
    <w:uiPriority w:val="0"/>
    <w:pPr>
      <w:autoSpaceDE w:val="0"/>
      <w:autoSpaceDN w:val="0"/>
      <w:adjustRightInd w:val="0"/>
      <w:snapToGrid w:val="0"/>
      <w:spacing w:before="100" w:after="100" w:line="300" w:lineRule="auto"/>
      <w:ind w:left="360" w:right="360" w:firstLine="425"/>
      <w:jc w:val="left"/>
    </w:pPr>
    <w:rPr>
      <w:rFonts w:ascii="宋体"/>
      <w:kern w:val="0"/>
      <w:sz w:val="24"/>
      <w:szCs w:val="20"/>
    </w:rPr>
  </w:style>
  <w:style w:type="paragraph" w:customStyle="1" w:styleId="1018">
    <w:name w:val="字元 Char Char"/>
    <w:basedOn w:val="1"/>
    <w:autoRedefine/>
    <w:qFormat/>
    <w:uiPriority w:val="0"/>
    <w:rPr>
      <w:szCs w:val="20"/>
    </w:rPr>
  </w:style>
  <w:style w:type="paragraph" w:customStyle="1" w:styleId="1019">
    <w:name w:val="p18"/>
    <w:basedOn w:val="1"/>
    <w:autoRedefine/>
    <w:qFormat/>
    <w:uiPriority w:val="0"/>
    <w:pPr>
      <w:widowControl/>
    </w:pPr>
    <w:rPr>
      <w:kern w:val="0"/>
      <w:szCs w:val="21"/>
    </w:rPr>
  </w:style>
  <w:style w:type="paragraph" w:customStyle="1" w:styleId="1020">
    <w:name w:val="Char Char Char Char Char Char Char1"/>
    <w:basedOn w:val="1"/>
    <w:autoRedefine/>
    <w:qFormat/>
    <w:uiPriority w:val="0"/>
    <w:rPr>
      <w:sz w:val="24"/>
    </w:rPr>
  </w:style>
  <w:style w:type="paragraph" w:customStyle="1" w:styleId="1021">
    <w:name w:val="正文格式"/>
    <w:basedOn w:val="1"/>
    <w:autoRedefine/>
    <w:qFormat/>
    <w:uiPriority w:val="0"/>
    <w:pPr>
      <w:spacing w:line="360" w:lineRule="auto"/>
      <w:ind w:firstLine="482"/>
    </w:pPr>
    <w:rPr>
      <w:rFonts w:ascii="宋体" w:cs="宋体"/>
      <w:sz w:val="24"/>
    </w:rPr>
  </w:style>
  <w:style w:type="paragraph" w:customStyle="1" w:styleId="1022">
    <w:name w:val="表格2"/>
    <w:basedOn w:val="1"/>
    <w:autoRedefine/>
    <w:qFormat/>
    <w:uiPriority w:val="0"/>
    <w:pPr>
      <w:adjustRightInd w:val="0"/>
      <w:spacing w:line="500" w:lineRule="atLeast"/>
      <w:ind w:firstLine="601"/>
      <w:textAlignment w:val="baseline"/>
    </w:pPr>
    <w:rPr>
      <w:rFonts w:ascii="宋体"/>
      <w:spacing w:val="30"/>
      <w:kern w:val="0"/>
      <w:sz w:val="24"/>
      <w:szCs w:val="20"/>
    </w:rPr>
  </w:style>
  <w:style w:type="paragraph" w:customStyle="1" w:styleId="1023">
    <w:name w:val="style2"/>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hAnsi="宋体" w:cs="宋体"/>
      <w:color w:val="666666"/>
      <w:spacing w:val="30"/>
      <w:kern w:val="0"/>
      <w:sz w:val="24"/>
    </w:rPr>
  </w:style>
  <w:style w:type="paragraph" w:customStyle="1" w:styleId="1024">
    <w:name w:val="du正文"/>
    <w:basedOn w:val="1"/>
    <w:next w:val="1"/>
    <w:autoRedefine/>
    <w:qFormat/>
    <w:uiPriority w:val="0"/>
    <w:pPr>
      <w:adjustRightInd w:val="0"/>
      <w:snapToGrid w:val="0"/>
      <w:spacing w:line="360" w:lineRule="auto"/>
      <w:ind w:firstLine="200" w:firstLineChars="200"/>
    </w:pPr>
    <w:rPr>
      <w:rFonts w:ascii="宋体"/>
      <w:sz w:val="24"/>
    </w:rPr>
  </w:style>
  <w:style w:type="paragraph" w:customStyle="1" w:styleId="1025">
    <w:name w:val="Char17 Char Char2 Char Char Char2 Char Char Char1 Char Char Char Char Char Char2 Char Char Char Char Char Char Char Char Char1 Char Char Char Char Char Char Char"/>
    <w:basedOn w:val="1"/>
    <w:autoRedefine/>
    <w:qFormat/>
    <w:uiPriority w:val="0"/>
    <w:rPr>
      <w:rFonts w:ascii="宋体"/>
      <w:sz w:val="24"/>
    </w:rPr>
  </w:style>
  <w:style w:type="paragraph" w:customStyle="1" w:styleId="1026">
    <w:name w:val="Char3 Char Char Char Char Char Char1 Char Char Char Char Char Char Char Char Char1"/>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027">
    <w:name w:val="reader-word-layer reader-word-s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28">
    <w:name w:val="_Style 8"/>
    <w:basedOn w:val="1"/>
    <w:autoRedefine/>
    <w:qFormat/>
    <w:uiPriority w:val="0"/>
    <w:rPr>
      <w:rFonts w:ascii="宋体"/>
      <w:szCs w:val="20"/>
    </w:rPr>
  </w:style>
  <w:style w:type="paragraph" w:customStyle="1" w:styleId="1029">
    <w:name w:val="应用正文文本"/>
    <w:basedOn w:val="1"/>
    <w:autoRedefine/>
    <w:qFormat/>
    <w:uiPriority w:val="0"/>
    <w:pPr>
      <w:spacing w:line="460" w:lineRule="atLeast"/>
      <w:ind w:firstLine="480" w:firstLineChars="200"/>
    </w:pPr>
    <w:rPr>
      <w:rFonts w:ascii="宋体"/>
      <w:sz w:val="24"/>
    </w:rPr>
  </w:style>
  <w:style w:type="paragraph" w:customStyle="1" w:styleId="1030">
    <w:name w:val="样式A"/>
    <w:basedOn w:val="1"/>
    <w:autoRedefine/>
    <w:qFormat/>
    <w:uiPriority w:val="0"/>
    <w:pPr>
      <w:adjustRightInd w:val="0"/>
      <w:spacing w:line="360" w:lineRule="auto"/>
      <w:ind w:firstLine="567"/>
      <w:textAlignment w:val="baseline"/>
    </w:pPr>
    <w:rPr>
      <w:rFonts w:ascii="宋体" w:hAnsi="Arial"/>
      <w:spacing w:val="30"/>
      <w:kern w:val="0"/>
      <w:sz w:val="24"/>
      <w:szCs w:val="20"/>
    </w:rPr>
  </w:style>
  <w:style w:type="paragraph" w:customStyle="1" w:styleId="1031">
    <w:name w:val="xl116"/>
    <w:basedOn w:val="1"/>
    <w:autoRedefine/>
    <w:qFormat/>
    <w:uiPriority w:val="0"/>
    <w:pPr>
      <w:widowControl/>
      <w:shd w:val="clear" w:color="auto" w:fill="FFFFFF"/>
      <w:spacing w:before="100" w:beforeAutospacing="1" w:after="100" w:afterAutospacing="1"/>
      <w:jc w:val="left"/>
    </w:pPr>
    <w:rPr>
      <w:rFonts w:ascii="宋体"/>
      <w:b/>
      <w:bCs/>
      <w:kern w:val="0"/>
      <w:sz w:val="24"/>
    </w:rPr>
  </w:style>
  <w:style w:type="paragraph" w:customStyle="1" w:styleId="1032">
    <w:name w:val="正文（首行缩进） Char"/>
    <w:basedOn w:val="1"/>
    <w:autoRedefine/>
    <w:qFormat/>
    <w:uiPriority w:val="0"/>
    <w:pPr>
      <w:spacing w:line="360" w:lineRule="auto"/>
      <w:ind w:firstLine="480" w:firstLineChars="200"/>
    </w:pPr>
    <w:rPr>
      <w:rFonts w:ascii="Arial" w:hAnsi="Arial"/>
      <w:color w:val="000000"/>
      <w:sz w:val="24"/>
    </w:rPr>
  </w:style>
  <w:style w:type="paragraph" w:customStyle="1" w:styleId="1033">
    <w:name w:val="reader-word-layer reader-word-s1-0 reader-word-s1-4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34">
    <w:name w:val="表头样式"/>
    <w:autoRedefine/>
    <w:qFormat/>
    <w:uiPriority w:val="0"/>
    <w:pPr>
      <w:widowControl w:val="0"/>
      <w:snapToGrid w:val="0"/>
      <w:spacing w:line="320" w:lineRule="exact"/>
      <w:jc w:val="center"/>
    </w:pPr>
    <w:rPr>
      <w:rFonts w:ascii="Times New Roman" w:hAnsi="Times New Roman" w:eastAsia="宋体" w:cs="Times New Roman"/>
      <w:b/>
      <w:kern w:val="2"/>
      <w:sz w:val="24"/>
      <w:szCs w:val="24"/>
      <w:lang w:val="en-US" w:eastAsia="zh-CN" w:bidi="ar-SA"/>
    </w:rPr>
  </w:style>
  <w:style w:type="paragraph" w:customStyle="1" w:styleId="1035">
    <w:name w:val="Char Char Char1 Char Char Char Char Char Char Char Char Char Char Char Char Char Char Char Char Char Char Char Char Char Char Char Char Char"/>
    <w:basedOn w:val="1"/>
    <w:autoRedefine/>
    <w:qFormat/>
    <w:uiPriority w:val="0"/>
    <w:pPr>
      <w:adjustRightInd w:val="0"/>
      <w:spacing w:line="400" w:lineRule="exact"/>
      <w:ind w:firstLine="601"/>
      <w:textAlignment w:val="baseline"/>
    </w:pPr>
    <w:rPr>
      <w:rFonts w:ascii="Tahoma" w:hAnsi="Tahoma"/>
      <w:spacing w:val="30"/>
      <w:kern w:val="0"/>
      <w:sz w:val="24"/>
      <w:szCs w:val="20"/>
    </w:rPr>
  </w:style>
  <w:style w:type="paragraph" w:customStyle="1" w:styleId="1036">
    <w:name w:val="xl152"/>
    <w:basedOn w:val="1"/>
    <w:autoRedefine/>
    <w:qFormat/>
    <w:uiPriority w:val="0"/>
    <w:pPr>
      <w:widowControl/>
      <w:pBdr>
        <w:right w:val="single" w:color="auto" w:sz="8" w:space="0"/>
      </w:pBdr>
      <w:shd w:val="clear" w:color="auto" w:fill="FFFFFF"/>
      <w:spacing w:before="100" w:beforeAutospacing="1" w:after="100" w:afterAutospacing="1"/>
      <w:jc w:val="left"/>
    </w:pPr>
    <w:rPr>
      <w:rFonts w:ascii="宋体"/>
      <w:kern w:val="0"/>
      <w:sz w:val="16"/>
      <w:szCs w:val="16"/>
    </w:rPr>
  </w:style>
  <w:style w:type="paragraph" w:customStyle="1" w:styleId="1037">
    <w:name w:val="xl51"/>
    <w:basedOn w:val="1"/>
    <w:autoRedefine/>
    <w:qFormat/>
    <w:uiPriority w:val="0"/>
    <w:pPr>
      <w:widowControl/>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jc w:val="right"/>
      <w:textAlignment w:val="baseline"/>
    </w:pPr>
    <w:rPr>
      <w:rFonts w:ascii="Arial Unicode MS" w:hAnsi="Arial Unicode MS" w:eastAsia="Arial Unicode MS"/>
      <w:spacing w:val="30"/>
      <w:kern w:val="0"/>
      <w:sz w:val="20"/>
      <w:szCs w:val="20"/>
    </w:rPr>
  </w:style>
  <w:style w:type="paragraph" w:customStyle="1" w:styleId="1038">
    <w:name w:val="Char3 Char Char Char Char Char Char1 Char Char"/>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039">
    <w:name w:val="CM94"/>
    <w:basedOn w:val="112"/>
    <w:next w:val="112"/>
    <w:autoRedefine/>
    <w:qFormat/>
    <w:uiPriority w:val="0"/>
    <w:rPr>
      <w:rFonts w:ascii="宋体" w:eastAsia="宋体" w:cs="Times New Roman"/>
      <w:color w:val="auto"/>
    </w:rPr>
  </w:style>
  <w:style w:type="paragraph" w:customStyle="1" w:styleId="1040">
    <w:name w:val="xl107"/>
    <w:basedOn w:val="1"/>
    <w:autoRedefine/>
    <w:qFormat/>
    <w:uiPriority w:val="0"/>
    <w:pPr>
      <w:widowControl/>
      <w:shd w:val="clear" w:color="auto" w:fill="FFFFFF"/>
      <w:spacing w:before="100" w:beforeAutospacing="1" w:after="100" w:afterAutospacing="1"/>
      <w:jc w:val="center"/>
    </w:pPr>
    <w:rPr>
      <w:rFonts w:ascii="宋体"/>
      <w:b/>
      <w:bCs/>
      <w:color w:val="FF0000"/>
      <w:kern w:val="0"/>
      <w:sz w:val="20"/>
      <w:szCs w:val="20"/>
    </w:rPr>
  </w:style>
  <w:style w:type="paragraph" w:customStyle="1" w:styleId="1041">
    <w:name w:val="CM24"/>
    <w:basedOn w:val="112"/>
    <w:next w:val="112"/>
    <w:autoRedefine/>
    <w:qFormat/>
    <w:uiPriority w:val="0"/>
    <w:pPr>
      <w:spacing w:after="220"/>
    </w:pPr>
    <w:rPr>
      <w:rFonts w:ascii="Helvetica" w:hAnsi="Helvetica" w:eastAsia="宋体" w:cs="Helvetica"/>
      <w:color w:val="auto"/>
    </w:rPr>
  </w:style>
  <w:style w:type="paragraph" w:customStyle="1" w:styleId="1042">
    <w:name w:val="CM1"/>
    <w:basedOn w:val="112"/>
    <w:next w:val="112"/>
    <w:autoRedefine/>
    <w:qFormat/>
    <w:uiPriority w:val="0"/>
    <w:pPr>
      <w:spacing w:line="398" w:lineRule="atLeast"/>
    </w:pPr>
    <w:rPr>
      <w:rFonts w:ascii="Arial Unicode MS" w:eastAsia="Arial Unicode MS" w:cs="Times New Roman"/>
      <w:color w:val="auto"/>
    </w:rPr>
  </w:style>
  <w:style w:type="paragraph" w:customStyle="1" w:styleId="1043">
    <w:name w:val="实施日期"/>
    <w:basedOn w:val="1"/>
    <w:autoRedefine/>
    <w:qFormat/>
    <w:uiPriority w:val="0"/>
    <w:pPr>
      <w:widowControl/>
      <w:tabs>
        <w:tab w:val="left" w:pos="992"/>
        <w:tab w:val="left" w:pos="2100"/>
      </w:tabs>
      <w:ind w:left="2100" w:hanging="420"/>
      <w:jc w:val="right"/>
      <w:textAlignment w:val="baseline"/>
    </w:pPr>
    <w:rPr>
      <w:rFonts w:ascii="宋体" w:eastAsia="黑体"/>
      <w:kern w:val="0"/>
      <w:sz w:val="24"/>
      <w:szCs w:val="20"/>
    </w:rPr>
  </w:style>
  <w:style w:type="paragraph" w:customStyle="1" w:styleId="1044">
    <w:name w:val="xl131"/>
    <w:basedOn w:val="1"/>
    <w:autoRedefine/>
    <w:qFormat/>
    <w:uiPriority w:val="0"/>
    <w:pPr>
      <w:widowControl/>
      <w:shd w:val="clear" w:color="auto" w:fill="FFFFFF"/>
      <w:spacing w:before="100" w:beforeAutospacing="1" w:after="100" w:afterAutospacing="1"/>
      <w:jc w:val="left"/>
    </w:pPr>
    <w:rPr>
      <w:rFonts w:ascii="宋体"/>
      <w:color w:val="0000FF"/>
      <w:kern w:val="0"/>
      <w:sz w:val="18"/>
      <w:szCs w:val="18"/>
      <w:u w:val="single"/>
    </w:rPr>
  </w:style>
  <w:style w:type="paragraph" w:customStyle="1" w:styleId="1045">
    <w:name w:val="样式 正文（首行缩进两字） + 首行缩进:  2 字符 行距: 固定值 19 磅"/>
    <w:basedOn w:val="1"/>
    <w:autoRedefine/>
    <w:qFormat/>
    <w:uiPriority w:val="0"/>
    <w:pPr>
      <w:spacing w:line="560" w:lineRule="exact"/>
      <w:ind w:firstLine="560" w:firstLineChars="200"/>
    </w:pPr>
    <w:rPr>
      <w:rFonts w:ascii="RomanS" w:hAnsi="RomanS" w:cs="宋体"/>
      <w:kern w:val="24"/>
      <w:sz w:val="24"/>
    </w:rPr>
  </w:style>
  <w:style w:type="paragraph" w:customStyle="1" w:styleId="1046">
    <w:name w:val="Char Char Char Char Char Char Char Char Char Char Char Char Char Char Char Char Char Char Char Char Char Char Char Char Char Char Char Char Char Char Char Char Char Char Char Char Char Char Char Char1 Char Char Char"/>
    <w:basedOn w:val="1"/>
    <w:autoRedefine/>
    <w:qFormat/>
    <w:uiPriority w:val="0"/>
    <w:pPr>
      <w:tabs>
        <w:tab w:val="left" w:pos="360"/>
      </w:tabs>
      <w:spacing w:line="360" w:lineRule="auto"/>
    </w:pPr>
    <w:rPr>
      <w:rFonts w:ascii="楷体_GB2312"/>
      <w:sz w:val="24"/>
    </w:rPr>
  </w:style>
  <w:style w:type="paragraph" w:customStyle="1" w:styleId="1047">
    <w:name w:val="reader-word-layer reader-word-s2-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48">
    <w:name w:val="样式 正文 + 行距: 固定值 22 磅 首行缩进:  2 字符1"/>
    <w:basedOn w:val="1"/>
    <w:autoRedefine/>
    <w:qFormat/>
    <w:uiPriority w:val="0"/>
    <w:pPr>
      <w:spacing w:line="480" w:lineRule="exact"/>
      <w:ind w:firstLine="200" w:firstLineChars="200"/>
    </w:pPr>
    <w:rPr>
      <w:rFonts w:ascii="宋体" w:cs="宋体"/>
      <w:kern w:val="24"/>
      <w:sz w:val="24"/>
      <w:szCs w:val="20"/>
    </w:rPr>
  </w:style>
  <w:style w:type="paragraph" w:customStyle="1" w:styleId="1049">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50">
    <w:name w:val="xl123"/>
    <w:basedOn w:val="1"/>
    <w:autoRedefine/>
    <w:qFormat/>
    <w:uiPriority w:val="0"/>
    <w:pPr>
      <w:widowControl/>
      <w:shd w:val="clear" w:color="auto" w:fill="FFFFFF"/>
      <w:spacing w:before="100" w:beforeAutospacing="1" w:after="100" w:afterAutospacing="1"/>
      <w:jc w:val="left"/>
    </w:pPr>
    <w:rPr>
      <w:rFonts w:ascii="宋体"/>
      <w:b/>
      <w:bCs/>
      <w:kern w:val="0"/>
      <w:sz w:val="20"/>
      <w:szCs w:val="20"/>
    </w:rPr>
  </w:style>
  <w:style w:type="paragraph" w:customStyle="1" w:styleId="1051">
    <w:name w:val="Char Char Char1 Char Char Char Char"/>
    <w:basedOn w:val="1"/>
    <w:autoRedefine/>
    <w:qFormat/>
    <w:uiPriority w:val="0"/>
    <w:pPr>
      <w:adjustRightInd w:val="0"/>
      <w:spacing w:line="400" w:lineRule="exact"/>
      <w:ind w:firstLine="601"/>
      <w:textAlignment w:val="baseline"/>
    </w:pPr>
    <w:rPr>
      <w:rFonts w:ascii="宋体" w:hAnsi="宋体" w:cs="Courier New"/>
      <w:spacing w:val="30"/>
      <w:kern w:val="0"/>
      <w:sz w:val="32"/>
      <w:szCs w:val="32"/>
    </w:rPr>
  </w:style>
  <w:style w:type="paragraph" w:customStyle="1" w:styleId="1052">
    <w:name w:val="Char Char Char Char Char"/>
    <w:basedOn w:val="1"/>
    <w:autoRedefine/>
    <w:qFormat/>
    <w:uiPriority w:val="0"/>
    <w:rPr>
      <w:rFonts w:ascii="Tahoma" w:hAnsi="Tahoma"/>
      <w:sz w:val="24"/>
      <w:szCs w:val="20"/>
    </w:rPr>
  </w:style>
  <w:style w:type="paragraph" w:customStyle="1" w:styleId="1053">
    <w:name w:val="默认段落字体 Para Char Char Char1 Char Char Char Char Char Char Char Char Char Char"/>
    <w:basedOn w:val="1"/>
    <w:autoRedefine/>
    <w:qFormat/>
    <w:uiPriority w:val="0"/>
    <w:rPr>
      <w:sz w:val="24"/>
    </w:rPr>
  </w:style>
  <w:style w:type="paragraph" w:customStyle="1" w:styleId="1054">
    <w:name w:val="(一)"/>
    <w:basedOn w:val="1"/>
    <w:autoRedefine/>
    <w:qFormat/>
    <w:uiPriority w:val="0"/>
    <w:pPr>
      <w:adjustRightInd w:val="0"/>
      <w:spacing w:line="420" w:lineRule="atLeast"/>
      <w:ind w:left="992" w:hanging="425"/>
      <w:textAlignment w:val="baseline"/>
    </w:pPr>
    <w:rPr>
      <w:rFonts w:ascii="宋体" w:eastAsia="DFKai-SB"/>
      <w:kern w:val="0"/>
      <w:sz w:val="26"/>
      <w:szCs w:val="20"/>
      <w:lang w:eastAsia="zh-TW"/>
    </w:rPr>
  </w:style>
  <w:style w:type="paragraph" w:customStyle="1" w:styleId="1055">
    <w:name w:val="Char1 Char Char Char"/>
    <w:basedOn w:val="1"/>
    <w:autoRedefine/>
    <w:qFormat/>
    <w:uiPriority w:val="0"/>
    <w:pPr>
      <w:widowControl/>
      <w:adjustRightInd w:val="0"/>
      <w:spacing w:before="100" w:beforeAutospacing="1" w:after="100" w:afterAutospacing="1" w:line="400" w:lineRule="exact"/>
      <w:ind w:firstLine="200" w:firstLineChars="200"/>
      <w:jc w:val="left"/>
      <w:textAlignment w:val="baseline"/>
    </w:pPr>
    <w:rPr>
      <w:rFonts w:ascii="Verdana" w:hAnsi="Verdana" w:eastAsia="仿宋_GB2312"/>
      <w:spacing w:val="30"/>
      <w:kern w:val="0"/>
      <w:sz w:val="20"/>
      <w:szCs w:val="21"/>
      <w:lang w:eastAsia="en-US"/>
    </w:rPr>
  </w:style>
  <w:style w:type="paragraph" w:customStyle="1" w:styleId="1056">
    <w:name w:val="表格文字（居中）"/>
    <w:basedOn w:val="1"/>
    <w:autoRedefine/>
    <w:qFormat/>
    <w:uiPriority w:val="0"/>
    <w:pPr>
      <w:jc w:val="center"/>
    </w:pPr>
    <w:rPr>
      <w:rFonts w:ascii="Arial" w:hAnsi="Arial"/>
      <w:kern w:val="0"/>
      <w:sz w:val="24"/>
    </w:rPr>
  </w:style>
  <w:style w:type="paragraph" w:customStyle="1" w:styleId="1057">
    <w:name w:val="CM90"/>
    <w:basedOn w:val="112"/>
    <w:next w:val="112"/>
    <w:autoRedefine/>
    <w:qFormat/>
    <w:uiPriority w:val="0"/>
    <w:rPr>
      <w:rFonts w:ascii="宋体" w:eastAsia="宋体" w:cs="Times New Roman"/>
      <w:color w:val="auto"/>
    </w:rPr>
  </w:style>
  <w:style w:type="paragraph" w:customStyle="1" w:styleId="1058">
    <w:name w:val="字元5"/>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059">
    <w:name w:val="普通 (Web)"/>
    <w:basedOn w:val="1"/>
    <w:autoRedefine/>
    <w:qFormat/>
    <w:uiPriority w:val="0"/>
    <w:pPr>
      <w:widowControl/>
      <w:spacing w:before="100" w:after="100"/>
      <w:jc w:val="left"/>
    </w:pPr>
    <w:rPr>
      <w:rFonts w:ascii="宋体" w:hAnsi="宋体"/>
      <w:kern w:val="0"/>
      <w:sz w:val="24"/>
      <w:szCs w:val="20"/>
    </w:rPr>
  </w:style>
  <w:style w:type="paragraph" w:customStyle="1" w:styleId="1060">
    <w:name w:val="xl64"/>
    <w:basedOn w:val="1"/>
    <w:autoRedefine/>
    <w:qFormat/>
    <w:uiPriority w:val="0"/>
    <w:pPr>
      <w:widowControl/>
      <w:pBdr>
        <w:top w:val="single" w:color="auto" w:sz="4" w:space="0"/>
      </w:pBdr>
      <w:adjustRightInd w:val="0"/>
      <w:spacing w:before="100" w:beforeAutospacing="1" w:after="100" w:afterAutospacing="1" w:line="400" w:lineRule="exact"/>
      <w:ind w:firstLine="601"/>
      <w:jc w:val="right"/>
      <w:textAlignment w:val="center"/>
    </w:pPr>
    <w:rPr>
      <w:rFonts w:hint="eastAsia" w:ascii="楷体" w:hAnsi="宋体" w:eastAsia="楷体"/>
      <w:spacing w:val="30"/>
      <w:kern w:val="0"/>
      <w:sz w:val="16"/>
      <w:szCs w:val="16"/>
    </w:rPr>
  </w:style>
  <w:style w:type="paragraph" w:customStyle="1" w:styleId="1061">
    <w:name w:val="xl27"/>
    <w:basedOn w:val="1"/>
    <w:autoRedefine/>
    <w:qFormat/>
    <w:uiPriority w:val="0"/>
    <w:pPr>
      <w:widowControl/>
      <w:pBdr>
        <w:bottom w:val="single" w:color="auto" w:sz="12" w:space="0"/>
      </w:pBdr>
      <w:spacing w:before="100" w:after="100"/>
      <w:jc w:val="center"/>
    </w:pPr>
    <w:rPr>
      <w:rFonts w:ascii="宋体" w:hAnsi="宋体"/>
      <w:kern w:val="0"/>
      <w:szCs w:val="20"/>
    </w:rPr>
  </w:style>
  <w:style w:type="paragraph" w:customStyle="1" w:styleId="1062">
    <w:name w:val="字元 字元1"/>
    <w:basedOn w:val="1"/>
    <w:autoRedefine/>
    <w:qFormat/>
    <w:uiPriority w:val="0"/>
    <w:pPr>
      <w:adjustRightInd w:val="0"/>
      <w:spacing w:line="400" w:lineRule="exact"/>
      <w:ind w:firstLine="200" w:firstLineChars="200"/>
      <w:textAlignment w:val="baseline"/>
    </w:pPr>
    <w:rPr>
      <w:rFonts w:ascii="宋体"/>
      <w:spacing w:val="30"/>
      <w:kern w:val="0"/>
      <w:sz w:val="24"/>
      <w:szCs w:val="28"/>
    </w:rPr>
  </w:style>
  <w:style w:type="paragraph" w:customStyle="1" w:styleId="1063">
    <w:name w:val="xl153"/>
    <w:basedOn w:val="1"/>
    <w:autoRedefine/>
    <w:qFormat/>
    <w:uiPriority w:val="0"/>
    <w:pPr>
      <w:widowControl/>
      <w:pBdr>
        <w:left w:val="single" w:color="auto" w:sz="8" w:space="0"/>
      </w:pBdr>
      <w:shd w:val="clear" w:color="auto" w:fill="FFFFFF"/>
      <w:spacing w:before="100" w:beforeAutospacing="1" w:after="100" w:afterAutospacing="1"/>
      <w:jc w:val="center"/>
    </w:pPr>
    <w:rPr>
      <w:rFonts w:ascii="宋体"/>
      <w:b/>
      <w:bCs/>
      <w:kern w:val="0"/>
      <w:sz w:val="20"/>
      <w:szCs w:val="20"/>
    </w:rPr>
  </w:style>
  <w:style w:type="paragraph" w:customStyle="1" w:styleId="1064">
    <w:name w:val="xl43"/>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400" w:lineRule="exact"/>
      <w:ind w:firstLine="601"/>
      <w:jc w:val="left"/>
      <w:textAlignment w:val="baseline"/>
    </w:pPr>
    <w:rPr>
      <w:rFonts w:ascii="Arial Unicode MS" w:hAnsi="Arial Unicode MS" w:eastAsia="Arial Unicode MS"/>
      <w:color w:val="FF0000"/>
      <w:spacing w:val="30"/>
      <w:kern w:val="0"/>
      <w:sz w:val="20"/>
      <w:szCs w:val="20"/>
    </w:rPr>
  </w:style>
  <w:style w:type="paragraph" w:customStyle="1" w:styleId="1065">
    <w:name w:val="Char Char Char Char Char Char Char Char Char Char Char Char Char Char Char Char Char Char Char Char Char Char Char Char Char"/>
    <w:basedOn w:val="1"/>
    <w:autoRedefine/>
    <w:qFormat/>
    <w:uiPriority w:val="0"/>
  </w:style>
  <w:style w:type="paragraph" w:customStyle="1" w:styleId="1066">
    <w:name w:val="金宏发行正文 Char"/>
    <w:basedOn w:val="1"/>
    <w:autoRedefine/>
    <w:qFormat/>
    <w:uiPriority w:val="0"/>
    <w:pPr>
      <w:spacing w:line="500" w:lineRule="exact"/>
      <w:ind w:firstLine="560" w:firstLineChars="200"/>
    </w:pPr>
    <w:rPr>
      <w:rFonts w:ascii="宋体" w:eastAsia="仿宋_GB2312" w:cs="宋体"/>
      <w:sz w:val="24"/>
      <w:szCs w:val="20"/>
    </w:rPr>
  </w:style>
  <w:style w:type="paragraph" w:customStyle="1" w:styleId="1067">
    <w:name w:val="Char Char Char1 Char Char Char1 Char Char Char1 Char Char Char 字元 字元 Char Char 字元 字元 字元 字元 字元"/>
    <w:basedOn w:val="1"/>
    <w:autoRedefine/>
    <w:qFormat/>
    <w:uiPriority w:val="0"/>
    <w:pPr>
      <w:adjustRightInd w:val="0"/>
      <w:spacing w:line="400" w:lineRule="exact"/>
      <w:ind w:firstLine="200" w:firstLineChars="200"/>
      <w:textAlignment w:val="baseline"/>
    </w:pPr>
    <w:rPr>
      <w:rFonts w:ascii="宋体"/>
      <w:spacing w:val="30"/>
      <w:kern w:val="0"/>
      <w:sz w:val="24"/>
      <w:szCs w:val="28"/>
    </w:rPr>
  </w:style>
  <w:style w:type="paragraph" w:customStyle="1" w:styleId="1068">
    <w:name w:val="字元2"/>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069">
    <w:name w:val="title8"/>
    <w:basedOn w:val="1"/>
    <w:autoRedefine/>
    <w:qFormat/>
    <w:uiPriority w:val="0"/>
    <w:pPr>
      <w:widowControl/>
      <w:spacing w:after="225"/>
      <w:jc w:val="left"/>
    </w:pPr>
    <w:rPr>
      <w:rFonts w:ascii="΢ȭхڢ, ڌ墬 Verdana" w:hAnsi="宋体" w:eastAsia="΢ȭхڢ, ڌ墬 Verdana" w:cs="宋体"/>
      <w:kern w:val="0"/>
      <w:sz w:val="36"/>
      <w:szCs w:val="36"/>
    </w:rPr>
  </w:style>
  <w:style w:type="paragraph" w:customStyle="1" w:styleId="1070">
    <w:name w:val="font7"/>
    <w:basedOn w:val="1"/>
    <w:autoRedefine/>
    <w:qFormat/>
    <w:uiPriority w:val="0"/>
    <w:pPr>
      <w:widowControl/>
      <w:spacing w:before="100" w:beforeAutospacing="1" w:after="100" w:afterAutospacing="1"/>
      <w:jc w:val="left"/>
    </w:pPr>
    <w:rPr>
      <w:color w:val="000000"/>
      <w:kern w:val="0"/>
      <w:sz w:val="24"/>
    </w:rPr>
  </w:style>
  <w:style w:type="paragraph" w:customStyle="1" w:styleId="1071">
    <w:name w:val="xl4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val="0"/>
      <w:spacing w:before="100" w:beforeAutospacing="1" w:after="100" w:afterAutospacing="1" w:line="400" w:lineRule="exact"/>
      <w:ind w:firstLine="601"/>
      <w:jc w:val="right"/>
      <w:textAlignment w:val="baseline"/>
    </w:pPr>
    <w:rPr>
      <w:rFonts w:ascii="Arial Unicode MS" w:hAnsi="Arial Unicode MS" w:eastAsia="Arial Unicode MS"/>
      <w:color w:val="000000"/>
      <w:spacing w:val="30"/>
      <w:kern w:val="0"/>
      <w:sz w:val="20"/>
      <w:szCs w:val="20"/>
    </w:rPr>
  </w:style>
  <w:style w:type="paragraph" w:customStyle="1" w:styleId="1072">
    <w:name w:val="样式 四号 行距: 固定值 25 磅"/>
    <w:basedOn w:val="1"/>
    <w:autoRedefine/>
    <w:qFormat/>
    <w:uiPriority w:val="0"/>
    <w:pPr>
      <w:spacing w:line="500" w:lineRule="exact"/>
      <w:ind w:firstLine="560" w:firstLineChars="200"/>
    </w:pPr>
    <w:rPr>
      <w:rFonts w:ascii="宋体"/>
      <w:sz w:val="24"/>
      <w:szCs w:val="20"/>
    </w:rPr>
  </w:style>
  <w:style w:type="paragraph" w:customStyle="1" w:styleId="1073">
    <w:name w:val="Date1"/>
    <w:basedOn w:val="1"/>
    <w:next w:val="1"/>
    <w:autoRedefine/>
    <w:qFormat/>
    <w:uiPriority w:val="0"/>
    <w:pPr>
      <w:adjustRightInd w:val="0"/>
      <w:textAlignment w:val="baseline"/>
    </w:pPr>
    <w:rPr>
      <w:rFonts w:ascii="宋体"/>
      <w:szCs w:val="20"/>
    </w:rPr>
  </w:style>
  <w:style w:type="paragraph" w:customStyle="1" w:styleId="1074">
    <w:name w:val="标书四级目录"/>
    <w:basedOn w:val="1"/>
    <w:autoRedefine/>
    <w:qFormat/>
    <w:uiPriority w:val="0"/>
    <w:pPr>
      <w:tabs>
        <w:tab w:val="left" w:pos="842"/>
      </w:tabs>
      <w:ind w:left="842" w:hanging="360"/>
    </w:pPr>
    <w:rPr>
      <w:rFonts w:ascii="宋体"/>
    </w:rPr>
  </w:style>
  <w:style w:type="paragraph" w:customStyle="1" w:styleId="1075">
    <w:name w:val="项目"/>
    <w:basedOn w:val="1"/>
    <w:autoRedefine/>
    <w:qFormat/>
    <w:uiPriority w:val="0"/>
    <w:pPr>
      <w:adjustRightInd w:val="0"/>
      <w:spacing w:line="400" w:lineRule="exact"/>
      <w:jc w:val="left"/>
      <w:textAlignment w:val="baseline"/>
    </w:pPr>
    <w:rPr>
      <w:rFonts w:ascii="宋体"/>
      <w:spacing w:val="30"/>
      <w:kern w:val="0"/>
      <w:sz w:val="24"/>
      <w:szCs w:val="20"/>
    </w:rPr>
  </w:style>
  <w:style w:type="paragraph" w:customStyle="1" w:styleId="1076">
    <w:name w:val="仿宋四号"/>
    <w:basedOn w:val="1"/>
    <w:autoRedefine/>
    <w:qFormat/>
    <w:uiPriority w:val="0"/>
    <w:pPr>
      <w:ind w:firstLine="560" w:firstLineChars="200"/>
    </w:pPr>
    <w:rPr>
      <w:rFonts w:ascii="仿宋_GB2312" w:hAnsi="Arial" w:eastAsia="仿宋_GB2312"/>
      <w:sz w:val="24"/>
      <w:szCs w:val="20"/>
    </w:rPr>
  </w:style>
  <w:style w:type="paragraph" w:customStyle="1" w:styleId="1077">
    <w:name w:val="表内容"/>
    <w:basedOn w:val="1"/>
    <w:autoRedefine/>
    <w:qFormat/>
    <w:uiPriority w:val="0"/>
    <w:pPr>
      <w:adjustRightInd w:val="0"/>
      <w:snapToGrid w:val="0"/>
      <w:spacing w:after="120"/>
      <w:jc w:val="left"/>
      <w:textAlignment w:val="bottom"/>
    </w:pPr>
    <w:rPr>
      <w:rFonts w:ascii="Arial" w:hAnsi="Arial"/>
      <w:kern w:val="0"/>
      <w:sz w:val="24"/>
      <w:szCs w:val="20"/>
    </w:rPr>
  </w:style>
  <w:style w:type="paragraph" w:customStyle="1" w:styleId="1078">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color w:val="000000"/>
      <w:kern w:val="0"/>
      <w:sz w:val="24"/>
    </w:rPr>
  </w:style>
  <w:style w:type="paragraph" w:customStyle="1" w:styleId="1079">
    <w:name w:val="a0"/>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hAnsi="宋体" w:cs="宋体"/>
      <w:spacing w:val="30"/>
      <w:kern w:val="0"/>
      <w:sz w:val="24"/>
    </w:rPr>
  </w:style>
  <w:style w:type="paragraph" w:customStyle="1" w:styleId="1080">
    <w:name w:val="章"/>
    <w:basedOn w:val="1"/>
    <w:autoRedefine/>
    <w:qFormat/>
    <w:uiPriority w:val="0"/>
    <w:pPr>
      <w:adjustRightInd w:val="0"/>
      <w:spacing w:line="400" w:lineRule="exact"/>
      <w:ind w:firstLine="601"/>
      <w:jc w:val="center"/>
      <w:textAlignment w:val="baseline"/>
      <w:outlineLvl w:val="1"/>
    </w:pPr>
    <w:rPr>
      <w:rFonts w:ascii="仿宋_GB2312" w:hAnsi="华文仿宋" w:eastAsia="仿宋_GB2312"/>
      <w:b/>
      <w:bCs/>
      <w:spacing w:val="30"/>
      <w:kern w:val="0"/>
      <w:sz w:val="24"/>
      <w:szCs w:val="32"/>
    </w:rPr>
  </w:style>
  <w:style w:type="paragraph" w:customStyle="1" w:styleId="1081">
    <w:name w:val="5居中"/>
    <w:basedOn w:val="1"/>
    <w:autoRedefine/>
    <w:qFormat/>
    <w:uiPriority w:val="0"/>
    <w:pPr>
      <w:snapToGrid w:val="0"/>
      <w:spacing w:before="46" w:beforeLines="15" w:after="46" w:afterLines="15" w:line="320" w:lineRule="atLeast"/>
      <w:jc w:val="center"/>
    </w:pPr>
    <w:rPr>
      <w:rFonts w:ascii="宋体"/>
    </w:rPr>
  </w:style>
  <w:style w:type="paragraph" w:customStyle="1" w:styleId="1082">
    <w:name w:val="图形"/>
    <w:basedOn w:val="21"/>
    <w:autoRedefine/>
    <w:qFormat/>
    <w:uiPriority w:val="0"/>
    <w:pPr>
      <w:adjustRightInd w:val="0"/>
      <w:spacing w:line="400" w:lineRule="exact"/>
      <w:ind w:firstLine="0" w:firstLineChars="0"/>
      <w:textAlignment w:val="baseline"/>
    </w:pPr>
    <w:rPr>
      <w:rFonts w:eastAsia="楷体_GB2312"/>
      <w:spacing w:val="8"/>
      <w:sz w:val="28"/>
      <w:szCs w:val="22"/>
    </w:rPr>
  </w:style>
  <w:style w:type="paragraph" w:customStyle="1" w:styleId="1083">
    <w:name w:val="标准"/>
    <w:basedOn w:val="1"/>
    <w:autoRedefine/>
    <w:qFormat/>
    <w:uiPriority w:val="0"/>
    <w:pPr>
      <w:adjustRightInd w:val="0"/>
      <w:spacing w:line="360" w:lineRule="auto"/>
      <w:textAlignment w:val="baseline"/>
    </w:pPr>
    <w:rPr>
      <w:rFonts w:ascii="楷体_GB2312"/>
      <w:kern w:val="0"/>
      <w:sz w:val="24"/>
      <w:szCs w:val="20"/>
    </w:rPr>
  </w:style>
  <w:style w:type="paragraph" w:customStyle="1" w:styleId="1084">
    <w:name w:val="font25"/>
    <w:basedOn w:val="1"/>
    <w:autoRedefine/>
    <w:qFormat/>
    <w:uiPriority w:val="0"/>
    <w:pPr>
      <w:widowControl/>
      <w:spacing w:before="100" w:beforeAutospacing="1" w:after="100" w:afterAutospacing="1"/>
      <w:jc w:val="left"/>
    </w:pPr>
    <w:rPr>
      <w:rFonts w:ascii="宋体" w:hAnsi="宋体" w:cs="宋体"/>
      <w:b/>
      <w:bCs/>
      <w:color w:val="800080"/>
      <w:kern w:val="0"/>
      <w:sz w:val="24"/>
    </w:rPr>
  </w:style>
  <w:style w:type="paragraph" w:customStyle="1" w:styleId="1085">
    <w:name w:val="。"/>
    <w:autoRedefine/>
    <w:qFormat/>
    <w:uiPriority w:val="0"/>
    <w:pPr>
      <w:widowControl w:val="0"/>
      <w:adjustRightInd w:val="0"/>
      <w:spacing w:line="400" w:lineRule="exact"/>
      <w:ind w:firstLine="601"/>
      <w:jc w:val="both"/>
      <w:textAlignment w:val="baseline"/>
    </w:pPr>
    <w:rPr>
      <w:rFonts w:ascii="Times New Roman" w:hAnsi="Times New Roman" w:eastAsia="楷体_GB2312" w:cs="Times New Roman"/>
      <w:spacing w:val="8"/>
      <w:sz w:val="28"/>
      <w:lang w:val="en-US" w:eastAsia="zh-CN" w:bidi="ar-SA"/>
    </w:rPr>
  </w:style>
  <w:style w:type="paragraph" w:customStyle="1" w:styleId="1086">
    <w:name w:val="msolistparagraph"/>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87">
    <w:name w:val="Char Char Char1 Char Char Char1 Char Char Char1 Char Char Char 字元 字元"/>
    <w:basedOn w:val="1"/>
    <w:autoRedefine/>
    <w:qFormat/>
    <w:uiPriority w:val="0"/>
    <w:pPr>
      <w:adjustRightInd w:val="0"/>
      <w:spacing w:line="400" w:lineRule="exact"/>
      <w:ind w:firstLine="200" w:firstLineChars="200"/>
      <w:textAlignment w:val="baseline"/>
    </w:pPr>
    <w:rPr>
      <w:rFonts w:ascii="宋体"/>
      <w:spacing w:val="30"/>
      <w:kern w:val="0"/>
      <w:sz w:val="24"/>
      <w:szCs w:val="28"/>
    </w:rPr>
  </w:style>
  <w:style w:type="paragraph" w:customStyle="1" w:styleId="1088">
    <w:name w:val="默认段落字体 Para Char"/>
    <w:basedOn w:val="1"/>
    <w:autoRedefine/>
    <w:qFormat/>
    <w:uiPriority w:val="0"/>
    <w:rPr>
      <w:rFonts w:ascii="宋体"/>
      <w:sz w:val="24"/>
    </w:rPr>
  </w:style>
  <w:style w:type="paragraph" w:customStyle="1" w:styleId="1089">
    <w:name w:val="默认段落字体 Para Char Char Char1 Char Char"/>
    <w:basedOn w:val="1"/>
    <w:autoRedefine/>
    <w:qFormat/>
    <w:uiPriority w:val="0"/>
    <w:rPr>
      <w:sz w:val="24"/>
    </w:rPr>
  </w:style>
  <w:style w:type="paragraph" w:customStyle="1" w:styleId="1090">
    <w:name w:val="unnamed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91">
    <w:name w:val="desc3"/>
    <w:basedOn w:val="1"/>
    <w:autoRedefine/>
    <w:qFormat/>
    <w:uiPriority w:val="0"/>
    <w:pPr>
      <w:widowControl/>
      <w:spacing w:before="75"/>
      <w:jc w:val="left"/>
    </w:pPr>
    <w:rPr>
      <w:rFonts w:ascii="宋体" w:hAnsi="宋体" w:cs="宋体"/>
      <w:kern w:val="0"/>
      <w:sz w:val="24"/>
    </w:rPr>
  </w:style>
  <w:style w:type="paragraph" w:customStyle="1" w:styleId="1092">
    <w:name w:val="Char3 Char Char Char Char Char Char1 Char Char Char Char Char Char Char Char Char"/>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093">
    <w:name w:val="表格的文字"/>
    <w:basedOn w:val="1"/>
    <w:autoRedefine/>
    <w:qFormat/>
    <w:uiPriority w:val="0"/>
    <w:pPr>
      <w:adjustRightInd w:val="0"/>
      <w:spacing w:line="300" w:lineRule="exact"/>
      <w:ind w:firstLine="601"/>
      <w:jc w:val="center"/>
      <w:textAlignment w:val="baseline"/>
    </w:pPr>
    <w:rPr>
      <w:rFonts w:ascii="仿宋_GB2312" w:hAnsi="宋体" w:eastAsia="仿宋_GB2312"/>
      <w:bCs/>
      <w:color w:val="000000"/>
      <w:spacing w:val="30"/>
      <w:kern w:val="0"/>
      <w:sz w:val="24"/>
      <w:szCs w:val="20"/>
    </w:rPr>
  </w:style>
  <w:style w:type="paragraph" w:customStyle="1" w:styleId="1094">
    <w:name w:val="CM20"/>
    <w:basedOn w:val="112"/>
    <w:next w:val="112"/>
    <w:autoRedefine/>
    <w:qFormat/>
    <w:uiPriority w:val="0"/>
    <w:pPr>
      <w:spacing w:line="468" w:lineRule="atLeast"/>
    </w:pPr>
    <w:rPr>
      <w:rFonts w:ascii="宋体" w:eastAsia="宋体" w:cs="Times New Roman"/>
      <w:color w:val="auto"/>
    </w:rPr>
  </w:style>
  <w:style w:type="paragraph" w:customStyle="1" w:styleId="1095">
    <w:name w:val="正文+1"/>
    <w:basedOn w:val="112"/>
    <w:next w:val="112"/>
    <w:autoRedefine/>
    <w:qFormat/>
    <w:uiPriority w:val="0"/>
    <w:rPr>
      <w:rFonts w:ascii="宋体" w:eastAsia="宋体" w:cs="Times New Roman"/>
      <w:color w:val="auto"/>
    </w:rPr>
  </w:style>
  <w:style w:type="paragraph" w:customStyle="1" w:styleId="1096">
    <w:name w:val="CM51"/>
    <w:basedOn w:val="112"/>
    <w:next w:val="112"/>
    <w:autoRedefine/>
    <w:qFormat/>
    <w:uiPriority w:val="0"/>
    <w:pPr>
      <w:spacing w:after="63"/>
    </w:pPr>
    <w:rPr>
      <w:rFonts w:ascii="宋体" w:eastAsia="宋体" w:cs="Times New Roman"/>
      <w:color w:val="auto"/>
    </w:rPr>
  </w:style>
  <w:style w:type="paragraph" w:customStyle="1" w:styleId="1097">
    <w:name w:val="Char Char Char1 Char Char Char1 Char Char Char1 Char Char Char"/>
    <w:basedOn w:val="1"/>
    <w:autoRedefine/>
    <w:qFormat/>
    <w:uiPriority w:val="0"/>
    <w:pPr>
      <w:adjustRightInd w:val="0"/>
      <w:spacing w:line="400" w:lineRule="exact"/>
      <w:ind w:firstLine="200" w:firstLineChars="200"/>
      <w:textAlignment w:val="baseline"/>
    </w:pPr>
    <w:rPr>
      <w:rFonts w:ascii="宋体"/>
      <w:spacing w:val="30"/>
      <w:kern w:val="0"/>
      <w:sz w:val="24"/>
      <w:szCs w:val="28"/>
    </w:rPr>
  </w:style>
  <w:style w:type="paragraph" w:customStyle="1" w:styleId="1098">
    <w:name w:val="批注文字1"/>
    <w:basedOn w:val="1"/>
    <w:autoRedefine/>
    <w:qFormat/>
    <w:uiPriority w:val="0"/>
    <w:pPr>
      <w:adjustRightInd w:val="0"/>
      <w:spacing w:line="400" w:lineRule="exact"/>
      <w:ind w:firstLine="601"/>
      <w:jc w:val="left"/>
      <w:textAlignment w:val="baseline"/>
    </w:pPr>
    <w:rPr>
      <w:rFonts w:ascii="宋体"/>
      <w:spacing w:val="30"/>
      <w:kern w:val="0"/>
      <w:sz w:val="24"/>
      <w:szCs w:val="20"/>
    </w:rPr>
  </w:style>
  <w:style w:type="paragraph" w:customStyle="1" w:styleId="1099">
    <w:name w:val="TITLE-0"/>
    <w:basedOn w:val="1"/>
    <w:autoRedefine/>
    <w:qFormat/>
    <w:uiPriority w:val="0"/>
    <w:pPr>
      <w:adjustRightInd w:val="0"/>
      <w:spacing w:line="400" w:lineRule="exact"/>
      <w:ind w:firstLine="601"/>
      <w:jc w:val="center"/>
      <w:textAlignment w:val="baseline"/>
    </w:pPr>
    <w:rPr>
      <w:rFonts w:ascii="華康隸書體" w:eastAsia="華康中楷體"/>
      <w:b/>
      <w:spacing w:val="30"/>
      <w:kern w:val="0"/>
      <w:sz w:val="48"/>
      <w:szCs w:val="20"/>
      <w:lang w:eastAsia="zh-TW"/>
    </w:rPr>
  </w:style>
  <w:style w:type="paragraph" w:customStyle="1" w:styleId="1100">
    <w:name w:val="album-div"/>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01">
    <w:name w:val="小四表文左齐"/>
    <w:basedOn w:val="1"/>
    <w:autoRedefine/>
    <w:qFormat/>
    <w:uiPriority w:val="0"/>
    <w:pPr>
      <w:jc w:val="center"/>
    </w:pPr>
    <w:rPr>
      <w:rFonts w:ascii="宋体" w:hAnsi="宋体"/>
      <w:szCs w:val="21"/>
    </w:rPr>
  </w:style>
  <w:style w:type="paragraph" w:customStyle="1" w:styleId="1102">
    <w:name w:val="字元 字元3 Char Char (文字) (文字) Char Char (文字) (文字)"/>
    <w:basedOn w:val="1"/>
    <w:autoRedefine/>
    <w:qFormat/>
    <w:uiPriority w:val="0"/>
    <w:pPr>
      <w:spacing w:line="400" w:lineRule="exact"/>
      <w:ind w:firstLine="200" w:firstLineChars="200"/>
    </w:pPr>
    <w:rPr>
      <w:rFonts w:ascii="宋体"/>
      <w:sz w:val="24"/>
      <w:szCs w:val="28"/>
    </w:rPr>
  </w:style>
  <w:style w:type="paragraph" w:customStyle="1" w:styleId="1103">
    <w:name w:val="正文（行首缩进2字）"/>
    <w:basedOn w:val="1"/>
    <w:link w:val="1104"/>
    <w:autoRedefine/>
    <w:qFormat/>
    <w:uiPriority w:val="0"/>
    <w:pPr>
      <w:spacing w:line="360" w:lineRule="auto"/>
      <w:ind w:firstLine="200" w:firstLineChars="200"/>
    </w:pPr>
    <w:rPr>
      <w:rFonts w:ascii="宋体"/>
      <w:sz w:val="24"/>
      <w:szCs w:val="20"/>
    </w:rPr>
  </w:style>
  <w:style w:type="character" w:customStyle="1" w:styleId="1104">
    <w:name w:val="正文（行首缩进2字） Char"/>
    <w:link w:val="1103"/>
    <w:autoRedefine/>
    <w:qFormat/>
    <w:uiPriority w:val="0"/>
    <w:rPr>
      <w:rFonts w:ascii="宋体"/>
      <w:kern w:val="2"/>
      <w:sz w:val="24"/>
    </w:rPr>
  </w:style>
  <w:style w:type="paragraph" w:customStyle="1" w:styleId="1105">
    <w:name w:val="Zchn Zchn Char Char"/>
    <w:basedOn w:val="1"/>
    <w:autoRedefine/>
    <w:qFormat/>
    <w:uiPriority w:val="0"/>
    <w:rPr>
      <w:rFonts w:ascii="宋体"/>
      <w:sz w:val="24"/>
    </w:rPr>
  </w:style>
  <w:style w:type="paragraph" w:customStyle="1" w:styleId="1106">
    <w:name w:val="第×段"/>
    <w:basedOn w:val="1"/>
    <w:autoRedefine/>
    <w:qFormat/>
    <w:uiPriority w:val="0"/>
    <w:pPr>
      <w:adjustRightInd w:val="0"/>
      <w:spacing w:line="400" w:lineRule="exact"/>
      <w:textAlignment w:val="baseline"/>
    </w:pPr>
    <w:rPr>
      <w:rFonts w:ascii="宋体"/>
      <w:b/>
      <w:color w:val="0000FF"/>
      <w:spacing w:val="30"/>
      <w:kern w:val="0"/>
      <w:sz w:val="24"/>
      <w:szCs w:val="20"/>
    </w:rPr>
  </w:style>
  <w:style w:type="paragraph" w:customStyle="1" w:styleId="1107">
    <w:name w:val="xl139"/>
    <w:basedOn w:val="1"/>
    <w:autoRedefine/>
    <w:qFormat/>
    <w:uiPriority w:val="0"/>
    <w:pPr>
      <w:widowControl/>
      <w:pBdr>
        <w:right w:val="single" w:color="auto" w:sz="8" w:space="0"/>
      </w:pBdr>
      <w:shd w:val="clear" w:color="auto" w:fill="FFFFFF"/>
      <w:spacing w:before="100" w:beforeAutospacing="1" w:after="100" w:afterAutospacing="1"/>
      <w:jc w:val="center"/>
      <w:textAlignment w:val="center"/>
    </w:pPr>
    <w:rPr>
      <w:rFonts w:ascii="宋体"/>
      <w:b/>
      <w:bCs/>
      <w:kern w:val="0"/>
      <w:sz w:val="24"/>
      <w:szCs w:val="28"/>
    </w:rPr>
  </w:style>
  <w:style w:type="paragraph" w:customStyle="1" w:styleId="1108">
    <w:name w:val="正文首行缩进2"/>
    <w:basedOn w:val="1"/>
    <w:autoRedefine/>
    <w:qFormat/>
    <w:uiPriority w:val="0"/>
    <w:pPr>
      <w:spacing w:line="500" w:lineRule="atLeast"/>
      <w:ind w:firstLine="560"/>
    </w:pPr>
    <w:rPr>
      <w:rFonts w:ascii="宋体"/>
      <w:sz w:val="24"/>
      <w:szCs w:val="20"/>
    </w:rPr>
  </w:style>
  <w:style w:type="paragraph" w:customStyle="1" w:styleId="1109">
    <w:name w:val="字元4 Char Char Char Char Char Char 字元 Char Char 字元"/>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110">
    <w:name w:val="样式 标题 1 + 首行缩进:  2 字符"/>
    <w:basedOn w:val="3"/>
    <w:autoRedefine/>
    <w:qFormat/>
    <w:uiPriority w:val="0"/>
    <w:pPr>
      <w:pageBreakBefore/>
      <w:adjustRightInd w:val="0"/>
      <w:snapToGrid w:val="0"/>
      <w:spacing w:before="1200" w:after="120" w:line="480" w:lineRule="exact"/>
      <w:ind w:firstLine="561"/>
      <w:jc w:val="center"/>
    </w:pPr>
    <w:rPr>
      <w:rFonts w:ascii="Arial" w:hAnsi="Arial" w:eastAsia="仿宋_GB2312" w:cs="宋体"/>
      <w:b w:val="0"/>
      <w:bCs/>
      <w:kern w:val="2"/>
      <w:sz w:val="28"/>
      <w:szCs w:val="28"/>
    </w:rPr>
  </w:style>
  <w:style w:type="paragraph" w:customStyle="1" w:styleId="1111">
    <w:name w:val="样式 标题5"/>
    <w:basedOn w:val="1"/>
    <w:autoRedefine/>
    <w:qFormat/>
    <w:uiPriority w:val="0"/>
    <w:pPr>
      <w:spacing w:before="60" w:after="60" w:line="400" w:lineRule="exact"/>
      <w:ind w:left="482"/>
    </w:pPr>
    <w:rPr>
      <w:rFonts w:ascii="黑体" w:eastAsia="黑体"/>
      <w:sz w:val="24"/>
      <w:szCs w:val="20"/>
    </w:rPr>
  </w:style>
  <w:style w:type="paragraph" w:customStyle="1" w:styleId="1112">
    <w:name w:val="Char Char Char Char Char Char Char Char Char Char Char Char Char Char Char Char Char Char Char Char Char Char Char Char Char Char Char Char Char Char Char Char Char Char Char Char Char Char Char Char1"/>
    <w:basedOn w:val="1"/>
    <w:autoRedefine/>
    <w:qFormat/>
    <w:uiPriority w:val="0"/>
    <w:pPr>
      <w:tabs>
        <w:tab w:val="left" w:pos="360"/>
      </w:tabs>
      <w:spacing w:line="360" w:lineRule="auto"/>
    </w:pPr>
    <w:rPr>
      <w:rFonts w:ascii="楷体_GB2312"/>
      <w:sz w:val="24"/>
    </w:rPr>
  </w:style>
  <w:style w:type="paragraph" w:customStyle="1" w:styleId="1113">
    <w:name w:val="样式1"/>
    <w:basedOn w:val="3"/>
    <w:link w:val="1114"/>
    <w:autoRedefine/>
    <w:qFormat/>
    <w:uiPriority w:val="0"/>
    <w:pPr>
      <w:jc w:val="center"/>
    </w:pPr>
    <w:rPr>
      <w:rFonts w:eastAsia="仿宋_GB2312"/>
      <w:bCs/>
      <w:szCs w:val="28"/>
    </w:rPr>
  </w:style>
  <w:style w:type="character" w:customStyle="1" w:styleId="1114">
    <w:name w:val="样式1 Char"/>
    <w:link w:val="1113"/>
    <w:autoRedefine/>
    <w:qFormat/>
    <w:uiPriority w:val="0"/>
    <w:rPr>
      <w:rFonts w:eastAsia="仿宋_GB2312"/>
      <w:b/>
      <w:bCs/>
      <w:kern w:val="44"/>
      <w:sz w:val="44"/>
      <w:szCs w:val="28"/>
    </w:rPr>
  </w:style>
  <w:style w:type="paragraph" w:customStyle="1" w:styleId="1115">
    <w:name w:val="xl136"/>
    <w:basedOn w:val="1"/>
    <w:autoRedefine/>
    <w:qFormat/>
    <w:uiPriority w:val="0"/>
    <w:pPr>
      <w:widowControl/>
      <w:shd w:val="clear" w:color="auto" w:fill="FFFFFF"/>
      <w:spacing w:before="100" w:beforeAutospacing="1" w:after="100" w:afterAutospacing="1"/>
      <w:jc w:val="left"/>
    </w:pPr>
    <w:rPr>
      <w:rFonts w:ascii="宋体"/>
      <w:color w:val="000000"/>
      <w:kern w:val="0"/>
      <w:sz w:val="16"/>
      <w:szCs w:val="16"/>
    </w:rPr>
  </w:style>
  <w:style w:type="paragraph" w:customStyle="1" w:styleId="1116">
    <w:name w:val="表题注"/>
    <w:basedOn w:val="11"/>
    <w:autoRedefine/>
    <w:qFormat/>
    <w:uiPriority w:val="0"/>
    <w:pPr>
      <w:keepNext w:val="0"/>
      <w:keepLines w:val="0"/>
      <w:tabs>
        <w:tab w:val="left" w:pos="420"/>
        <w:tab w:val="left" w:pos="720"/>
        <w:tab w:val="left" w:pos="840"/>
        <w:tab w:val="left" w:pos="945"/>
      </w:tabs>
      <w:spacing w:before="156" w:beforeLines="50" w:after="156" w:afterLines="50" w:line="400" w:lineRule="atLeast"/>
      <w:ind w:left="289" w:hanging="289"/>
      <w:jc w:val="left"/>
    </w:pPr>
    <w:rPr>
      <w:rFonts w:eastAsia="宋体"/>
      <w:b/>
      <w:bCs/>
      <w:spacing w:val="8"/>
      <w:sz w:val="24"/>
      <w:szCs w:val="24"/>
    </w:rPr>
  </w:style>
  <w:style w:type="paragraph" w:customStyle="1" w:styleId="1117">
    <w:name w:val="xl39"/>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400" w:lineRule="exact"/>
      <w:ind w:firstLine="601"/>
      <w:jc w:val="center"/>
      <w:textAlignment w:val="baseline"/>
    </w:pPr>
    <w:rPr>
      <w:rFonts w:hint="eastAsia" w:ascii="宋体" w:hAnsi="宋体"/>
      <w:color w:val="000000"/>
      <w:spacing w:val="30"/>
      <w:kern w:val="0"/>
      <w:sz w:val="20"/>
      <w:szCs w:val="20"/>
    </w:rPr>
  </w:style>
  <w:style w:type="paragraph" w:customStyle="1" w:styleId="1118">
    <w:name w:val="表中文字"/>
    <w:basedOn w:val="1"/>
    <w:link w:val="1119"/>
    <w:autoRedefine/>
    <w:qFormat/>
    <w:uiPriority w:val="0"/>
    <w:pPr>
      <w:autoSpaceDE w:val="0"/>
      <w:autoSpaceDN w:val="0"/>
      <w:adjustRightInd w:val="0"/>
      <w:snapToGrid w:val="0"/>
      <w:spacing w:line="400" w:lineRule="exact"/>
      <w:ind w:firstLine="601"/>
      <w:jc w:val="center"/>
      <w:textAlignment w:val="baseline"/>
    </w:pPr>
    <w:rPr>
      <w:rFonts w:ascii="宋体"/>
      <w:spacing w:val="30"/>
      <w:kern w:val="0"/>
      <w:sz w:val="24"/>
      <w:szCs w:val="20"/>
    </w:rPr>
  </w:style>
  <w:style w:type="character" w:customStyle="1" w:styleId="1119">
    <w:name w:val="表中文字 Char2"/>
    <w:link w:val="1118"/>
    <w:autoRedefine/>
    <w:qFormat/>
    <w:uiPriority w:val="0"/>
    <w:rPr>
      <w:rFonts w:ascii="宋体"/>
      <w:spacing w:val="30"/>
      <w:sz w:val="24"/>
    </w:rPr>
  </w:style>
  <w:style w:type="paragraph" w:customStyle="1" w:styleId="1120">
    <w:name w:val="xl133"/>
    <w:basedOn w:val="1"/>
    <w:autoRedefine/>
    <w:qFormat/>
    <w:uiPriority w:val="0"/>
    <w:pPr>
      <w:widowControl/>
      <w:shd w:val="clear" w:color="auto" w:fill="FFFFFF"/>
      <w:spacing w:before="100" w:beforeAutospacing="1" w:after="100" w:afterAutospacing="1"/>
      <w:jc w:val="left"/>
    </w:pPr>
    <w:rPr>
      <w:rFonts w:ascii="宋体"/>
      <w:color w:val="000000"/>
      <w:kern w:val="0"/>
      <w:sz w:val="16"/>
      <w:szCs w:val="16"/>
    </w:rPr>
  </w:style>
  <w:style w:type="paragraph" w:customStyle="1" w:styleId="1121">
    <w:name w:val="Char Char Char2 Char Char Char Char"/>
    <w:basedOn w:val="1"/>
    <w:autoRedefine/>
    <w:qFormat/>
    <w:uiPriority w:val="0"/>
    <w:rPr>
      <w:rFonts w:ascii="宋体"/>
    </w:rPr>
  </w:style>
  <w:style w:type="paragraph" w:customStyle="1" w:styleId="1122">
    <w:name w:val="1"/>
    <w:basedOn w:val="1"/>
    <w:next w:val="45"/>
    <w:autoRedefine/>
    <w:qFormat/>
    <w:uiPriority w:val="0"/>
    <w:rPr>
      <w:rFonts w:ascii="宋体" w:hAnsi="Courier New" w:cs="Courier New"/>
      <w:szCs w:val="21"/>
    </w:rPr>
  </w:style>
  <w:style w:type="paragraph" w:customStyle="1" w:styleId="1123">
    <w:name w:val="样式 样式 正文 + 行距: 固定值 22 磅 首行缩进:  2 字符1 + 首行缩进:  2 字符"/>
    <w:basedOn w:val="1048"/>
    <w:autoRedefine/>
    <w:qFormat/>
    <w:uiPriority w:val="0"/>
  </w:style>
  <w:style w:type="paragraph" w:customStyle="1" w:styleId="1124">
    <w:name w:val="xl129"/>
    <w:basedOn w:val="1"/>
    <w:autoRedefine/>
    <w:qFormat/>
    <w:uiPriority w:val="0"/>
    <w:pPr>
      <w:widowControl/>
      <w:shd w:val="clear" w:color="auto" w:fill="FFFFFF"/>
      <w:spacing w:before="100" w:beforeAutospacing="1" w:after="100" w:afterAutospacing="1"/>
      <w:jc w:val="left"/>
    </w:pPr>
    <w:rPr>
      <w:rFonts w:ascii="宋体"/>
      <w:color w:val="0000FF"/>
      <w:kern w:val="0"/>
      <w:sz w:val="20"/>
      <w:szCs w:val="20"/>
      <w:u w:val="single"/>
    </w:rPr>
  </w:style>
  <w:style w:type="paragraph" w:customStyle="1" w:styleId="1125">
    <w:name w:val="插图标题"/>
    <w:basedOn w:val="1"/>
    <w:autoRedefine/>
    <w:qFormat/>
    <w:uiPriority w:val="0"/>
    <w:pPr>
      <w:adjustRightInd w:val="0"/>
      <w:spacing w:before="120" w:line="400" w:lineRule="exact"/>
      <w:jc w:val="center"/>
      <w:textAlignment w:val="baseline"/>
    </w:pPr>
    <w:rPr>
      <w:rFonts w:ascii="宋体" w:eastAsia="黑体"/>
      <w:color w:val="0000FF"/>
      <w:spacing w:val="30"/>
      <w:kern w:val="0"/>
      <w:sz w:val="24"/>
      <w:szCs w:val="20"/>
    </w:rPr>
  </w:style>
  <w:style w:type="paragraph" w:customStyle="1" w:styleId="1126">
    <w:name w:val="CM45"/>
    <w:basedOn w:val="112"/>
    <w:next w:val="112"/>
    <w:autoRedefine/>
    <w:qFormat/>
    <w:uiPriority w:val="0"/>
    <w:pPr>
      <w:spacing w:line="500" w:lineRule="atLeast"/>
    </w:pPr>
    <w:rPr>
      <w:rFonts w:ascii="宋体" w:eastAsia="宋体" w:cs="Times New Roman"/>
      <w:color w:val="auto"/>
    </w:rPr>
  </w:style>
  <w:style w:type="paragraph" w:customStyle="1" w:styleId="1127">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1128">
    <w:name w:val="xl3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val="0"/>
      <w:spacing w:before="100" w:beforeAutospacing="1" w:after="100" w:afterAutospacing="1" w:line="400" w:lineRule="exact"/>
      <w:ind w:firstLine="601"/>
      <w:jc w:val="right"/>
      <w:textAlignment w:val="baseline"/>
    </w:pPr>
    <w:rPr>
      <w:rFonts w:hint="eastAsia" w:ascii="宋体" w:hAnsi="宋体"/>
      <w:color w:val="000000"/>
      <w:spacing w:val="30"/>
      <w:kern w:val="0"/>
      <w:sz w:val="20"/>
      <w:szCs w:val="20"/>
    </w:rPr>
  </w:style>
  <w:style w:type="paragraph" w:customStyle="1" w:styleId="1129">
    <w:name w:val="标题4"/>
    <w:basedOn w:val="1"/>
    <w:autoRedefine/>
    <w:qFormat/>
    <w:uiPriority w:val="0"/>
    <w:pPr>
      <w:widowControl/>
      <w:spacing w:before="100" w:beforeAutospacing="1" w:after="100" w:afterAutospacing="1" w:line="270" w:lineRule="atLeast"/>
      <w:ind w:firstLine="480"/>
      <w:jc w:val="center"/>
    </w:pPr>
    <w:rPr>
      <w:rFonts w:ascii="宋体" w:hAnsi="宋体" w:cs="宋体"/>
      <w:b/>
      <w:bCs/>
      <w:color w:val="FF0000"/>
      <w:kern w:val="0"/>
      <w:sz w:val="27"/>
      <w:szCs w:val="27"/>
      <w:lang w:bidi="th-TH"/>
    </w:rPr>
  </w:style>
  <w:style w:type="paragraph" w:customStyle="1" w:styleId="1130">
    <w:name w:val="样式 表格标题 + 两端对齐"/>
    <w:basedOn w:val="1"/>
    <w:autoRedefine/>
    <w:qFormat/>
    <w:uiPriority w:val="0"/>
    <w:pPr>
      <w:adjustRightInd w:val="0"/>
      <w:spacing w:before="120" w:line="400" w:lineRule="exact"/>
      <w:ind w:firstLine="512" w:firstLineChars="200"/>
      <w:textAlignment w:val="baseline"/>
    </w:pPr>
    <w:rPr>
      <w:rFonts w:ascii="宋体" w:eastAsia="文鼎CS中宋"/>
      <w:spacing w:val="30"/>
      <w:kern w:val="0"/>
      <w:sz w:val="24"/>
      <w:szCs w:val="20"/>
    </w:rPr>
  </w:style>
  <w:style w:type="paragraph" w:customStyle="1" w:styleId="1131">
    <w:name w:val="流程图"/>
    <w:basedOn w:val="1"/>
    <w:autoRedefine/>
    <w:qFormat/>
    <w:uiPriority w:val="0"/>
    <w:pPr>
      <w:adjustRightInd w:val="0"/>
      <w:spacing w:line="360" w:lineRule="exact"/>
      <w:jc w:val="center"/>
      <w:textAlignment w:val="baseline"/>
    </w:pPr>
    <w:rPr>
      <w:rFonts w:ascii="宋体" w:hAnsi="Bookman Old Style"/>
      <w:spacing w:val="5"/>
      <w:kern w:val="44"/>
      <w:position w:val="-10"/>
      <w:sz w:val="24"/>
      <w:szCs w:val="20"/>
    </w:rPr>
  </w:style>
  <w:style w:type="paragraph" w:customStyle="1" w:styleId="1132">
    <w:name w:val="正文首行缩进1"/>
    <w:basedOn w:val="34"/>
    <w:autoRedefine/>
    <w:qFormat/>
    <w:uiPriority w:val="0"/>
    <w:pPr>
      <w:adjustRightInd w:val="0"/>
      <w:spacing w:line="400" w:lineRule="exact"/>
      <w:ind w:firstLine="624"/>
      <w:textAlignment w:val="baseline"/>
    </w:pPr>
    <w:rPr>
      <w:rFonts w:ascii="宋体" w:eastAsia="楷体_GB2312"/>
      <w:spacing w:val="8"/>
      <w:kern w:val="0"/>
      <w:sz w:val="28"/>
      <w:szCs w:val="20"/>
    </w:rPr>
  </w:style>
  <w:style w:type="paragraph" w:customStyle="1" w:styleId="1133">
    <w:name w:val="defaul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4">
    <w:name w:val="图号标注"/>
    <w:basedOn w:val="1"/>
    <w:autoRedefine/>
    <w:qFormat/>
    <w:uiPriority w:val="0"/>
    <w:pPr>
      <w:jc w:val="center"/>
    </w:pPr>
    <w:rPr>
      <w:rFonts w:ascii="楷体_GB2312" w:cs="宋体"/>
      <w:b/>
      <w:szCs w:val="20"/>
    </w:rPr>
  </w:style>
  <w:style w:type="paragraph" w:customStyle="1" w:styleId="1135">
    <w:name w:val="xl147"/>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b/>
      <w:bCs/>
      <w:color w:val="FF0000"/>
      <w:kern w:val="0"/>
      <w:sz w:val="20"/>
      <w:szCs w:val="20"/>
      <w:u w:val="single"/>
    </w:rPr>
  </w:style>
  <w:style w:type="paragraph" w:customStyle="1" w:styleId="1136">
    <w:name w:val="1 Char Char Char1 Char Char Char"/>
    <w:basedOn w:val="26"/>
    <w:autoRedefine/>
    <w:qFormat/>
    <w:uiPriority w:val="0"/>
    <w:pPr>
      <w:adjustRightInd w:val="0"/>
      <w:spacing w:line="436" w:lineRule="exact"/>
      <w:ind w:left="357"/>
      <w:jc w:val="left"/>
      <w:outlineLvl w:val="3"/>
    </w:pPr>
    <w:rPr>
      <w:rFonts w:ascii="Tahoma" w:hAnsi="Tahoma"/>
      <w:b/>
      <w:spacing w:val="30"/>
      <w:sz w:val="24"/>
    </w:rPr>
  </w:style>
  <w:style w:type="paragraph" w:customStyle="1" w:styleId="1137">
    <w:name w:val="MJ标题1"/>
    <w:basedOn w:val="3"/>
    <w:autoRedefine/>
    <w:qFormat/>
    <w:uiPriority w:val="0"/>
    <w:pPr>
      <w:spacing w:before="312" w:beforeLines="100" w:after="0" w:line="360" w:lineRule="auto"/>
    </w:pPr>
    <w:rPr>
      <w:rFonts w:eastAsia="黑体"/>
      <w:b w:val="0"/>
      <w:sz w:val="28"/>
      <w:szCs w:val="28"/>
    </w:rPr>
  </w:style>
  <w:style w:type="paragraph" w:customStyle="1" w:styleId="1138">
    <w:name w:val="Char Char Char Char Char Char1 Char Char Char Char Char Char Char Char Char Char"/>
    <w:basedOn w:val="1"/>
    <w:autoRedefine/>
    <w:qFormat/>
    <w:uiPriority w:val="0"/>
    <w:pPr>
      <w:spacing w:line="360" w:lineRule="auto"/>
    </w:pPr>
    <w:rPr>
      <w:rFonts w:ascii="Tahoma" w:hAnsi="Tahoma"/>
      <w:sz w:val="24"/>
      <w:szCs w:val="20"/>
    </w:rPr>
  </w:style>
  <w:style w:type="paragraph" w:customStyle="1" w:styleId="1139">
    <w:name w:val="Char3 Char Char Char Char Char Char1 Char Char Char Char Char Char"/>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140">
    <w:name w:val="Char3 Char Char Char Char Char Char1 Char Char Char Char Char Char Char Char Char11"/>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141">
    <w:name w:val="00正文00"/>
    <w:basedOn w:val="21"/>
    <w:autoRedefine/>
    <w:qFormat/>
    <w:uiPriority w:val="0"/>
    <w:pPr>
      <w:spacing w:line="360" w:lineRule="auto"/>
      <w:ind w:firstLine="200"/>
    </w:pPr>
    <w:rPr>
      <w:rFonts w:hAnsi="宋体"/>
      <w:sz w:val="24"/>
    </w:rPr>
  </w:style>
  <w:style w:type="paragraph" w:customStyle="1" w:styleId="1142">
    <w:name w:val="CM49"/>
    <w:basedOn w:val="112"/>
    <w:next w:val="112"/>
    <w:autoRedefine/>
    <w:qFormat/>
    <w:uiPriority w:val="0"/>
    <w:pPr>
      <w:spacing w:after="123"/>
    </w:pPr>
    <w:rPr>
      <w:rFonts w:ascii="宋体" w:eastAsia="宋体" w:cs="Times New Roman"/>
      <w:color w:val="auto"/>
    </w:rPr>
  </w:style>
  <w:style w:type="paragraph" w:customStyle="1" w:styleId="1143">
    <w:name w:val="style10"/>
    <w:basedOn w:val="1"/>
    <w:autoRedefine/>
    <w:qFormat/>
    <w:uiPriority w:val="0"/>
    <w:pPr>
      <w:widowControl/>
      <w:spacing w:before="100" w:beforeAutospacing="1" w:after="100" w:afterAutospacing="1" w:line="400" w:lineRule="atLeast"/>
      <w:jc w:val="left"/>
    </w:pPr>
    <w:rPr>
      <w:rFonts w:ascii="宋体" w:hAnsi="宋体" w:cs="宋体"/>
      <w:color w:val="000000"/>
      <w:kern w:val="0"/>
      <w:sz w:val="18"/>
      <w:szCs w:val="18"/>
    </w:rPr>
  </w:style>
  <w:style w:type="paragraph" w:customStyle="1" w:styleId="1144">
    <w:name w:val="索引 81"/>
    <w:basedOn w:val="1"/>
    <w:next w:val="1"/>
    <w:autoRedefine/>
    <w:qFormat/>
    <w:uiPriority w:val="0"/>
    <w:pPr>
      <w:adjustRightInd w:val="0"/>
      <w:spacing w:line="400" w:lineRule="exact"/>
      <w:ind w:left="2940"/>
      <w:textAlignment w:val="baseline"/>
    </w:pPr>
    <w:rPr>
      <w:rFonts w:ascii="宋体"/>
      <w:spacing w:val="30"/>
      <w:kern w:val="0"/>
      <w:sz w:val="24"/>
      <w:szCs w:val="20"/>
    </w:rPr>
  </w:style>
  <w:style w:type="paragraph" w:customStyle="1" w:styleId="1145">
    <w:name w:val="Z章标题"/>
    <w:basedOn w:val="3"/>
    <w:next w:val="3"/>
    <w:autoRedefine/>
    <w:qFormat/>
    <w:uiPriority w:val="0"/>
    <w:pPr>
      <w:tabs>
        <w:tab w:val="left" w:pos="432"/>
      </w:tabs>
      <w:spacing w:line="360" w:lineRule="auto"/>
      <w:ind w:left="432" w:hanging="432"/>
      <w:jc w:val="center"/>
    </w:pPr>
    <w:rPr>
      <w:rFonts w:eastAsia="仿宋_GB2312"/>
      <w:bCs/>
      <w:szCs w:val="44"/>
    </w:rPr>
  </w:style>
  <w:style w:type="paragraph" w:customStyle="1" w:styleId="1146">
    <w:name w:val="样式 样式 宋体 小四 行距: 多倍行距 1.4 字行 + 首行缩进:  2 字符"/>
    <w:basedOn w:val="1"/>
    <w:autoRedefine/>
    <w:qFormat/>
    <w:uiPriority w:val="0"/>
    <w:pPr>
      <w:spacing w:line="360" w:lineRule="auto"/>
      <w:ind w:firstLine="200" w:firstLineChars="200"/>
    </w:pPr>
    <w:rPr>
      <w:rFonts w:ascii="宋体" w:hAnsi="宋体"/>
      <w:kern w:val="28"/>
      <w:sz w:val="24"/>
      <w:szCs w:val="20"/>
    </w:rPr>
  </w:style>
  <w:style w:type="paragraph" w:customStyle="1" w:styleId="1147">
    <w:name w:val="xl115"/>
    <w:basedOn w:val="1"/>
    <w:autoRedefine/>
    <w:qFormat/>
    <w:uiPriority w:val="0"/>
    <w:pPr>
      <w:widowControl/>
      <w:shd w:val="clear" w:color="auto" w:fill="FFFFFF"/>
      <w:spacing w:before="100" w:beforeAutospacing="1" w:after="100" w:afterAutospacing="1"/>
      <w:jc w:val="left"/>
    </w:pPr>
    <w:rPr>
      <w:rFonts w:ascii="宋体"/>
      <w:b/>
      <w:bCs/>
      <w:color w:val="FF0000"/>
      <w:kern w:val="0"/>
      <w:sz w:val="20"/>
      <w:szCs w:val="20"/>
    </w:rPr>
  </w:style>
  <w:style w:type="paragraph" w:customStyle="1" w:styleId="1148">
    <w:name w:val="文本框"/>
    <w:basedOn w:val="1"/>
    <w:autoRedefine/>
    <w:qFormat/>
    <w:uiPriority w:val="0"/>
    <w:pPr>
      <w:spacing w:line="240" w:lineRule="atLeast"/>
    </w:pPr>
    <w:rPr>
      <w:rFonts w:ascii="宋体"/>
      <w:szCs w:val="20"/>
    </w:rPr>
  </w:style>
  <w:style w:type="paragraph" w:customStyle="1" w:styleId="1149">
    <w:name w:val="四级条标题"/>
    <w:basedOn w:val="1150"/>
    <w:next w:val="1"/>
    <w:autoRedefine/>
    <w:qFormat/>
    <w:uiPriority w:val="0"/>
    <w:pPr>
      <w:tabs>
        <w:tab w:val="left" w:pos="903"/>
        <w:tab w:val="left" w:pos="1152"/>
        <w:tab w:val="left" w:pos="1740"/>
        <w:tab w:val="left" w:pos="2040"/>
        <w:tab w:val="left" w:pos="2160"/>
        <w:tab w:val="left" w:pos="2580"/>
        <w:tab w:val="left" w:pos="3000"/>
      </w:tabs>
      <w:ind w:left="1152" w:hanging="1152"/>
      <w:outlineLvl w:val="5"/>
    </w:pPr>
  </w:style>
  <w:style w:type="paragraph" w:customStyle="1" w:styleId="1150">
    <w:name w:val="三级条标题"/>
    <w:basedOn w:val="1151"/>
    <w:next w:val="1"/>
    <w:autoRedefine/>
    <w:qFormat/>
    <w:uiPriority w:val="0"/>
    <w:pPr>
      <w:tabs>
        <w:tab w:val="left" w:pos="903"/>
        <w:tab w:val="left" w:pos="1740"/>
        <w:tab w:val="left" w:pos="2040"/>
        <w:tab w:val="left" w:pos="2160"/>
        <w:tab w:val="left" w:pos="2580"/>
      </w:tabs>
      <w:ind w:left="3600" w:hanging="360"/>
      <w:outlineLvl w:val="4"/>
    </w:pPr>
  </w:style>
  <w:style w:type="paragraph" w:customStyle="1" w:styleId="1151">
    <w:name w:val="二级条标题"/>
    <w:basedOn w:val="1152"/>
    <w:next w:val="1"/>
    <w:autoRedefine/>
    <w:qFormat/>
    <w:uiPriority w:val="0"/>
    <w:pPr>
      <w:tabs>
        <w:tab w:val="left" w:pos="903"/>
        <w:tab w:val="left" w:pos="1740"/>
        <w:tab w:val="left" w:pos="2040"/>
        <w:tab w:val="left" w:pos="2160"/>
      </w:tabs>
      <w:ind w:left="864" w:hanging="864"/>
      <w:outlineLvl w:val="3"/>
    </w:pPr>
  </w:style>
  <w:style w:type="paragraph" w:customStyle="1" w:styleId="1152">
    <w:name w:val="一级条标题"/>
    <w:basedOn w:val="1153"/>
    <w:next w:val="1"/>
    <w:autoRedefine/>
    <w:qFormat/>
    <w:uiPriority w:val="0"/>
    <w:pPr>
      <w:tabs>
        <w:tab w:val="left" w:pos="903"/>
        <w:tab w:val="left" w:pos="1740"/>
        <w:tab w:val="left" w:pos="2040"/>
      </w:tabs>
      <w:spacing w:before="0" w:after="0"/>
      <w:ind w:left="0" w:firstLine="0"/>
      <w:outlineLvl w:val="2"/>
    </w:pPr>
  </w:style>
  <w:style w:type="paragraph" w:customStyle="1" w:styleId="1153">
    <w:name w:val="章标题"/>
    <w:next w:val="1"/>
    <w:autoRedefine/>
    <w:qFormat/>
    <w:uiPriority w:val="0"/>
    <w:pPr>
      <w:tabs>
        <w:tab w:val="left" w:pos="903"/>
      </w:tabs>
      <w:spacing w:before="50" w:after="50"/>
      <w:ind w:left="903" w:hanging="315"/>
      <w:jc w:val="both"/>
      <w:outlineLvl w:val="1"/>
    </w:pPr>
    <w:rPr>
      <w:rFonts w:ascii="黑体" w:hAnsi="Times New Roman" w:eastAsia="黑体" w:cs="Times New Roman"/>
      <w:sz w:val="21"/>
      <w:szCs w:val="21"/>
      <w:lang w:val="en-US" w:eastAsia="zh-CN" w:bidi="ar-SA"/>
    </w:rPr>
  </w:style>
  <w:style w:type="paragraph" w:customStyle="1" w:styleId="1154">
    <w:name w:val="样式 标题 2第一章 标题 2Heading 2 HiddenHeading 2 CCBSheading 2H2h2...1"/>
    <w:basedOn w:val="4"/>
    <w:autoRedefine/>
    <w:qFormat/>
    <w:uiPriority w:val="0"/>
    <w:pPr>
      <w:keepLines w:val="0"/>
      <w:spacing w:before="480" w:after="240" w:line="400" w:lineRule="exact"/>
      <w:ind w:left="0"/>
      <w:jc w:val="center"/>
    </w:pPr>
    <w:rPr>
      <w:rFonts w:ascii="Arial Rounded MT Bold" w:hAnsi="Arial Rounded MT Bold" w:cs="宋体"/>
      <w:b w:val="0"/>
      <w:bCs/>
      <w:spacing w:val="8"/>
      <w:kern w:val="0"/>
      <w:sz w:val="32"/>
    </w:rPr>
  </w:style>
  <w:style w:type="paragraph" w:customStyle="1" w:styleId="1155">
    <w:name w:val="a1"/>
    <w:basedOn w:val="1"/>
    <w:autoRedefine/>
    <w:qFormat/>
    <w:uiPriority w:val="0"/>
    <w:pPr>
      <w:widowControl/>
      <w:spacing w:before="100" w:after="100" w:line="400" w:lineRule="atLeast"/>
      <w:jc w:val="left"/>
    </w:pPr>
    <w:rPr>
      <w:rFonts w:ascii="Arial" w:hAnsi="Arial"/>
      <w:b/>
      <w:color w:val="FF0000"/>
      <w:kern w:val="0"/>
      <w:sz w:val="24"/>
      <w:szCs w:val="20"/>
    </w:rPr>
  </w:style>
  <w:style w:type="paragraph" w:customStyle="1" w:styleId="1156">
    <w:name w:val="CONT-1"/>
    <w:basedOn w:val="1"/>
    <w:autoRedefine/>
    <w:qFormat/>
    <w:uiPriority w:val="0"/>
    <w:pPr>
      <w:adjustRightInd w:val="0"/>
      <w:spacing w:line="480" w:lineRule="atLeast"/>
      <w:ind w:firstLine="567"/>
      <w:textAlignment w:val="baseline"/>
    </w:pPr>
    <w:rPr>
      <w:rFonts w:ascii="華康中楷體" w:eastAsia="華康中楷體"/>
      <w:spacing w:val="30"/>
      <w:kern w:val="0"/>
      <w:sz w:val="24"/>
      <w:szCs w:val="20"/>
      <w:lang w:eastAsia="zh-TW"/>
    </w:rPr>
  </w:style>
  <w:style w:type="paragraph" w:customStyle="1" w:styleId="1157">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158">
    <w:name w:val="Char Char Char1"/>
    <w:basedOn w:val="1"/>
    <w:autoRedefine/>
    <w:qFormat/>
    <w:uiPriority w:val="0"/>
    <w:rPr>
      <w:sz w:val="24"/>
    </w:rPr>
  </w:style>
  <w:style w:type="paragraph" w:customStyle="1" w:styleId="1159">
    <w:name w:val="Char Char Char1 Char Char Char Char Char Char Char1"/>
    <w:basedOn w:val="1"/>
    <w:autoRedefine/>
    <w:qFormat/>
    <w:uiPriority w:val="0"/>
    <w:rPr>
      <w:rFonts w:ascii="Tahoma" w:hAnsi="Tahoma"/>
      <w:sz w:val="24"/>
      <w:szCs w:val="20"/>
    </w:rPr>
  </w:style>
  <w:style w:type="paragraph" w:customStyle="1" w:styleId="1160">
    <w:name w:val="样式 黑体 图案: 清除 (天蓝) 行距: 固定值 15 磅"/>
    <w:basedOn w:val="1"/>
    <w:autoRedefine/>
    <w:qFormat/>
    <w:uiPriority w:val="0"/>
    <w:pPr>
      <w:spacing w:line="300" w:lineRule="exact"/>
    </w:pPr>
    <w:rPr>
      <w:rFonts w:ascii="黑体" w:eastAsia="黑体" w:cs="宋体"/>
      <w:szCs w:val="20"/>
      <w:shd w:val="clear" w:color="auto" w:fill="00CCFF"/>
    </w:rPr>
  </w:style>
  <w:style w:type="paragraph" w:customStyle="1" w:styleId="1161">
    <w:name w:val="项目段落"/>
    <w:basedOn w:val="1"/>
    <w:autoRedefine/>
    <w:qFormat/>
    <w:uiPriority w:val="0"/>
    <w:pPr>
      <w:tabs>
        <w:tab w:val="left" w:pos="2040"/>
      </w:tabs>
      <w:adjustRightInd w:val="0"/>
      <w:spacing w:before="60" w:line="400" w:lineRule="exact"/>
      <w:ind w:left="2040" w:hanging="360"/>
      <w:textAlignment w:val="baseline"/>
    </w:pPr>
    <w:rPr>
      <w:rFonts w:ascii="Arial" w:hAnsi="Arial" w:eastAsia="仿宋_GB2312"/>
      <w:spacing w:val="30"/>
      <w:kern w:val="0"/>
      <w:sz w:val="24"/>
      <w:szCs w:val="20"/>
    </w:rPr>
  </w:style>
  <w:style w:type="paragraph" w:customStyle="1" w:styleId="1162">
    <w:name w:val="表格 居中"/>
    <w:basedOn w:val="1"/>
    <w:autoRedefine/>
    <w:qFormat/>
    <w:uiPriority w:val="0"/>
    <w:pPr>
      <w:spacing w:line="0" w:lineRule="atLeast"/>
      <w:jc w:val="center"/>
    </w:pPr>
    <w:rPr>
      <w:rFonts w:cs="宋体"/>
      <w:szCs w:val="20"/>
    </w:rPr>
  </w:style>
  <w:style w:type="paragraph" w:customStyle="1" w:styleId="1163">
    <w:name w:val="q2"/>
    <w:basedOn w:val="1"/>
    <w:autoRedefine/>
    <w:qFormat/>
    <w:uiPriority w:val="0"/>
    <w:pPr>
      <w:widowControl/>
      <w:adjustRightInd w:val="0"/>
      <w:spacing w:before="100" w:after="100" w:line="270" w:lineRule="atLeast"/>
      <w:ind w:firstLine="601"/>
      <w:jc w:val="left"/>
      <w:textAlignment w:val="baseline"/>
    </w:pPr>
    <w:rPr>
      <w:rFonts w:ascii="Arial" w:hAnsi="Arial"/>
      <w:color w:val="000000"/>
      <w:spacing w:val="30"/>
      <w:kern w:val="0"/>
      <w:sz w:val="18"/>
      <w:szCs w:val="20"/>
    </w:rPr>
  </w:style>
  <w:style w:type="paragraph" w:customStyle="1" w:styleId="1164">
    <w:name w:val="索引 91"/>
    <w:basedOn w:val="1"/>
    <w:next w:val="1"/>
    <w:autoRedefine/>
    <w:qFormat/>
    <w:uiPriority w:val="0"/>
    <w:pPr>
      <w:adjustRightInd w:val="0"/>
      <w:spacing w:line="400" w:lineRule="exact"/>
      <w:ind w:left="3360"/>
      <w:textAlignment w:val="baseline"/>
    </w:pPr>
    <w:rPr>
      <w:rFonts w:ascii="宋体"/>
      <w:spacing w:val="30"/>
      <w:kern w:val="0"/>
      <w:sz w:val="24"/>
      <w:szCs w:val="20"/>
    </w:rPr>
  </w:style>
  <w:style w:type="paragraph" w:customStyle="1" w:styleId="1165">
    <w:name w:val="默认段落字体 Para Char Char Char Char Char Char Char"/>
    <w:basedOn w:val="1"/>
    <w:autoRedefine/>
    <w:qFormat/>
    <w:uiPriority w:val="0"/>
    <w:rPr>
      <w:rFonts w:ascii="宋体"/>
      <w:sz w:val="24"/>
    </w:rPr>
  </w:style>
  <w:style w:type="paragraph" w:customStyle="1" w:styleId="1166">
    <w:name w:val="xl144"/>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color w:val="FF0000"/>
      <w:kern w:val="0"/>
      <w:sz w:val="18"/>
      <w:szCs w:val="18"/>
    </w:rPr>
  </w:style>
  <w:style w:type="paragraph" w:customStyle="1" w:styleId="1167">
    <w:name w:val="xl146"/>
    <w:basedOn w:val="1"/>
    <w:autoRedefine/>
    <w:qFormat/>
    <w:uiPriority w:val="0"/>
    <w:pPr>
      <w:widowControl/>
      <w:pBdr>
        <w:left w:val="single" w:color="auto" w:sz="8" w:space="0"/>
      </w:pBdr>
      <w:shd w:val="clear" w:color="auto" w:fill="FFFFFF"/>
      <w:spacing w:before="100" w:beforeAutospacing="1" w:after="100" w:afterAutospacing="1"/>
      <w:jc w:val="center"/>
    </w:pPr>
    <w:rPr>
      <w:rFonts w:ascii="宋体"/>
      <w:b/>
      <w:bCs/>
      <w:color w:val="FF0000"/>
      <w:kern w:val="0"/>
      <w:sz w:val="20"/>
      <w:szCs w:val="20"/>
    </w:rPr>
  </w:style>
  <w:style w:type="paragraph" w:customStyle="1" w:styleId="1168">
    <w:name w:val="內(一)"/>
    <w:basedOn w:val="1054"/>
    <w:autoRedefine/>
    <w:qFormat/>
    <w:uiPriority w:val="0"/>
    <w:pPr>
      <w:ind w:left="1021" w:firstLine="510"/>
    </w:pPr>
  </w:style>
  <w:style w:type="paragraph" w:customStyle="1" w:styleId="1169">
    <w:name w:val="Body Text 21"/>
    <w:basedOn w:val="1"/>
    <w:link w:val="1170"/>
    <w:autoRedefine/>
    <w:qFormat/>
    <w:uiPriority w:val="0"/>
    <w:pPr>
      <w:adjustRightInd w:val="0"/>
      <w:textAlignment w:val="baseline"/>
    </w:pPr>
    <w:rPr>
      <w:rFonts w:ascii="仿宋_GB2312" w:eastAsia="仿宋体"/>
      <w:sz w:val="24"/>
      <w:szCs w:val="20"/>
    </w:rPr>
  </w:style>
  <w:style w:type="character" w:customStyle="1" w:styleId="1170">
    <w:name w:val="Body Text 21 Char Char"/>
    <w:link w:val="1169"/>
    <w:autoRedefine/>
    <w:qFormat/>
    <w:uiPriority w:val="0"/>
    <w:rPr>
      <w:rFonts w:ascii="仿宋_GB2312" w:eastAsia="仿宋体"/>
      <w:kern w:val="2"/>
      <w:sz w:val="24"/>
    </w:rPr>
  </w:style>
  <w:style w:type="paragraph" w:customStyle="1" w:styleId="1171">
    <w:name w:val="正  文"/>
    <w:basedOn w:val="1"/>
    <w:autoRedefine/>
    <w:qFormat/>
    <w:uiPriority w:val="0"/>
    <w:pPr>
      <w:spacing w:line="360" w:lineRule="auto"/>
      <w:ind w:firstLine="200" w:firstLineChars="200"/>
    </w:pPr>
    <w:rPr>
      <w:rFonts w:hint="eastAsia" w:ascii="宋体"/>
      <w:sz w:val="24"/>
    </w:rPr>
  </w:style>
  <w:style w:type="paragraph" w:customStyle="1" w:styleId="1172">
    <w:name w:val="xl60"/>
    <w:basedOn w:val="1"/>
    <w:autoRedefine/>
    <w:qFormat/>
    <w:uiPriority w:val="0"/>
    <w:pPr>
      <w:widowControl/>
      <w:shd w:val="clear" w:color="auto" w:fill="FFFFFF"/>
      <w:adjustRightInd w:val="0"/>
      <w:spacing w:before="100" w:beforeAutospacing="1" w:after="100" w:afterAutospacing="1" w:line="400" w:lineRule="exact"/>
      <w:ind w:firstLine="601"/>
      <w:jc w:val="right"/>
      <w:textAlignment w:val="baseline"/>
    </w:pPr>
    <w:rPr>
      <w:rFonts w:hint="eastAsia" w:ascii="宋体" w:hAnsi="宋体"/>
      <w:color w:val="000000"/>
      <w:spacing w:val="30"/>
      <w:kern w:val="0"/>
      <w:sz w:val="20"/>
      <w:szCs w:val="20"/>
    </w:rPr>
  </w:style>
  <w:style w:type="paragraph" w:customStyle="1" w:styleId="1173">
    <w:name w:val="日期1"/>
    <w:basedOn w:val="1"/>
    <w:next w:val="1"/>
    <w:autoRedefine/>
    <w:qFormat/>
    <w:uiPriority w:val="0"/>
    <w:pPr>
      <w:autoSpaceDE w:val="0"/>
      <w:autoSpaceDN w:val="0"/>
      <w:adjustRightInd w:val="0"/>
      <w:spacing w:line="440" w:lineRule="exact"/>
      <w:ind w:left="100" w:firstLine="200" w:firstLineChars="200"/>
      <w:textAlignment w:val="baseline"/>
    </w:pPr>
    <w:rPr>
      <w:rFonts w:ascii="宋体" w:hAnsi="Tms Rmn"/>
      <w:spacing w:val="4"/>
      <w:kern w:val="0"/>
      <w:sz w:val="24"/>
      <w:szCs w:val="20"/>
    </w:rPr>
  </w:style>
  <w:style w:type="paragraph" w:customStyle="1" w:styleId="1174">
    <w:name w:val="Char2"/>
    <w:basedOn w:val="1"/>
    <w:autoRedefine/>
    <w:qFormat/>
    <w:uiPriority w:val="0"/>
    <w:rPr>
      <w:rFonts w:ascii="宋体"/>
      <w:sz w:val="24"/>
    </w:rPr>
  </w:style>
  <w:style w:type="paragraph" w:customStyle="1" w:styleId="1175">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宋体"/>
      <w:kern w:val="0"/>
      <w:sz w:val="20"/>
      <w:szCs w:val="20"/>
    </w:rPr>
  </w:style>
  <w:style w:type="paragraph" w:customStyle="1" w:styleId="1176">
    <w:name w:val="样式 四号 首行缩进:  2 字符"/>
    <w:basedOn w:val="1"/>
    <w:autoRedefine/>
    <w:qFormat/>
    <w:uiPriority w:val="0"/>
    <w:pPr>
      <w:adjustRightInd w:val="0"/>
      <w:spacing w:line="400" w:lineRule="exact"/>
      <w:ind w:firstLine="200" w:firstLineChars="200"/>
      <w:textAlignment w:val="baseline"/>
    </w:pPr>
    <w:rPr>
      <w:rFonts w:ascii="宋体" w:cs="宋体"/>
      <w:spacing w:val="30"/>
      <w:kern w:val="0"/>
      <w:sz w:val="24"/>
      <w:szCs w:val="20"/>
    </w:rPr>
  </w:style>
  <w:style w:type="paragraph" w:customStyle="1" w:styleId="1177">
    <w:name w:val="标题 X"/>
    <w:basedOn w:val="4"/>
    <w:autoRedefine/>
    <w:qFormat/>
    <w:uiPriority w:val="0"/>
    <w:pPr>
      <w:keepLines w:val="0"/>
      <w:spacing w:before="120" w:after="240" w:line="400" w:lineRule="exact"/>
      <w:ind w:left="0"/>
      <w:jc w:val="center"/>
    </w:pPr>
    <w:rPr>
      <w:rFonts w:ascii="Cambria" w:hAnsi="Cambria" w:eastAsia="大标宋"/>
      <w:bCs/>
      <w:spacing w:val="40"/>
      <w:kern w:val="0"/>
      <w:sz w:val="36"/>
    </w:rPr>
  </w:style>
  <w:style w:type="paragraph" w:customStyle="1" w:styleId="1178">
    <w:name w:val="CM34"/>
    <w:basedOn w:val="112"/>
    <w:next w:val="112"/>
    <w:autoRedefine/>
    <w:qFormat/>
    <w:uiPriority w:val="0"/>
    <w:pPr>
      <w:spacing w:line="468" w:lineRule="atLeast"/>
    </w:pPr>
    <w:rPr>
      <w:rFonts w:ascii="宋体" w:eastAsia="宋体" w:cs="Times New Roman"/>
      <w:color w:val="auto"/>
    </w:rPr>
  </w:style>
  <w:style w:type="paragraph" w:customStyle="1" w:styleId="1179">
    <w:name w:val="Char Char12 Zchn Zchn Char Char Char Char"/>
    <w:basedOn w:val="1"/>
    <w:autoRedefine/>
    <w:qFormat/>
    <w:uiPriority w:val="0"/>
    <w:rPr>
      <w:rFonts w:ascii="宋体"/>
      <w:sz w:val="24"/>
    </w:rPr>
  </w:style>
  <w:style w:type="paragraph" w:customStyle="1" w:styleId="1180">
    <w:name w:val="图表目录一"/>
    <w:basedOn w:val="1"/>
    <w:autoRedefine/>
    <w:qFormat/>
    <w:uiPriority w:val="0"/>
    <w:pPr>
      <w:adjustRightInd w:val="0"/>
      <w:spacing w:before="156" w:beforeLines="50" w:after="249" w:afterLines="80" w:line="400" w:lineRule="exact"/>
      <w:ind w:firstLine="601"/>
      <w:jc w:val="center"/>
      <w:textAlignment w:val="baseline"/>
      <w:outlineLvl w:val="2"/>
    </w:pPr>
    <w:rPr>
      <w:rFonts w:ascii="宋体"/>
      <w:b/>
      <w:spacing w:val="30"/>
      <w:kern w:val="0"/>
      <w:sz w:val="24"/>
    </w:rPr>
  </w:style>
  <w:style w:type="paragraph" w:customStyle="1" w:styleId="1181">
    <w:name w:val="样式 小四 行距: 多倍行距 1.25 字行"/>
    <w:basedOn w:val="1"/>
    <w:autoRedefine/>
    <w:qFormat/>
    <w:uiPriority w:val="0"/>
    <w:pPr>
      <w:spacing w:line="300" w:lineRule="auto"/>
      <w:ind w:firstLine="480" w:firstLineChars="200"/>
    </w:pPr>
    <w:rPr>
      <w:rFonts w:ascii="宋体" w:cs="宋体"/>
      <w:sz w:val="24"/>
      <w:szCs w:val="20"/>
    </w:rPr>
  </w:style>
  <w:style w:type="paragraph" w:customStyle="1" w:styleId="1182">
    <w:name w:val="xl135"/>
    <w:basedOn w:val="1"/>
    <w:autoRedefine/>
    <w:qFormat/>
    <w:uiPriority w:val="0"/>
    <w:pPr>
      <w:widowControl/>
      <w:shd w:val="clear" w:color="auto" w:fill="FFFFFF"/>
      <w:spacing w:before="100" w:beforeAutospacing="1" w:after="100" w:afterAutospacing="1"/>
      <w:jc w:val="left"/>
    </w:pPr>
    <w:rPr>
      <w:rFonts w:ascii="宋体"/>
      <w:color w:val="000000"/>
      <w:kern w:val="0"/>
      <w:sz w:val="16"/>
      <w:szCs w:val="16"/>
      <w:u w:val="single"/>
    </w:rPr>
  </w:style>
  <w:style w:type="paragraph" w:customStyle="1" w:styleId="1183">
    <w:name w:val="Char Char Char1 Char"/>
    <w:basedOn w:val="1"/>
    <w:autoRedefine/>
    <w:qFormat/>
    <w:uiPriority w:val="0"/>
    <w:rPr>
      <w:rFonts w:ascii="宋体"/>
    </w:rPr>
  </w:style>
  <w:style w:type="paragraph" w:customStyle="1" w:styleId="1184">
    <w:name w:val="acl-title"/>
    <w:basedOn w:val="1"/>
    <w:autoRedefine/>
    <w:qFormat/>
    <w:uiPriority w:val="0"/>
    <w:pPr>
      <w:widowControl/>
      <w:pBdr>
        <w:bottom w:val="dashed" w:color="DDDDDD" w:sz="6" w:space="4"/>
      </w:pBdr>
      <w:spacing w:before="225" w:after="150"/>
      <w:jc w:val="left"/>
    </w:pPr>
    <w:rPr>
      <w:rFonts w:ascii="宋体" w:hAnsi="宋体" w:cs="宋体"/>
      <w:kern w:val="0"/>
      <w:sz w:val="24"/>
    </w:rPr>
  </w:style>
  <w:style w:type="paragraph" w:customStyle="1" w:styleId="1185">
    <w:name w:val="Char Char Char Char1"/>
    <w:basedOn w:val="1"/>
    <w:autoRedefine/>
    <w:qFormat/>
    <w:uiPriority w:val="0"/>
    <w:rPr>
      <w:rFonts w:ascii="宋体"/>
    </w:rPr>
  </w:style>
  <w:style w:type="paragraph" w:customStyle="1" w:styleId="1186">
    <w:name w:val="Char Char Char Char Char Char1"/>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187">
    <w:name w:val="默认段落字体 Para Char Char Char Char"/>
    <w:basedOn w:val="1"/>
    <w:autoRedefine/>
    <w:qFormat/>
    <w:uiPriority w:val="0"/>
    <w:rPr>
      <w:sz w:val="24"/>
    </w:rPr>
  </w:style>
  <w:style w:type="paragraph" w:customStyle="1" w:styleId="1188">
    <w:name w:val="附录"/>
    <w:basedOn w:val="75"/>
    <w:autoRedefine/>
    <w:qFormat/>
    <w:uiPriority w:val="0"/>
    <w:pPr>
      <w:tabs>
        <w:tab w:val="left" w:pos="8505"/>
        <w:tab w:val="clear" w:pos="540"/>
        <w:tab w:val="clear" w:pos="8302"/>
      </w:tabs>
      <w:adjustRightInd w:val="0"/>
      <w:spacing w:before="120" w:line="400" w:lineRule="exact"/>
      <w:ind w:left="420"/>
      <w:textAlignment w:val="baseline"/>
    </w:pPr>
    <w:rPr>
      <w:rFonts w:ascii="宋体" w:hAnsi="Calibri" w:eastAsia="楷体_GB2312"/>
      <w:bCs w:val="0"/>
      <w:i/>
      <w:iCs/>
      <w:kern w:val="0"/>
      <w:sz w:val="24"/>
      <w:szCs w:val="20"/>
    </w:rPr>
  </w:style>
  <w:style w:type="paragraph" w:customStyle="1" w:styleId="1189">
    <w:name w:val="样式 标题 4 + (西文) Times New Roman (中文) 宋体 小四"/>
    <w:basedOn w:val="1"/>
    <w:autoRedefine/>
    <w:qFormat/>
    <w:uiPriority w:val="0"/>
    <w:pPr>
      <w:tabs>
        <w:tab w:val="left" w:pos="1247"/>
      </w:tabs>
      <w:ind w:left="964" w:hanging="964"/>
    </w:pPr>
  </w:style>
  <w:style w:type="paragraph" w:customStyle="1" w:styleId="1190">
    <w:name w:val="样式4"/>
    <w:basedOn w:val="1"/>
    <w:link w:val="1191"/>
    <w:autoRedefine/>
    <w:qFormat/>
    <w:uiPriority w:val="0"/>
    <w:pPr>
      <w:adjustRightInd w:val="0"/>
      <w:snapToGrid w:val="0"/>
      <w:spacing w:line="300" w:lineRule="auto"/>
      <w:ind w:left="38" w:leftChars="18" w:firstLine="560" w:firstLineChars="200"/>
    </w:pPr>
    <w:rPr>
      <w:rFonts w:ascii="仿宋_GB2312" w:eastAsia="仿宋_GB2312"/>
      <w:sz w:val="28"/>
      <w:szCs w:val="28"/>
    </w:rPr>
  </w:style>
  <w:style w:type="character" w:customStyle="1" w:styleId="1191">
    <w:name w:val="样式4 Char"/>
    <w:link w:val="1190"/>
    <w:autoRedefine/>
    <w:qFormat/>
    <w:uiPriority w:val="0"/>
    <w:rPr>
      <w:rFonts w:ascii="仿宋_GB2312" w:eastAsia="仿宋_GB2312"/>
      <w:kern w:val="2"/>
      <w:sz w:val="28"/>
      <w:szCs w:val="28"/>
    </w:rPr>
  </w:style>
  <w:style w:type="paragraph" w:customStyle="1" w:styleId="1192">
    <w:name w:val="CM29"/>
    <w:basedOn w:val="112"/>
    <w:next w:val="112"/>
    <w:autoRedefine/>
    <w:qFormat/>
    <w:uiPriority w:val="0"/>
    <w:pPr>
      <w:spacing w:line="500" w:lineRule="atLeast"/>
    </w:pPr>
    <w:rPr>
      <w:rFonts w:ascii="宋体" w:eastAsia="宋体" w:cs="Times New Roman"/>
      <w:color w:val="auto"/>
    </w:rPr>
  </w:style>
  <w:style w:type="paragraph" w:customStyle="1" w:styleId="1193">
    <w:name w:val="正文Normal"/>
    <w:basedOn w:val="1"/>
    <w:autoRedefine/>
    <w:qFormat/>
    <w:uiPriority w:val="0"/>
    <w:pPr>
      <w:adjustRightInd w:val="0"/>
      <w:snapToGrid w:val="0"/>
      <w:spacing w:line="450" w:lineRule="atLeast"/>
    </w:pPr>
    <w:rPr>
      <w:rFonts w:ascii="宋体"/>
      <w:snapToGrid w:val="0"/>
      <w:spacing w:val="10"/>
      <w:kern w:val="0"/>
      <w:sz w:val="24"/>
      <w:szCs w:val="20"/>
    </w:rPr>
  </w:style>
  <w:style w:type="paragraph" w:customStyle="1" w:styleId="1194">
    <w:name w:val="正文1"/>
    <w:basedOn w:val="1"/>
    <w:autoRedefine/>
    <w:qFormat/>
    <w:uiPriority w:val="0"/>
    <w:pPr>
      <w:pBdr>
        <w:top w:val="single" w:color="auto" w:sz="12" w:space="1"/>
        <w:left w:val="single" w:color="auto" w:sz="12" w:space="1"/>
        <w:bottom w:val="single" w:color="auto" w:sz="12" w:space="1"/>
        <w:right w:val="single" w:color="auto" w:sz="12" w:space="1"/>
      </w:pBdr>
      <w:adjustRightInd w:val="0"/>
      <w:spacing w:after="120" w:line="360" w:lineRule="atLeast"/>
      <w:ind w:right="33"/>
      <w:jc w:val="left"/>
      <w:textAlignment w:val="baseline"/>
    </w:pPr>
    <w:rPr>
      <w:rFonts w:ascii="宋体"/>
      <w:kern w:val="0"/>
      <w:sz w:val="24"/>
      <w:szCs w:val="20"/>
    </w:rPr>
  </w:style>
  <w:style w:type="paragraph" w:customStyle="1" w:styleId="1195">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1196">
    <w:name w:val="xl4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val="0"/>
      <w:spacing w:before="100" w:beforeAutospacing="1" w:after="100" w:afterAutospacing="1" w:line="400" w:lineRule="exact"/>
      <w:ind w:firstLine="601"/>
      <w:jc w:val="right"/>
      <w:textAlignment w:val="baseline"/>
    </w:pPr>
    <w:rPr>
      <w:rFonts w:ascii="Arial Unicode MS" w:hAnsi="Arial Unicode MS" w:eastAsia="Arial Unicode MS"/>
      <w:spacing w:val="30"/>
      <w:kern w:val="0"/>
      <w:sz w:val="20"/>
      <w:szCs w:val="20"/>
    </w:rPr>
  </w:style>
  <w:style w:type="paragraph" w:customStyle="1" w:styleId="1197">
    <w:name w:val="CM3"/>
    <w:basedOn w:val="112"/>
    <w:next w:val="112"/>
    <w:autoRedefine/>
    <w:qFormat/>
    <w:uiPriority w:val="0"/>
    <w:rPr>
      <w:rFonts w:ascii="宋体" w:eastAsia="宋体" w:cs="Times New Roman"/>
      <w:color w:val="auto"/>
    </w:rPr>
  </w:style>
  <w:style w:type="paragraph" w:customStyle="1" w:styleId="1198">
    <w:name w:val="CM40"/>
    <w:basedOn w:val="112"/>
    <w:next w:val="112"/>
    <w:autoRedefine/>
    <w:qFormat/>
    <w:uiPriority w:val="0"/>
    <w:pPr>
      <w:spacing w:line="468" w:lineRule="atLeast"/>
    </w:pPr>
    <w:rPr>
      <w:rFonts w:ascii="宋体" w:eastAsia="宋体" w:cs="Times New Roman"/>
      <w:color w:val="auto"/>
    </w:rPr>
  </w:style>
  <w:style w:type="paragraph" w:customStyle="1" w:styleId="1199">
    <w:name w:val="图表五号"/>
    <w:basedOn w:val="1"/>
    <w:autoRedefine/>
    <w:qFormat/>
    <w:uiPriority w:val="0"/>
    <w:pPr>
      <w:autoSpaceDE w:val="0"/>
      <w:autoSpaceDN w:val="0"/>
      <w:adjustRightInd w:val="0"/>
      <w:snapToGrid w:val="0"/>
      <w:spacing w:line="20" w:lineRule="atLeast"/>
      <w:jc w:val="center"/>
      <w:textAlignment w:val="baseline"/>
    </w:pPr>
    <w:rPr>
      <w:rFonts w:ascii="宋体"/>
      <w:szCs w:val="20"/>
    </w:rPr>
  </w:style>
  <w:style w:type="paragraph" w:customStyle="1" w:styleId="1200">
    <w:name w:val="样式 样式 小四 行距: 固定值 20 磅 + 首行缩进:  0.85 厘米 Char"/>
    <w:basedOn w:val="1"/>
    <w:autoRedefine/>
    <w:qFormat/>
    <w:uiPriority w:val="0"/>
    <w:pPr>
      <w:spacing w:line="400" w:lineRule="exact"/>
      <w:ind w:firstLine="454"/>
    </w:pPr>
    <w:rPr>
      <w:rFonts w:ascii="宋体"/>
      <w:sz w:val="24"/>
    </w:rPr>
  </w:style>
  <w:style w:type="paragraph" w:customStyle="1" w:styleId="1201">
    <w:name w:val="second"/>
    <w:basedOn w:val="1"/>
    <w:autoRedefine/>
    <w:qFormat/>
    <w:uiPriority w:val="0"/>
    <w:pPr>
      <w:widowControl/>
      <w:spacing w:after="100" w:afterAutospacing="1" w:line="375" w:lineRule="atLeast"/>
      <w:ind w:firstLine="450"/>
    </w:pPr>
    <w:rPr>
      <w:rFonts w:ascii="宋体" w:hAnsi="宋体" w:cs="宋体"/>
      <w:kern w:val="0"/>
      <w:sz w:val="24"/>
    </w:rPr>
  </w:style>
  <w:style w:type="paragraph" w:customStyle="1" w:styleId="1202">
    <w:name w:val="WW-正文缩进"/>
    <w:basedOn w:val="1"/>
    <w:next w:val="1"/>
    <w:autoRedefine/>
    <w:qFormat/>
    <w:uiPriority w:val="0"/>
    <w:pPr>
      <w:adjustRightInd w:val="0"/>
      <w:spacing w:line="400" w:lineRule="exact"/>
      <w:textAlignment w:val="baseline"/>
    </w:pPr>
    <w:rPr>
      <w:rFonts w:ascii="宋体"/>
      <w:spacing w:val="30"/>
      <w:kern w:val="0"/>
      <w:sz w:val="24"/>
      <w:szCs w:val="20"/>
    </w:rPr>
  </w:style>
  <w:style w:type="paragraph" w:customStyle="1" w:styleId="1203">
    <w:name w:val="xl142"/>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color w:val="FF0000"/>
      <w:kern w:val="0"/>
      <w:sz w:val="18"/>
      <w:szCs w:val="18"/>
    </w:rPr>
  </w:style>
  <w:style w:type="paragraph" w:customStyle="1" w:styleId="1204">
    <w:name w:val="xl156"/>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kern w:val="0"/>
      <w:sz w:val="18"/>
      <w:szCs w:val="18"/>
      <w:u w:val="single"/>
    </w:rPr>
  </w:style>
  <w:style w:type="paragraph" w:customStyle="1" w:styleId="1205">
    <w:name w:val="标题 3（1） Char Char"/>
    <w:basedOn w:val="5"/>
    <w:autoRedefine/>
    <w:qFormat/>
    <w:uiPriority w:val="0"/>
    <w:pPr>
      <w:keepNext w:val="0"/>
      <w:keepLines w:val="0"/>
      <w:tabs>
        <w:tab w:val="left" w:pos="2126"/>
      </w:tabs>
      <w:adjustRightInd w:val="0"/>
      <w:snapToGrid w:val="0"/>
      <w:spacing w:before="468" w:beforeLines="150" w:after="0" w:line="360" w:lineRule="auto"/>
    </w:pPr>
    <w:rPr>
      <w:rFonts w:ascii="Arial" w:hAnsi="Arial" w:eastAsia="黑体" w:cs="Times New Roman"/>
      <w:b w:val="0"/>
      <w:bCs w:val="0"/>
      <w:spacing w:val="-16"/>
      <w:kern w:val="0"/>
      <w:sz w:val="24"/>
      <w:szCs w:val="24"/>
    </w:rPr>
  </w:style>
  <w:style w:type="paragraph" w:customStyle="1" w:styleId="1206">
    <w:name w:val="Char3 Char Char Char Char Char Char"/>
    <w:basedOn w:val="1"/>
    <w:autoRedefine/>
    <w:qFormat/>
    <w:uiPriority w:val="0"/>
    <w:pPr>
      <w:adjustRightInd w:val="0"/>
      <w:spacing w:line="400" w:lineRule="exact"/>
      <w:ind w:firstLine="601"/>
      <w:textAlignment w:val="baseline"/>
    </w:pPr>
    <w:rPr>
      <w:rFonts w:ascii="宋体"/>
      <w:spacing w:val="30"/>
      <w:kern w:val="0"/>
      <w:sz w:val="24"/>
      <w:szCs w:val="20"/>
    </w:rPr>
  </w:style>
  <w:style w:type="paragraph" w:customStyle="1" w:styleId="1207">
    <w:name w:val="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208">
    <w:name w:val="reader-word-layer reader-word-s1-3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09">
    <w:name w:val="Char4 Char Char Char Char Char Char Char Char Char"/>
    <w:basedOn w:val="1"/>
    <w:autoRedefine/>
    <w:qFormat/>
    <w:uiPriority w:val="0"/>
    <w:rPr>
      <w:rFonts w:ascii="宋体"/>
      <w:sz w:val="24"/>
    </w:rPr>
  </w:style>
  <w:style w:type="paragraph" w:customStyle="1" w:styleId="1210">
    <w:name w:val="xl55"/>
    <w:basedOn w:val="1"/>
    <w:autoRedefine/>
    <w:qFormat/>
    <w:uiPriority w:val="0"/>
    <w:pPr>
      <w:widowControl/>
      <w:shd w:val="clear" w:color="auto" w:fill="FFFFFF"/>
      <w:adjustRightInd w:val="0"/>
      <w:spacing w:before="100" w:beforeAutospacing="1" w:after="100" w:afterAutospacing="1" w:line="400" w:lineRule="exact"/>
      <w:ind w:firstLine="601"/>
      <w:jc w:val="right"/>
      <w:textAlignment w:val="baseline"/>
    </w:pPr>
    <w:rPr>
      <w:rFonts w:ascii="Arial Unicode MS" w:hAnsi="Arial Unicode MS" w:eastAsia="Arial Unicode MS"/>
      <w:color w:val="000000"/>
      <w:spacing w:val="30"/>
      <w:kern w:val="0"/>
      <w:sz w:val="20"/>
      <w:szCs w:val="20"/>
    </w:rPr>
  </w:style>
  <w:style w:type="paragraph" w:customStyle="1" w:styleId="1211">
    <w:name w:val="表格式"/>
    <w:basedOn w:val="67"/>
    <w:autoRedefine/>
    <w:qFormat/>
    <w:uiPriority w:val="0"/>
    <w:rPr>
      <w:rFonts w:hAnsi="Times New Roman"/>
      <w:sz w:val="21"/>
    </w:rPr>
  </w:style>
  <w:style w:type="paragraph" w:customStyle="1" w:styleId="1212">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213">
    <w:name w:val="Char3 Char Char Char Char Char Char1 Char Char Char Char Char Char Char Char Char1 Char Char Char11"/>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214">
    <w:name w:val="图题"/>
    <w:autoRedefine/>
    <w:qFormat/>
    <w:uiPriority w:val="0"/>
    <w:pPr>
      <w:tabs>
        <w:tab w:val="left" w:pos="420"/>
        <w:tab w:val="left" w:pos="480"/>
      </w:tabs>
      <w:spacing w:before="156" w:beforeLines="50" w:after="156" w:afterLines="50"/>
      <w:jc w:val="center"/>
    </w:pPr>
    <w:rPr>
      <w:rFonts w:ascii="Times New Roman" w:hAnsi="Times New Roman" w:eastAsia="仿宋_GB2312" w:cs="Times New Roman"/>
      <w:b/>
      <w:sz w:val="24"/>
      <w:szCs w:val="24"/>
      <w:lang w:val="en-US" w:eastAsia="zh-CN" w:bidi="ar-SA"/>
    </w:rPr>
  </w:style>
  <w:style w:type="paragraph" w:customStyle="1" w:styleId="1215">
    <w:name w:val="susan正文"/>
    <w:basedOn w:val="1"/>
    <w:autoRedefine/>
    <w:qFormat/>
    <w:uiPriority w:val="0"/>
    <w:pPr>
      <w:adjustRightInd w:val="0"/>
      <w:spacing w:line="360" w:lineRule="atLeast"/>
      <w:ind w:firstLine="510"/>
      <w:textAlignment w:val="baseline"/>
    </w:pPr>
    <w:rPr>
      <w:rFonts w:ascii="宋体"/>
      <w:spacing w:val="20"/>
      <w:kern w:val="0"/>
      <w:sz w:val="24"/>
      <w:szCs w:val="20"/>
    </w:rPr>
  </w:style>
  <w:style w:type="paragraph" w:customStyle="1" w:styleId="1216">
    <w:name w:val="默认段落字体 Para Char Char Char1 Char Char Char Char"/>
    <w:basedOn w:val="1"/>
    <w:autoRedefine/>
    <w:qFormat/>
    <w:uiPriority w:val="0"/>
    <w:pPr>
      <w:ind w:right="15" w:rightChars="15"/>
      <w:textAlignment w:val="baseline"/>
    </w:pPr>
    <w:rPr>
      <w:rFonts w:ascii="宋体"/>
      <w:sz w:val="24"/>
    </w:rPr>
  </w:style>
  <w:style w:type="paragraph" w:customStyle="1" w:styleId="1217">
    <w:name w:val="样式 标题 3 + 首行缩进:  2 字符2"/>
    <w:basedOn w:val="5"/>
    <w:autoRedefine/>
    <w:qFormat/>
    <w:uiPriority w:val="0"/>
    <w:pPr>
      <w:tabs>
        <w:tab w:val="left" w:pos="2126"/>
      </w:tabs>
      <w:spacing w:before="120" w:after="120" w:line="440" w:lineRule="exact"/>
      <w:ind w:firstLine="200" w:firstLineChars="200"/>
    </w:pPr>
    <w:rPr>
      <w:rFonts w:ascii="Times New Roman" w:hAnsi="Times New Roman" w:eastAsia="黑体" w:cs="宋体"/>
      <w:b w:val="0"/>
      <w:bCs w:val="0"/>
      <w:sz w:val="28"/>
      <w:szCs w:val="20"/>
    </w:rPr>
  </w:style>
  <w:style w:type="paragraph" w:customStyle="1" w:styleId="1218">
    <w:name w:val="正文 Char Char"/>
    <w:basedOn w:val="1"/>
    <w:autoRedefine/>
    <w:qFormat/>
    <w:uiPriority w:val="0"/>
    <w:pPr>
      <w:spacing w:line="400" w:lineRule="exact"/>
      <w:ind w:firstLine="420"/>
    </w:pPr>
    <w:rPr>
      <w:rFonts w:ascii="宋体"/>
      <w:kern w:val="24"/>
      <w:sz w:val="24"/>
    </w:rPr>
  </w:style>
  <w:style w:type="paragraph" w:customStyle="1" w:styleId="1219">
    <w:name w:val="0"/>
    <w:basedOn w:val="1"/>
    <w:autoRedefine/>
    <w:qFormat/>
    <w:uiPriority w:val="0"/>
    <w:pPr>
      <w:widowControl/>
      <w:adjustRightInd w:val="0"/>
      <w:snapToGrid w:val="0"/>
      <w:spacing w:line="400" w:lineRule="atLeast"/>
      <w:ind w:firstLine="601"/>
      <w:textAlignment w:val="baseline"/>
    </w:pPr>
    <w:rPr>
      <w:rFonts w:ascii="宋体"/>
      <w:spacing w:val="30"/>
      <w:kern w:val="0"/>
      <w:sz w:val="24"/>
      <w:szCs w:val="20"/>
    </w:rPr>
  </w:style>
  <w:style w:type="paragraph" w:customStyle="1" w:styleId="1220">
    <w:name w:val="font6"/>
    <w:basedOn w:val="1"/>
    <w:autoRedefine/>
    <w:qFormat/>
    <w:uiPriority w:val="0"/>
    <w:pPr>
      <w:widowControl/>
      <w:spacing w:before="100" w:beforeAutospacing="1" w:after="100" w:afterAutospacing="1"/>
      <w:jc w:val="left"/>
    </w:pPr>
    <w:rPr>
      <w:rFonts w:eastAsia="Arial Unicode MS"/>
      <w:kern w:val="0"/>
      <w:sz w:val="24"/>
    </w:rPr>
  </w:style>
  <w:style w:type="paragraph" w:customStyle="1" w:styleId="1221">
    <w:name w:val="xl154"/>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kern w:val="0"/>
      <w:sz w:val="18"/>
      <w:szCs w:val="18"/>
    </w:rPr>
  </w:style>
  <w:style w:type="paragraph" w:customStyle="1" w:styleId="1222">
    <w:name w:val="font19"/>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1223">
    <w:name w:val="T正文"/>
    <w:autoRedefine/>
    <w:qFormat/>
    <w:uiPriority w:val="0"/>
    <w:pPr>
      <w:widowControl w:val="0"/>
      <w:adjustRightInd w:val="0"/>
      <w:snapToGrid w:val="0"/>
      <w:spacing w:line="360" w:lineRule="auto"/>
      <w:ind w:firstLine="560" w:firstLineChars="200"/>
      <w:jc w:val="both"/>
    </w:pPr>
    <w:rPr>
      <w:rFonts w:ascii="Times New Roman" w:hAnsi="Times New Roman" w:eastAsia="宋体" w:cs="Times New Roman"/>
      <w:sz w:val="28"/>
      <w:lang w:val="en-US" w:eastAsia="zh-CN" w:bidi="ar-SA"/>
    </w:rPr>
  </w:style>
  <w:style w:type="paragraph" w:customStyle="1" w:styleId="1224">
    <w:name w:val="Nomal-Body"/>
    <w:basedOn w:val="1"/>
    <w:autoRedefine/>
    <w:qFormat/>
    <w:uiPriority w:val="0"/>
    <w:pPr>
      <w:adjustRightInd w:val="0"/>
      <w:spacing w:line="360" w:lineRule="auto"/>
      <w:ind w:firstLine="200" w:firstLineChars="200"/>
      <w:textAlignment w:val="baseline"/>
    </w:pPr>
    <w:rPr>
      <w:rFonts w:ascii="宋体"/>
      <w:spacing w:val="30"/>
      <w:kern w:val="0"/>
      <w:sz w:val="24"/>
      <w:szCs w:val="28"/>
    </w:rPr>
  </w:style>
  <w:style w:type="paragraph" w:customStyle="1" w:styleId="1225">
    <w:name w:val="xl10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1226">
    <w:name w:val="reader-word-layer reader-word-s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27">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alibri" w:hAnsi="Calibri" w:cs="宋体"/>
      <w:kern w:val="0"/>
      <w:sz w:val="20"/>
      <w:szCs w:val="20"/>
    </w:rPr>
  </w:style>
  <w:style w:type="paragraph" w:customStyle="1" w:styleId="1228">
    <w:name w:val="样式 (中文) 楷体_GB2312 居中"/>
    <w:basedOn w:val="1"/>
    <w:autoRedefine/>
    <w:qFormat/>
    <w:uiPriority w:val="0"/>
    <w:pPr>
      <w:adjustRightInd w:val="0"/>
      <w:spacing w:line="400" w:lineRule="exact"/>
      <w:ind w:firstLine="601"/>
      <w:jc w:val="center"/>
      <w:textAlignment w:val="baseline"/>
    </w:pPr>
    <w:rPr>
      <w:rFonts w:ascii="宋体" w:cs="宋体"/>
      <w:spacing w:val="30"/>
      <w:kern w:val="0"/>
      <w:sz w:val="24"/>
      <w:szCs w:val="20"/>
    </w:rPr>
  </w:style>
  <w:style w:type="paragraph" w:customStyle="1" w:styleId="1229">
    <w:name w:val="图文"/>
    <w:basedOn w:val="1"/>
    <w:autoRedefine/>
    <w:qFormat/>
    <w:uiPriority w:val="0"/>
    <w:pPr>
      <w:spacing w:line="360" w:lineRule="auto"/>
      <w:ind w:right="-28" w:rightChars="-10"/>
      <w:jc w:val="center"/>
      <w:outlineLvl w:val="5"/>
    </w:pPr>
    <w:rPr>
      <w:rFonts w:ascii="Arial" w:hAnsi="Arial" w:cs="Arial"/>
      <w:b/>
      <w:bCs/>
      <w:color w:val="0000FF"/>
      <w:sz w:val="24"/>
    </w:rPr>
  </w:style>
  <w:style w:type="paragraph" w:customStyle="1" w:styleId="1230">
    <w:name w:val="政府正文"/>
    <w:basedOn w:val="1"/>
    <w:autoRedefine/>
    <w:qFormat/>
    <w:uiPriority w:val="0"/>
    <w:pPr>
      <w:adjustRightInd w:val="0"/>
      <w:snapToGrid w:val="0"/>
      <w:spacing w:line="360" w:lineRule="auto"/>
      <w:ind w:firstLine="600" w:firstLineChars="200"/>
      <w:textAlignment w:val="baseline"/>
    </w:pPr>
    <w:rPr>
      <w:rFonts w:ascii="仿宋_GB2312" w:eastAsia="仿宋_GB2312"/>
      <w:color w:val="000000"/>
      <w:spacing w:val="30"/>
      <w:kern w:val="0"/>
      <w:sz w:val="30"/>
      <w:szCs w:val="28"/>
    </w:rPr>
  </w:style>
  <w:style w:type="paragraph" w:customStyle="1" w:styleId="1231">
    <w:name w:val="样式 表格标题 + 段前: 0.5 行2"/>
    <w:basedOn w:val="1"/>
    <w:autoRedefine/>
    <w:qFormat/>
    <w:uiPriority w:val="0"/>
    <w:pPr>
      <w:autoSpaceDE w:val="0"/>
      <w:autoSpaceDN w:val="0"/>
      <w:adjustRightInd w:val="0"/>
      <w:spacing w:before="156" w:beforeLines="50" w:line="400" w:lineRule="exact"/>
      <w:ind w:firstLine="601"/>
      <w:jc w:val="center"/>
      <w:textAlignment w:val="baseline"/>
    </w:pPr>
    <w:rPr>
      <w:rFonts w:ascii="宋体" w:eastAsia="黑体" w:cs="宋体"/>
      <w:spacing w:val="30"/>
      <w:kern w:val="0"/>
      <w:sz w:val="24"/>
      <w:szCs w:val="20"/>
      <w:lang w:val="zh-CN"/>
    </w:rPr>
  </w:style>
  <w:style w:type="paragraph" w:customStyle="1" w:styleId="1232">
    <w:name w:val="项目名称"/>
    <w:basedOn w:val="1"/>
    <w:next w:val="1"/>
    <w:autoRedefine/>
    <w:qFormat/>
    <w:uiPriority w:val="0"/>
    <w:pPr>
      <w:spacing w:line="800" w:lineRule="atLeast"/>
      <w:jc w:val="center"/>
      <w:outlineLvl w:val="0"/>
    </w:pPr>
    <w:rPr>
      <w:rFonts w:ascii="黑体" w:eastAsia="黑体"/>
      <w:sz w:val="52"/>
      <w:szCs w:val="52"/>
    </w:rPr>
  </w:style>
  <w:style w:type="paragraph" w:customStyle="1" w:styleId="1233">
    <w:name w:val="大章节"/>
    <w:basedOn w:val="1234"/>
    <w:autoRedefine/>
    <w:qFormat/>
    <w:uiPriority w:val="0"/>
    <w:pPr>
      <w:spacing w:after="60" w:afterLines="0"/>
    </w:pPr>
  </w:style>
  <w:style w:type="paragraph" w:customStyle="1" w:styleId="1234">
    <w:name w:val="章节"/>
    <w:basedOn w:val="1"/>
    <w:autoRedefine/>
    <w:qFormat/>
    <w:uiPriority w:val="0"/>
    <w:pPr>
      <w:spacing w:after="78" w:afterLines="25"/>
      <w:jc w:val="center"/>
    </w:pPr>
    <w:rPr>
      <w:rFonts w:ascii="宋体"/>
      <w:b/>
      <w:sz w:val="32"/>
      <w:szCs w:val="32"/>
    </w:rPr>
  </w:style>
  <w:style w:type="paragraph" w:customStyle="1" w:styleId="1235">
    <w:name w:val="Z节标题"/>
    <w:basedOn w:val="1145"/>
    <w:autoRedefine/>
    <w:qFormat/>
    <w:uiPriority w:val="0"/>
    <w:pPr>
      <w:spacing w:after="100" w:afterAutospacing="1" w:line="240" w:lineRule="auto"/>
      <w:jc w:val="left"/>
      <w:outlineLvl w:val="1"/>
    </w:pPr>
    <w:rPr>
      <w:rFonts w:eastAsia="黑体"/>
      <w:b w:val="0"/>
      <w:sz w:val="32"/>
    </w:rPr>
  </w:style>
  <w:style w:type="paragraph" w:customStyle="1" w:styleId="1236">
    <w:name w:val="xl63"/>
    <w:basedOn w:val="1"/>
    <w:autoRedefine/>
    <w:qFormat/>
    <w:uiPriority w:val="0"/>
    <w:pPr>
      <w:widowControl/>
      <w:pBdr>
        <w:top w:val="single" w:color="auto" w:sz="4" w:space="0"/>
      </w:pBdr>
      <w:adjustRightInd w:val="0"/>
      <w:spacing w:before="100" w:beforeAutospacing="1" w:after="100" w:afterAutospacing="1" w:line="400" w:lineRule="exact"/>
      <w:ind w:firstLine="601"/>
      <w:jc w:val="left"/>
      <w:textAlignment w:val="center"/>
    </w:pPr>
    <w:rPr>
      <w:rFonts w:hint="eastAsia" w:ascii="楷体" w:hAnsi="宋体" w:eastAsia="楷体"/>
      <w:spacing w:val="30"/>
      <w:kern w:val="0"/>
      <w:sz w:val="16"/>
      <w:szCs w:val="16"/>
    </w:rPr>
  </w:style>
  <w:style w:type="paragraph" w:customStyle="1" w:styleId="1237">
    <w:name w:val="xl124"/>
    <w:basedOn w:val="1"/>
    <w:autoRedefine/>
    <w:qFormat/>
    <w:uiPriority w:val="0"/>
    <w:pPr>
      <w:widowControl/>
      <w:shd w:val="clear" w:color="auto" w:fill="FFFFFF"/>
      <w:spacing w:before="100" w:beforeAutospacing="1" w:after="100" w:afterAutospacing="1"/>
      <w:jc w:val="left"/>
    </w:pPr>
    <w:rPr>
      <w:rFonts w:ascii="宋体"/>
      <w:b/>
      <w:bCs/>
      <w:kern w:val="0"/>
      <w:sz w:val="24"/>
    </w:rPr>
  </w:style>
  <w:style w:type="paragraph" w:customStyle="1" w:styleId="1238">
    <w:name w:val="b"/>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hAnsi="宋体" w:cs="宋体"/>
      <w:spacing w:val="30"/>
      <w:kern w:val="0"/>
      <w:sz w:val="24"/>
    </w:rPr>
  </w:style>
  <w:style w:type="paragraph" w:customStyle="1" w:styleId="1239">
    <w:name w:val="Char Char Char Char Char Char Char Char Char1 Char Char Char"/>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240">
    <w:name w:val="样式 (西文) 宋体 四号 左 行距: 多倍行距 1.45 字行 首行缩进:  2 字符"/>
    <w:basedOn w:val="1"/>
    <w:autoRedefine/>
    <w:qFormat/>
    <w:uiPriority w:val="0"/>
    <w:pPr>
      <w:adjustRightInd w:val="0"/>
      <w:snapToGrid w:val="0"/>
      <w:spacing w:line="348" w:lineRule="auto"/>
      <w:ind w:firstLine="560" w:firstLineChars="200"/>
      <w:jc w:val="left"/>
    </w:pPr>
    <w:rPr>
      <w:rFonts w:ascii="宋体"/>
      <w:snapToGrid w:val="0"/>
      <w:sz w:val="24"/>
      <w:szCs w:val="28"/>
    </w:rPr>
  </w:style>
  <w:style w:type="paragraph" w:customStyle="1" w:styleId="1241">
    <w:name w:val="xl61"/>
    <w:basedOn w:val="1"/>
    <w:autoRedefine/>
    <w:qFormat/>
    <w:uiPriority w:val="0"/>
    <w:pPr>
      <w:widowControl/>
      <w:shd w:val="clear" w:color="auto" w:fill="FFFFFF"/>
      <w:adjustRightInd w:val="0"/>
      <w:spacing w:before="100" w:beforeAutospacing="1" w:after="100" w:afterAutospacing="1" w:line="400" w:lineRule="exact"/>
      <w:ind w:firstLine="601"/>
      <w:jc w:val="right"/>
      <w:textAlignment w:val="baseline"/>
    </w:pPr>
    <w:rPr>
      <w:rFonts w:ascii="Arial Unicode MS" w:hAnsi="Arial Unicode MS" w:eastAsia="Arial Unicode MS"/>
      <w:color w:val="000000"/>
      <w:spacing w:val="30"/>
      <w:kern w:val="0"/>
      <w:sz w:val="20"/>
      <w:szCs w:val="20"/>
    </w:rPr>
  </w:style>
  <w:style w:type="paragraph" w:customStyle="1" w:styleId="1242">
    <w:name w:val="表芯右"/>
    <w:basedOn w:val="1"/>
    <w:autoRedefine/>
    <w:qFormat/>
    <w:uiPriority w:val="0"/>
    <w:pPr>
      <w:adjustRightInd w:val="0"/>
      <w:spacing w:line="320" w:lineRule="atLeast"/>
      <w:ind w:firstLine="601"/>
      <w:jc w:val="right"/>
      <w:textAlignment w:val="baseline"/>
    </w:pPr>
    <w:rPr>
      <w:rFonts w:ascii="宋体"/>
      <w:spacing w:val="-12"/>
      <w:kern w:val="0"/>
      <w:sz w:val="24"/>
      <w:szCs w:val="20"/>
    </w:rPr>
  </w:style>
  <w:style w:type="paragraph" w:customStyle="1" w:styleId="1243">
    <w:name w:val="reader-word-layer reader-word-s1-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44">
    <w:name w:val="普通(网站)1"/>
    <w:basedOn w:val="1"/>
    <w:autoRedefine/>
    <w:qFormat/>
    <w:uiPriority w:val="0"/>
    <w:pPr>
      <w:widowControl/>
      <w:adjustRightInd w:val="0"/>
      <w:spacing w:before="100" w:after="100" w:line="400" w:lineRule="exact"/>
      <w:ind w:firstLine="601"/>
      <w:jc w:val="left"/>
      <w:textAlignment w:val="baseline"/>
    </w:pPr>
    <w:rPr>
      <w:rFonts w:ascii="宋体" w:hAnsi="宋体"/>
      <w:spacing w:val="30"/>
      <w:kern w:val="0"/>
      <w:sz w:val="24"/>
      <w:szCs w:val="20"/>
    </w:rPr>
  </w:style>
  <w:style w:type="paragraph" w:customStyle="1" w:styleId="1245">
    <w:name w:val="报告样式2"/>
    <w:basedOn w:val="4"/>
    <w:autoRedefine/>
    <w:qFormat/>
    <w:uiPriority w:val="0"/>
    <w:pPr>
      <w:keepLines w:val="0"/>
      <w:snapToGrid w:val="0"/>
      <w:spacing w:before="0" w:after="0"/>
      <w:ind w:left="0"/>
      <w:jc w:val="center"/>
      <w:textAlignment w:val="auto"/>
    </w:pPr>
    <w:rPr>
      <w:rFonts w:ascii="Cambria" w:hAnsi="Cambria"/>
      <w:b w:val="0"/>
      <w:sz w:val="32"/>
      <w:szCs w:val="24"/>
    </w:rPr>
  </w:style>
  <w:style w:type="paragraph" w:customStyle="1" w:styleId="1246">
    <w:name w:val="项目段落1"/>
    <w:basedOn w:val="1161"/>
    <w:autoRedefine/>
    <w:qFormat/>
    <w:uiPriority w:val="0"/>
    <w:pPr>
      <w:tabs>
        <w:tab w:val="clear" w:pos="2040"/>
      </w:tabs>
      <w:ind w:left="0" w:firstLine="0"/>
    </w:pPr>
  </w:style>
  <w:style w:type="paragraph" w:customStyle="1" w:styleId="1247">
    <w:name w:val="font12"/>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eastAsia="Arial Unicode MS"/>
      <w:b/>
      <w:bCs/>
      <w:spacing w:val="30"/>
      <w:kern w:val="0"/>
      <w:sz w:val="24"/>
      <w:szCs w:val="20"/>
    </w:rPr>
  </w:style>
  <w:style w:type="paragraph" w:customStyle="1" w:styleId="1248">
    <w:name w:val="xl24"/>
    <w:basedOn w:val="1"/>
    <w:autoRedefine/>
    <w:qFormat/>
    <w:uiPriority w:val="0"/>
    <w:pPr>
      <w:widowControl/>
      <w:adjustRightInd w:val="0"/>
      <w:spacing w:before="100" w:beforeAutospacing="1" w:after="100" w:afterAutospacing="1" w:line="400" w:lineRule="exact"/>
      <w:ind w:firstLine="601"/>
      <w:jc w:val="right"/>
      <w:textAlignment w:val="baseline"/>
    </w:pPr>
    <w:rPr>
      <w:rFonts w:ascii="Arial Unicode MS" w:hAnsi="Arial Unicode MS" w:eastAsia="Arial Unicode MS"/>
      <w:spacing w:val="30"/>
      <w:kern w:val="0"/>
      <w:sz w:val="20"/>
      <w:szCs w:val="20"/>
    </w:rPr>
  </w:style>
  <w:style w:type="paragraph" w:customStyle="1" w:styleId="1249">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color w:val="000000"/>
      <w:kern w:val="0"/>
      <w:sz w:val="22"/>
      <w:szCs w:val="22"/>
    </w:rPr>
  </w:style>
  <w:style w:type="paragraph" w:customStyle="1" w:styleId="1250">
    <w:name w:val="word"/>
    <w:basedOn w:val="1"/>
    <w:autoRedefine/>
    <w:qFormat/>
    <w:uiPriority w:val="0"/>
    <w:pPr>
      <w:widowControl/>
      <w:spacing w:before="100" w:beforeAutospacing="1" w:after="100" w:afterAutospacing="1" w:line="375" w:lineRule="atLeast"/>
      <w:jc w:val="left"/>
    </w:pPr>
    <w:rPr>
      <w:rFonts w:ascii="Arial" w:hAnsi="Arial" w:cs="Arial"/>
      <w:color w:val="333333"/>
      <w:kern w:val="0"/>
      <w:sz w:val="18"/>
      <w:szCs w:val="18"/>
    </w:rPr>
  </w:style>
  <w:style w:type="paragraph" w:customStyle="1" w:styleId="1251">
    <w:name w:val="CM87"/>
    <w:basedOn w:val="112"/>
    <w:next w:val="112"/>
    <w:autoRedefine/>
    <w:qFormat/>
    <w:uiPriority w:val="0"/>
    <w:rPr>
      <w:rFonts w:ascii="宋体" w:eastAsia="宋体" w:cs="Times New Roman"/>
      <w:color w:val="auto"/>
    </w:rPr>
  </w:style>
  <w:style w:type="paragraph" w:customStyle="1" w:styleId="1252">
    <w:name w:val="!正文"/>
    <w:basedOn w:val="1"/>
    <w:autoRedefine/>
    <w:qFormat/>
    <w:uiPriority w:val="0"/>
    <w:pPr>
      <w:tabs>
        <w:tab w:val="left" w:pos="840"/>
      </w:tabs>
      <w:spacing w:line="312" w:lineRule="auto"/>
      <w:ind w:firstLine="200" w:firstLineChars="200"/>
    </w:pPr>
    <w:rPr>
      <w:rFonts w:ascii="宋体"/>
      <w:sz w:val="24"/>
    </w:rPr>
  </w:style>
  <w:style w:type="paragraph" w:customStyle="1" w:styleId="1253">
    <w:name w:val="样式 图表 + 居中"/>
    <w:basedOn w:val="989"/>
    <w:autoRedefine/>
    <w:qFormat/>
    <w:uiPriority w:val="0"/>
    <w:pPr>
      <w:widowControl/>
    </w:pPr>
    <w:rPr>
      <w:rFonts w:eastAsia="仿宋_GB2312" w:cs="宋体"/>
      <w:szCs w:val="21"/>
    </w:rPr>
  </w:style>
  <w:style w:type="paragraph" w:customStyle="1" w:styleId="1254">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55">
    <w:name w:val="样式 正文（首行缩进两字） + 首行缩进:  2 字符"/>
    <w:basedOn w:val="21"/>
    <w:autoRedefine/>
    <w:qFormat/>
    <w:uiPriority w:val="0"/>
    <w:pPr>
      <w:adjustRightInd w:val="0"/>
      <w:spacing w:line="360" w:lineRule="auto"/>
      <w:ind w:firstLine="480" w:firstLineChars="0"/>
      <w:textAlignment w:val="baseline"/>
    </w:pPr>
    <w:rPr>
      <w:rFonts w:eastAsia="楷体_GB2312"/>
      <w:spacing w:val="8"/>
      <w:sz w:val="24"/>
      <w:szCs w:val="22"/>
    </w:rPr>
  </w:style>
  <w:style w:type="paragraph" w:customStyle="1" w:styleId="1256">
    <w:name w:val="xl3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val="0"/>
      <w:spacing w:before="100" w:beforeAutospacing="1" w:after="100" w:afterAutospacing="1" w:line="400" w:lineRule="exact"/>
      <w:ind w:firstLine="601"/>
      <w:jc w:val="center"/>
      <w:textAlignment w:val="top"/>
    </w:pPr>
    <w:rPr>
      <w:rFonts w:hint="eastAsia" w:ascii="宋体" w:hAnsi="宋体"/>
      <w:color w:val="000000"/>
      <w:spacing w:val="30"/>
      <w:kern w:val="0"/>
      <w:sz w:val="20"/>
      <w:szCs w:val="20"/>
    </w:rPr>
  </w:style>
  <w:style w:type="paragraph" w:customStyle="1" w:styleId="1257">
    <w:name w:val="font24"/>
    <w:basedOn w:val="1"/>
    <w:autoRedefine/>
    <w:qFormat/>
    <w:uiPriority w:val="0"/>
    <w:pPr>
      <w:widowControl/>
      <w:spacing w:before="100" w:beforeAutospacing="1" w:after="100" w:afterAutospacing="1"/>
      <w:jc w:val="left"/>
    </w:pPr>
    <w:rPr>
      <w:rFonts w:ascii="宋体"/>
      <w:b/>
      <w:bCs/>
      <w:color w:val="800080"/>
      <w:kern w:val="0"/>
      <w:sz w:val="24"/>
    </w:rPr>
  </w:style>
  <w:style w:type="paragraph" w:customStyle="1" w:styleId="1258">
    <w:name w:val="CM7"/>
    <w:basedOn w:val="1"/>
    <w:next w:val="1"/>
    <w:autoRedefine/>
    <w:qFormat/>
    <w:uiPriority w:val="0"/>
    <w:pPr>
      <w:autoSpaceDE w:val="0"/>
      <w:autoSpaceDN w:val="0"/>
      <w:adjustRightInd w:val="0"/>
      <w:spacing w:after="368"/>
      <w:jc w:val="left"/>
    </w:pPr>
    <w:rPr>
      <w:rFonts w:ascii="Arial Unicode MS" w:eastAsia="Arial Unicode MS"/>
      <w:kern w:val="0"/>
      <w:sz w:val="24"/>
    </w:rPr>
  </w:style>
  <w:style w:type="paragraph" w:customStyle="1" w:styleId="1259">
    <w:name w:val="xl25"/>
    <w:basedOn w:val="1"/>
    <w:autoRedefine/>
    <w:qFormat/>
    <w:uiPriority w:val="0"/>
    <w:pPr>
      <w:widowControl/>
      <w:adjustRightInd w:val="0"/>
      <w:spacing w:before="100" w:beforeAutospacing="1" w:after="100" w:afterAutospacing="1" w:line="400" w:lineRule="exact"/>
      <w:ind w:firstLine="601"/>
      <w:jc w:val="left"/>
      <w:textAlignment w:val="baseline"/>
    </w:pPr>
    <w:rPr>
      <w:rFonts w:ascii="Arial Unicode MS" w:hAnsi="Arial Unicode MS" w:eastAsia="Arial Unicode MS"/>
      <w:spacing w:val="30"/>
      <w:kern w:val="0"/>
      <w:sz w:val="20"/>
      <w:szCs w:val="20"/>
    </w:rPr>
  </w:style>
  <w:style w:type="paragraph" w:customStyle="1" w:styleId="1260">
    <w:name w:val="标题 x"/>
    <w:basedOn w:val="4"/>
    <w:autoRedefine/>
    <w:qFormat/>
    <w:uiPriority w:val="0"/>
    <w:pPr>
      <w:keepLines w:val="0"/>
      <w:spacing w:before="120" w:after="240" w:line="400" w:lineRule="exact"/>
      <w:ind w:left="0"/>
      <w:jc w:val="both"/>
    </w:pPr>
    <w:rPr>
      <w:rFonts w:ascii="大标宋" w:hAnsi="Arial Rounded MT Bold" w:eastAsia="大标宋"/>
      <w:b w:val="0"/>
      <w:bCs/>
      <w:spacing w:val="40"/>
      <w:kern w:val="0"/>
      <w:sz w:val="36"/>
    </w:rPr>
  </w:style>
  <w:style w:type="paragraph" w:customStyle="1" w:styleId="1261">
    <w:name w:val="xl130"/>
    <w:basedOn w:val="1"/>
    <w:autoRedefine/>
    <w:qFormat/>
    <w:uiPriority w:val="0"/>
    <w:pPr>
      <w:widowControl/>
      <w:shd w:val="clear" w:color="auto" w:fill="FFFFFF"/>
      <w:spacing w:before="100" w:beforeAutospacing="1" w:after="100" w:afterAutospacing="1"/>
      <w:jc w:val="left"/>
    </w:pPr>
    <w:rPr>
      <w:rFonts w:ascii="宋体"/>
      <w:color w:val="0000FF"/>
      <w:kern w:val="0"/>
      <w:sz w:val="18"/>
      <w:szCs w:val="18"/>
      <w:u w:val="single"/>
    </w:rPr>
  </w:style>
  <w:style w:type="paragraph" w:customStyle="1" w:styleId="1262">
    <w:name w:val="chuang2"/>
    <w:basedOn w:val="1"/>
    <w:autoRedefine/>
    <w:qFormat/>
    <w:uiPriority w:val="0"/>
    <w:pPr>
      <w:adjustRightInd w:val="0"/>
      <w:spacing w:line="400" w:lineRule="exact"/>
      <w:ind w:firstLine="601"/>
      <w:textAlignment w:val="baseline"/>
    </w:pPr>
    <w:rPr>
      <w:rFonts w:ascii="宋体" w:eastAsia="黑体"/>
      <w:spacing w:val="30"/>
      <w:kern w:val="0"/>
      <w:sz w:val="30"/>
      <w:szCs w:val="20"/>
    </w:rPr>
  </w:style>
  <w:style w:type="paragraph" w:customStyle="1" w:styleId="1263">
    <w:name w:val="xl114"/>
    <w:basedOn w:val="1"/>
    <w:autoRedefine/>
    <w:qFormat/>
    <w:uiPriority w:val="0"/>
    <w:pPr>
      <w:widowControl/>
      <w:shd w:val="clear" w:color="auto" w:fill="FFFFFF"/>
      <w:spacing w:before="100" w:beforeAutospacing="1" w:after="100" w:afterAutospacing="1"/>
      <w:jc w:val="center"/>
    </w:pPr>
    <w:rPr>
      <w:rFonts w:ascii="宋体"/>
      <w:b/>
      <w:bCs/>
      <w:kern w:val="0"/>
      <w:sz w:val="20"/>
      <w:szCs w:val="20"/>
      <w:u w:val="single"/>
    </w:rPr>
  </w:style>
  <w:style w:type="paragraph" w:customStyle="1" w:styleId="1264">
    <w:name w:val="表蕊单倍行距"/>
    <w:basedOn w:val="612"/>
    <w:autoRedefine/>
    <w:qFormat/>
    <w:uiPriority w:val="0"/>
    <w:rPr>
      <w:rFonts w:ascii="宋体" w:eastAsia="楷体_GB2312"/>
      <w:sz w:val="21"/>
      <w:szCs w:val="21"/>
    </w:rPr>
  </w:style>
  <w:style w:type="paragraph" w:customStyle="1" w:styleId="1265">
    <w:name w:val="正文王"/>
    <w:basedOn w:val="45"/>
    <w:autoRedefine/>
    <w:qFormat/>
    <w:uiPriority w:val="0"/>
    <w:pPr>
      <w:adjustRightInd/>
      <w:spacing w:before="0" w:line="440" w:lineRule="exact"/>
      <w:textAlignment w:val="auto"/>
    </w:pPr>
    <w:rPr>
      <w:rFonts w:ascii="Arial" w:hAnsi="Arial"/>
      <w:snapToGrid w:val="0"/>
      <w:spacing w:val="0"/>
      <w:kern w:val="2"/>
      <w:sz w:val="24"/>
      <w:szCs w:val="18"/>
    </w:rPr>
  </w:style>
  <w:style w:type="paragraph" w:customStyle="1" w:styleId="1266">
    <w:name w:val="CM84"/>
    <w:basedOn w:val="112"/>
    <w:next w:val="112"/>
    <w:autoRedefine/>
    <w:qFormat/>
    <w:uiPriority w:val="0"/>
    <w:rPr>
      <w:rFonts w:ascii="宋体" w:eastAsia="宋体" w:cs="Times New Roman"/>
      <w:color w:val="auto"/>
    </w:rPr>
  </w:style>
  <w:style w:type="paragraph" w:customStyle="1" w:styleId="1267">
    <w:name w:val="Char Char Char Char Char Char1 Char Char Char Char Char Char Char1"/>
    <w:basedOn w:val="1"/>
    <w:autoRedefine/>
    <w:qFormat/>
    <w:uiPriority w:val="0"/>
    <w:pPr>
      <w:adjustRightInd w:val="0"/>
      <w:spacing w:line="400" w:lineRule="exact"/>
      <w:ind w:firstLine="601"/>
      <w:textAlignment w:val="baseline"/>
    </w:pPr>
    <w:rPr>
      <w:rFonts w:ascii="宋体"/>
      <w:spacing w:val="30"/>
      <w:kern w:val="0"/>
      <w:sz w:val="24"/>
      <w:szCs w:val="20"/>
    </w:rPr>
  </w:style>
  <w:style w:type="paragraph" w:customStyle="1" w:styleId="1268">
    <w:name w:val="表文字"/>
    <w:basedOn w:val="1"/>
    <w:link w:val="1269"/>
    <w:autoRedefine/>
    <w:qFormat/>
    <w:uiPriority w:val="0"/>
    <w:pPr>
      <w:widowControl/>
      <w:adjustRightInd w:val="0"/>
      <w:spacing w:line="400" w:lineRule="exact"/>
      <w:ind w:firstLine="601"/>
      <w:jc w:val="center"/>
      <w:textAlignment w:val="baseline"/>
    </w:pPr>
    <w:rPr>
      <w:rFonts w:ascii="宋体"/>
      <w:spacing w:val="30"/>
      <w:kern w:val="0"/>
      <w:sz w:val="24"/>
      <w:szCs w:val="21"/>
    </w:rPr>
  </w:style>
  <w:style w:type="character" w:customStyle="1" w:styleId="1269">
    <w:name w:val="表文字 Char"/>
    <w:link w:val="1268"/>
    <w:autoRedefine/>
    <w:qFormat/>
    <w:uiPriority w:val="0"/>
    <w:rPr>
      <w:rFonts w:ascii="宋体"/>
      <w:spacing w:val="30"/>
      <w:sz w:val="24"/>
      <w:szCs w:val="21"/>
    </w:rPr>
  </w:style>
  <w:style w:type="paragraph" w:customStyle="1" w:styleId="1270">
    <w:name w:val="样式 标题 4PIM 4h4第三层条标题 4 Char Char Char Char CharH4bulletbl..."/>
    <w:basedOn w:val="6"/>
    <w:autoRedefine/>
    <w:qFormat/>
    <w:uiPriority w:val="0"/>
    <w:pPr>
      <w:keepNext w:val="0"/>
      <w:keepLines w:val="0"/>
      <w:tabs>
        <w:tab w:val="left" w:pos="720"/>
      </w:tabs>
      <w:spacing w:before="0" w:after="0" w:line="360" w:lineRule="auto"/>
      <w:ind w:left="0"/>
    </w:pPr>
    <w:rPr>
      <w:rFonts w:ascii="仿宋_GB2312" w:hAnsi="仿宋_GB2312" w:eastAsia="仿宋_GB2312"/>
    </w:rPr>
  </w:style>
  <w:style w:type="paragraph" w:customStyle="1" w:styleId="1271">
    <w:name w:val="字元4"/>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272">
    <w:name w:val="CM93"/>
    <w:basedOn w:val="112"/>
    <w:next w:val="112"/>
    <w:autoRedefine/>
    <w:qFormat/>
    <w:uiPriority w:val="0"/>
    <w:rPr>
      <w:rFonts w:ascii="宋体" w:eastAsia="宋体" w:cs="Times New Roman"/>
      <w:color w:val="auto"/>
    </w:rPr>
  </w:style>
  <w:style w:type="paragraph" w:customStyle="1" w:styleId="1273">
    <w:name w:val="Char Char Char1 Char Char Char Char Char Char Char"/>
    <w:basedOn w:val="1"/>
    <w:autoRedefine/>
    <w:qFormat/>
    <w:uiPriority w:val="0"/>
    <w:pPr>
      <w:adjustRightInd w:val="0"/>
      <w:spacing w:line="400" w:lineRule="exact"/>
      <w:ind w:firstLine="601"/>
      <w:textAlignment w:val="baseline"/>
    </w:pPr>
    <w:rPr>
      <w:rFonts w:ascii="Tahoma" w:hAnsi="Tahoma"/>
      <w:spacing w:val="30"/>
      <w:kern w:val="0"/>
      <w:sz w:val="24"/>
      <w:szCs w:val="20"/>
    </w:rPr>
  </w:style>
  <w:style w:type="paragraph" w:customStyle="1" w:styleId="1274">
    <w:name w:val="字元 字元 字元 字元 字元 字元"/>
    <w:basedOn w:val="1"/>
    <w:autoRedefine/>
    <w:qFormat/>
    <w:uiPriority w:val="0"/>
    <w:pPr>
      <w:adjustRightInd w:val="0"/>
      <w:spacing w:line="400" w:lineRule="exact"/>
      <w:ind w:firstLine="200" w:firstLineChars="200"/>
      <w:textAlignment w:val="baseline"/>
    </w:pPr>
    <w:rPr>
      <w:rFonts w:ascii="宋体"/>
      <w:spacing w:val="30"/>
      <w:kern w:val="0"/>
      <w:sz w:val="24"/>
      <w:szCs w:val="28"/>
    </w:rPr>
  </w:style>
  <w:style w:type="paragraph" w:customStyle="1" w:styleId="1275">
    <w:name w:val="表格标题 Char Char Char Char"/>
    <w:basedOn w:val="1"/>
    <w:autoRedefine/>
    <w:qFormat/>
    <w:uiPriority w:val="0"/>
    <w:pPr>
      <w:snapToGrid w:val="0"/>
      <w:spacing w:line="360" w:lineRule="auto"/>
      <w:ind w:firstLine="32"/>
      <w:jc w:val="center"/>
      <w:textAlignment w:val="baseline"/>
    </w:pPr>
    <w:rPr>
      <w:rFonts w:ascii="宋体" w:hAnsi="宋体"/>
      <w:b/>
      <w:szCs w:val="20"/>
    </w:rPr>
  </w:style>
  <w:style w:type="paragraph" w:customStyle="1" w:styleId="1276">
    <w:name w:val="首行缩进"/>
    <w:basedOn w:val="1"/>
    <w:autoRedefine/>
    <w:qFormat/>
    <w:uiPriority w:val="0"/>
    <w:pPr>
      <w:adjustRightInd w:val="0"/>
      <w:spacing w:line="360" w:lineRule="auto"/>
      <w:ind w:firstLine="480" w:firstLineChars="200"/>
      <w:textAlignment w:val="baseline"/>
    </w:pPr>
    <w:rPr>
      <w:rFonts w:ascii="宋体"/>
      <w:spacing w:val="30"/>
      <w:kern w:val="0"/>
      <w:sz w:val="24"/>
    </w:rPr>
  </w:style>
  <w:style w:type="paragraph" w:customStyle="1" w:styleId="1277">
    <w:name w:val="Char6"/>
    <w:basedOn w:val="1"/>
    <w:autoRedefine/>
    <w:qFormat/>
    <w:uiPriority w:val="0"/>
    <w:rPr>
      <w:rFonts w:ascii="黑体" w:hAnsi="黑体" w:eastAsia="黑体"/>
      <w:b/>
      <w:spacing w:val="10"/>
      <w:sz w:val="24"/>
      <w:szCs w:val="20"/>
    </w:rPr>
  </w:style>
  <w:style w:type="paragraph" w:customStyle="1" w:styleId="1278">
    <w:name w:val="xl48"/>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400" w:lineRule="exact"/>
      <w:ind w:firstLine="601"/>
      <w:jc w:val="right"/>
      <w:textAlignment w:val="baseline"/>
    </w:pPr>
    <w:rPr>
      <w:rFonts w:ascii="Arial Unicode MS" w:hAnsi="Arial Unicode MS" w:eastAsia="Arial Unicode MS"/>
      <w:spacing w:val="30"/>
      <w:kern w:val="0"/>
      <w:sz w:val="20"/>
      <w:szCs w:val="20"/>
    </w:rPr>
  </w:style>
  <w:style w:type="paragraph" w:customStyle="1" w:styleId="1279">
    <w:name w:val="Char Char Char Char12"/>
    <w:basedOn w:val="1"/>
    <w:autoRedefine/>
    <w:qFormat/>
    <w:uiPriority w:val="0"/>
    <w:rPr>
      <w:rFonts w:ascii="宋体"/>
    </w:rPr>
  </w:style>
  <w:style w:type="paragraph" w:customStyle="1" w:styleId="1280">
    <w:name w:val="xl145"/>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kern w:val="0"/>
      <w:sz w:val="18"/>
      <w:szCs w:val="18"/>
    </w:rPr>
  </w:style>
  <w:style w:type="paragraph" w:customStyle="1" w:styleId="1281">
    <w:name w:val="juzhong"/>
    <w:basedOn w:val="1"/>
    <w:autoRedefine/>
    <w:qFormat/>
    <w:uiPriority w:val="0"/>
    <w:pPr>
      <w:widowControl/>
      <w:adjustRightInd w:val="0"/>
      <w:spacing w:line="400" w:lineRule="exact"/>
      <w:ind w:firstLine="601"/>
      <w:jc w:val="left"/>
      <w:textAlignment w:val="baseline"/>
    </w:pPr>
    <w:rPr>
      <w:rFonts w:ascii="宋体" w:hAnsi="宋体" w:cs="宋体"/>
      <w:color w:val="000000"/>
      <w:spacing w:val="30"/>
      <w:kern w:val="0"/>
      <w:sz w:val="24"/>
    </w:rPr>
  </w:style>
  <w:style w:type="paragraph" w:customStyle="1" w:styleId="1282">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83">
    <w:name w:val="附录表标题"/>
    <w:next w:val="800"/>
    <w:autoRedefine/>
    <w:qFormat/>
    <w:uiPriority w:val="0"/>
    <w:pPr>
      <w:tabs>
        <w:tab w:val="left" w:pos="1200"/>
      </w:tabs>
      <w:ind w:left="1200" w:leftChars="400" w:hanging="360" w:hangingChars="200"/>
      <w:jc w:val="center"/>
    </w:pPr>
    <w:rPr>
      <w:rFonts w:ascii="黑体" w:hAnsi="Times New Roman" w:eastAsia="黑体" w:cs="Times New Roman"/>
      <w:kern w:val="21"/>
      <w:sz w:val="21"/>
      <w:lang w:val="en-US" w:eastAsia="zh-CN" w:bidi="ar-SA"/>
    </w:rPr>
  </w:style>
  <w:style w:type="paragraph" w:customStyle="1" w:styleId="1284">
    <w:name w:val="reader-word-layer reader-word-s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85">
    <w:name w:val="xl52"/>
    <w:basedOn w:val="1"/>
    <w:autoRedefine/>
    <w:qFormat/>
    <w:uiPriority w:val="0"/>
    <w:pPr>
      <w:widowControl/>
      <w:shd w:val="clear" w:color="auto" w:fill="FFFFFF"/>
      <w:adjustRightInd w:val="0"/>
      <w:spacing w:before="100" w:beforeAutospacing="1" w:after="100" w:afterAutospacing="1" w:line="400" w:lineRule="exact"/>
      <w:ind w:firstLine="601"/>
      <w:jc w:val="center"/>
      <w:textAlignment w:val="baseline"/>
    </w:pPr>
    <w:rPr>
      <w:rFonts w:hint="eastAsia" w:ascii="宋体" w:hAnsi="宋体"/>
      <w:spacing w:val="30"/>
      <w:kern w:val="0"/>
      <w:sz w:val="20"/>
      <w:szCs w:val="20"/>
    </w:rPr>
  </w:style>
  <w:style w:type="paragraph" w:customStyle="1" w:styleId="1286">
    <w:name w:val="纯文本1"/>
    <w:basedOn w:val="1"/>
    <w:autoRedefine/>
    <w:qFormat/>
    <w:uiPriority w:val="0"/>
    <w:pPr>
      <w:autoSpaceDE w:val="0"/>
      <w:autoSpaceDN w:val="0"/>
      <w:adjustRightInd w:val="0"/>
      <w:textAlignment w:val="baseline"/>
    </w:pPr>
    <w:rPr>
      <w:rFonts w:ascii="宋体"/>
      <w:szCs w:val="20"/>
    </w:rPr>
  </w:style>
  <w:style w:type="paragraph" w:customStyle="1" w:styleId="1287">
    <w:name w:val="样式 小四 左侧:  0 厘米 悬挂缩进: 2 字符"/>
    <w:basedOn w:val="1"/>
    <w:autoRedefine/>
    <w:qFormat/>
    <w:uiPriority w:val="0"/>
    <w:pPr>
      <w:adjustRightInd w:val="0"/>
      <w:spacing w:line="400" w:lineRule="exact"/>
      <w:ind w:left="199" w:hanging="199" w:hangingChars="71"/>
      <w:textAlignment w:val="baseline"/>
    </w:pPr>
    <w:rPr>
      <w:rFonts w:ascii="黑体" w:hAnsi="宋体" w:eastAsia="黑体" w:cs="宋体"/>
      <w:spacing w:val="30"/>
      <w:kern w:val="0"/>
      <w:sz w:val="24"/>
      <w:szCs w:val="28"/>
    </w:rPr>
  </w:style>
  <w:style w:type="paragraph" w:customStyle="1" w:styleId="1288">
    <w:name w:val="Paragraphe 1bis"/>
    <w:basedOn w:val="1"/>
    <w:autoRedefine/>
    <w:qFormat/>
    <w:uiPriority w:val="0"/>
    <w:pPr>
      <w:widowControl/>
      <w:tabs>
        <w:tab w:val="left" w:pos="4678"/>
        <w:tab w:val="left" w:pos="4962"/>
      </w:tabs>
    </w:pPr>
    <w:rPr>
      <w:rFonts w:ascii="宋体"/>
      <w:kern w:val="0"/>
      <w:sz w:val="24"/>
      <w:szCs w:val="20"/>
      <w:lang w:val="en-GB" w:eastAsia="fr-FR"/>
    </w:rPr>
  </w:style>
  <w:style w:type="paragraph" w:customStyle="1" w:styleId="1289">
    <w:name w:val="样式 标题 1 + (中文) 宋体 小三 行距: 多倍行距 1.35 字行"/>
    <w:basedOn w:val="1"/>
    <w:autoRedefine/>
    <w:qFormat/>
    <w:uiPriority w:val="0"/>
    <w:pPr>
      <w:tabs>
        <w:tab w:val="left" w:pos="432"/>
      </w:tabs>
      <w:ind w:left="432" w:hanging="432"/>
    </w:pPr>
  </w:style>
  <w:style w:type="paragraph" w:customStyle="1" w:styleId="1290">
    <w:name w:val="xl163"/>
    <w:basedOn w:val="1"/>
    <w:autoRedefine/>
    <w:qFormat/>
    <w:uiPriority w:val="0"/>
    <w:pPr>
      <w:widowControl/>
      <w:shd w:val="clear" w:color="auto" w:fill="FFFFFF"/>
      <w:spacing w:before="100" w:beforeAutospacing="1" w:after="100" w:afterAutospacing="1"/>
      <w:jc w:val="left"/>
    </w:pPr>
    <w:rPr>
      <w:rFonts w:ascii="宋体" w:hAnsi="宋体" w:cs="宋体"/>
      <w:kern w:val="0"/>
      <w:sz w:val="20"/>
      <w:szCs w:val="20"/>
    </w:rPr>
  </w:style>
  <w:style w:type="paragraph" w:customStyle="1" w:styleId="1291">
    <w:name w:val="p15"/>
    <w:basedOn w:val="1"/>
    <w:autoRedefine/>
    <w:qFormat/>
    <w:uiPriority w:val="0"/>
    <w:pPr>
      <w:widowControl/>
      <w:jc w:val="center"/>
    </w:pPr>
    <w:rPr>
      <w:kern w:val="0"/>
      <w:sz w:val="24"/>
    </w:rPr>
  </w:style>
  <w:style w:type="paragraph" w:customStyle="1" w:styleId="1292">
    <w:name w:val="xl4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val="0"/>
      <w:spacing w:before="100" w:beforeAutospacing="1" w:after="100" w:afterAutospacing="1" w:line="400" w:lineRule="exact"/>
      <w:ind w:firstLine="601"/>
      <w:jc w:val="left"/>
      <w:textAlignment w:val="baseline"/>
    </w:pPr>
    <w:rPr>
      <w:rFonts w:ascii="Arial Unicode MS" w:hAnsi="Arial Unicode MS" w:eastAsia="Arial Unicode MS"/>
      <w:color w:val="FF0000"/>
      <w:spacing w:val="30"/>
      <w:kern w:val="0"/>
      <w:sz w:val="20"/>
      <w:szCs w:val="20"/>
    </w:rPr>
  </w:style>
  <w:style w:type="paragraph" w:customStyle="1" w:styleId="1293">
    <w:name w:val="日期11"/>
    <w:basedOn w:val="1"/>
    <w:next w:val="1"/>
    <w:autoRedefine/>
    <w:qFormat/>
    <w:uiPriority w:val="0"/>
    <w:pPr>
      <w:autoSpaceDE w:val="0"/>
      <w:autoSpaceDN w:val="0"/>
      <w:adjustRightInd w:val="0"/>
      <w:spacing w:line="440" w:lineRule="exact"/>
      <w:ind w:left="100" w:firstLine="200" w:firstLineChars="200"/>
      <w:textAlignment w:val="baseline"/>
    </w:pPr>
    <w:rPr>
      <w:rFonts w:ascii="宋体" w:hAnsi="Tms Rmn"/>
      <w:spacing w:val="4"/>
      <w:kern w:val="0"/>
      <w:sz w:val="24"/>
      <w:szCs w:val="20"/>
    </w:rPr>
  </w:style>
  <w:style w:type="paragraph" w:customStyle="1" w:styleId="1294">
    <w:name w:val="报告样式1"/>
    <w:basedOn w:val="3"/>
    <w:next w:val="1245"/>
    <w:autoRedefine/>
    <w:qFormat/>
    <w:uiPriority w:val="0"/>
    <w:pPr>
      <w:adjustRightInd w:val="0"/>
      <w:snapToGrid w:val="0"/>
      <w:spacing w:before="0" w:after="0" w:line="360" w:lineRule="auto"/>
      <w:ind w:firstLine="1446" w:firstLineChars="400"/>
      <w:jc w:val="center"/>
    </w:pPr>
    <w:rPr>
      <w:rFonts w:ascii="Arial" w:hAnsi="Arial"/>
      <w:bCs/>
      <w:kern w:val="2"/>
      <w:sz w:val="36"/>
      <w:szCs w:val="24"/>
    </w:rPr>
  </w:style>
  <w:style w:type="paragraph" w:customStyle="1" w:styleId="1295">
    <w:name w:val="para1"/>
    <w:basedOn w:val="1"/>
    <w:autoRedefine/>
    <w:qFormat/>
    <w:uiPriority w:val="0"/>
    <w:pPr>
      <w:widowControl/>
      <w:adjustRightInd w:val="0"/>
      <w:spacing w:before="100" w:beforeAutospacing="1" w:after="100" w:afterAutospacing="1" w:line="240" w:lineRule="atLeast"/>
      <w:ind w:firstLine="601"/>
      <w:jc w:val="left"/>
      <w:textAlignment w:val="baseline"/>
    </w:pPr>
    <w:rPr>
      <w:rFonts w:ascii="宋体" w:hAnsi="宋体" w:cs="宋体"/>
      <w:color w:val="333333"/>
      <w:spacing w:val="30"/>
      <w:kern w:val="0"/>
      <w:sz w:val="24"/>
      <w:szCs w:val="21"/>
    </w:rPr>
  </w:style>
  <w:style w:type="paragraph" w:customStyle="1" w:styleId="1296">
    <w:name w:val="样式 样式 表头 + (中文) 文鼎CS中宋 小四 段后: 9.5 磅 + 两端对齐"/>
    <w:basedOn w:val="1"/>
    <w:autoRedefine/>
    <w:qFormat/>
    <w:uiPriority w:val="0"/>
    <w:pPr>
      <w:adjustRightInd w:val="0"/>
      <w:snapToGrid w:val="0"/>
      <w:spacing w:before="124" w:beforeLines="40" w:after="80" w:line="320" w:lineRule="atLeast"/>
      <w:ind w:firstLine="300" w:firstLineChars="300"/>
      <w:textAlignment w:val="baseline"/>
    </w:pPr>
    <w:rPr>
      <w:rFonts w:ascii="宋体" w:eastAsia="文鼎CS中宋" w:cs="宋体"/>
      <w:spacing w:val="30"/>
      <w:kern w:val="0"/>
      <w:sz w:val="24"/>
      <w:szCs w:val="20"/>
    </w:rPr>
  </w:style>
  <w:style w:type="paragraph" w:customStyle="1" w:styleId="1297">
    <w:name w:val="四级标题"/>
    <w:basedOn w:val="51"/>
    <w:autoRedefine/>
    <w:qFormat/>
    <w:uiPriority w:val="0"/>
    <w:pPr>
      <w:adjustRightInd/>
      <w:spacing w:beforeLines="0" w:line="360" w:lineRule="auto"/>
      <w:textAlignment w:val="auto"/>
    </w:pPr>
    <w:rPr>
      <w:rFonts w:eastAsia="黑体"/>
      <w:kern w:val="2"/>
      <w:sz w:val="24"/>
      <w:szCs w:val="22"/>
    </w:rPr>
  </w:style>
  <w:style w:type="paragraph" w:customStyle="1" w:styleId="1298">
    <w:name w:val="索引 61"/>
    <w:basedOn w:val="1"/>
    <w:next w:val="1"/>
    <w:autoRedefine/>
    <w:qFormat/>
    <w:uiPriority w:val="0"/>
    <w:pPr>
      <w:adjustRightInd w:val="0"/>
      <w:spacing w:line="400" w:lineRule="exact"/>
      <w:ind w:left="2100"/>
      <w:textAlignment w:val="baseline"/>
    </w:pPr>
    <w:rPr>
      <w:rFonts w:ascii="宋体"/>
      <w:spacing w:val="30"/>
      <w:kern w:val="0"/>
      <w:sz w:val="24"/>
      <w:szCs w:val="20"/>
    </w:rPr>
  </w:style>
  <w:style w:type="paragraph" w:customStyle="1" w:styleId="1299">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400" w:lineRule="exact"/>
      <w:ind w:firstLine="601"/>
      <w:jc w:val="left"/>
      <w:textAlignment w:val="baseline"/>
    </w:pPr>
    <w:rPr>
      <w:rFonts w:hint="eastAsia" w:ascii="宋体" w:hAnsi="宋体"/>
      <w:color w:val="000000"/>
      <w:spacing w:val="30"/>
      <w:kern w:val="0"/>
      <w:sz w:val="20"/>
      <w:szCs w:val="20"/>
    </w:rPr>
  </w:style>
  <w:style w:type="paragraph" w:customStyle="1" w:styleId="1300">
    <w:name w:val="xl121"/>
    <w:basedOn w:val="1"/>
    <w:autoRedefine/>
    <w:qFormat/>
    <w:uiPriority w:val="0"/>
    <w:pPr>
      <w:widowControl/>
      <w:shd w:val="clear" w:color="auto" w:fill="FFFFFF"/>
      <w:spacing w:before="100" w:beforeAutospacing="1" w:after="100" w:afterAutospacing="1"/>
      <w:jc w:val="left"/>
    </w:pPr>
    <w:rPr>
      <w:rFonts w:ascii="宋体"/>
      <w:color w:val="000000"/>
      <w:kern w:val="0"/>
      <w:sz w:val="18"/>
      <w:szCs w:val="18"/>
    </w:rPr>
  </w:style>
  <w:style w:type="paragraph" w:customStyle="1" w:styleId="1301">
    <w:name w:val="Char Char Char1 Char Char Char Char Char Char Char Char Char Char Char Char Char Char Char Char Char Char Char Char Char Char Char Char Char1"/>
    <w:basedOn w:val="1"/>
    <w:autoRedefine/>
    <w:qFormat/>
    <w:uiPriority w:val="0"/>
    <w:pPr>
      <w:adjustRightInd w:val="0"/>
      <w:spacing w:line="400" w:lineRule="exact"/>
      <w:ind w:firstLine="601"/>
      <w:textAlignment w:val="baseline"/>
    </w:pPr>
    <w:rPr>
      <w:rFonts w:ascii="Tahoma" w:hAnsi="Tahoma"/>
      <w:spacing w:val="30"/>
      <w:kern w:val="0"/>
      <w:sz w:val="24"/>
      <w:szCs w:val="20"/>
    </w:rPr>
  </w:style>
  <w:style w:type="paragraph" w:customStyle="1" w:styleId="1302">
    <w:name w:val="CM5"/>
    <w:basedOn w:val="1"/>
    <w:next w:val="1"/>
    <w:autoRedefine/>
    <w:qFormat/>
    <w:uiPriority w:val="0"/>
    <w:pPr>
      <w:autoSpaceDE w:val="0"/>
      <w:autoSpaceDN w:val="0"/>
      <w:adjustRightInd w:val="0"/>
      <w:spacing w:line="226" w:lineRule="atLeast"/>
      <w:ind w:firstLine="601"/>
      <w:jc w:val="left"/>
      <w:textAlignment w:val="baseline"/>
    </w:pPr>
    <w:rPr>
      <w:rFonts w:ascii="Helvetica" w:hAnsi="Helvetica" w:cs="Helvetica"/>
      <w:spacing w:val="30"/>
      <w:kern w:val="0"/>
      <w:sz w:val="24"/>
    </w:rPr>
  </w:style>
  <w:style w:type="paragraph" w:customStyle="1" w:styleId="1303">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2"/>
      <w:szCs w:val="22"/>
    </w:rPr>
  </w:style>
  <w:style w:type="paragraph" w:customStyle="1" w:styleId="1304">
    <w:name w:val="reader-word-layer reader-word-s1-0 reader-word-s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05">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306">
    <w:name w:val="style59"/>
    <w:basedOn w:val="1"/>
    <w:autoRedefine/>
    <w:qFormat/>
    <w:uiPriority w:val="0"/>
    <w:pPr>
      <w:widowControl/>
      <w:spacing w:before="100" w:beforeAutospacing="1" w:after="100" w:afterAutospacing="1"/>
      <w:jc w:val="left"/>
    </w:pPr>
    <w:rPr>
      <w:rFonts w:ascii="Arial" w:hAnsi="Arial" w:cs="Arial"/>
      <w:b/>
      <w:bCs/>
      <w:color w:val="FF0000"/>
      <w:kern w:val="0"/>
      <w:szCs w:val="21"/>
    </w:rPr>
  </w:style>
  <w:style w:type="paragraph" w:customStyle="1" w:styleId="1307">
    <w:name w:val="reader-word-layer reader-word-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08">
    <w:name w:val="font_b"/>
    <w:basedOn w:val="1"/>
    <w:autoRedefine/>
    <w:qFormat/>
    <w:uiPriority w:val="0"/>
    <w:pPr>
      <w:widowControl/>
      <w:adjustRightInd w:val="0"/>
      <w:spacing w:before="100" w:beforeAutospacing="1" w:after="100" w:afterAutospacing="1" w:line="400" w:lineRule="exact"/>
      <w:ind w:firstLine="601"/>
      <w:jc w:val="left"/>
      <w:textAlignment w:val="baseline"/>
    </w:pPr>
    <w:rPr>
      <w:rFonts w:ascii="Arial" w:hAnsi="Arial" w:cs="Arial"/>
      <w:b/>
      <w:bCs/>
      <w:color w:val="000000"/>
      <w:spacing w:val="30"/>
      <w:kern w:val="0"/>
      <w:sz w:val="20"/>
      <w:szCs w:val="20"/>
    </w:rPr>
  </w:style>
  <w:style w:type="paragraph" w:customStyle="1" w:styleId="1309">
    <w:name w:val="新表"/>
    <w:basedOn w:val="1"/>
    <w:autoRedefine/>
    <w:qFormat/>
    <w:uiPriority w:val="0"/>
    <w:pPr>
      <w:adjustRightInd w:val="0"/>
      <w:spacing w:line="360" w:lineRule="exact"/>
      <w:ind w:firstLine="601"/>
      <w:textAlignment w:val="baseline"/>
    </w:pPr>
    <w:rPr>
      <w:rFonts w:ascii="宋体" w:eastAsia="仿宋_GB2312"/>
      <w:bCs/>
      <w:spacing w:val="30"/>
      <w:kern w:val="0"/>
      <w:sz w:val="24"/>
      <w:szCs w:val="20"/>
    </w:rPr>
  </w:style>
  <w:style w:type="paragraph" w:customStyle="1" w:styleId="1310">
    <w:name w:val="xl151"/>
    <w:basedOn w:val="1"/>
    <w:autoRedefine/>
    <w:qFormat/>
    <w:uiPriority w:val="0"/>
    <w:pPr>
      <w:widowControl/>
      <w:pBdr>
        <w:left w:val="single" w:color="auto" w:sz="8" w:space="0"/>
      </w:pBdr>
      <w:shd w:val="clear" w:color="auto" w:fill="FFFFFF"/>
      <w:spacing w:before="100" w:beforeAutospacing="1" w:after="100" w:afterAutospacing="1"/>
      <w:jc w:val="center"/>
    </w:pPr>
    <w:rPr>
      <w:rFonts w:ascii="宋体"/>
      <w:b/>
      <w:bCs/>
      <w:kern w:val="0"/>
      <w:sz w:val="20"/>
      <w:szCs w:val="20"/>
    </w:rPr>
  </w:style>
  <w:style w:type="paragraph" w:customStyle="1" w:styleId="1311">
    <w:name w:val="xl122"/>
    <w:basedOn w:val="1"/>
    <w:autoRedefine/>
    <w:qFormat/>
    <w:uiPriority w:val="0"/>
    <w:pPr>
      <w:widowControl/>
      <w:shd w:val="clear" w:color="auto" w:fill="FFFFFF"/>
      <w:spacing w:before="100" w:beforeAutospacing="1" w:after="100" w:afterAutospacing="1"/>
      <w:jc w:val="left"/>
    </w:pPr>
    <w:rPr>
      <w:rFonts w:ascii="宋体"/>
      <w:color w:val="000000"/>
      <w:kern w:val="0"/>
      <w:sz w:val="18"/>
      <w:szCs w:val="18"/>
    </w:rPr>
  </w:style>
  <w:style w:type="paragraph" w:customStyle="1" w:styleId="1312">
    <w:name w:val="第×章"/>
    <w:basedOn w:val="1"/>
    <w:autoRedefine/>
    <w:qFormat/>
    <w:uiPriority w:val="0"/>
    <w:pPr>
      <w:adjustRightInd w:val="0"/>
      <w:spacing w:line="400" w:lineRule="exact"/>
      <w:textAlignment w:val="baseline"/>
    </w:pPr>
    <w:rPr>
      <w:rFonts w:ascii="楷体_GB2312"/>
      <w:b/>
      <w:color w:val="800080"/>
      <w:spacing w:val="30"/>
      <w:kern w:val="0"/>
      <w:sz w:val="32"/>
      <w:szCs w:val="20"/>
    </w:rPr>
  </w:style>
  <w:style w:type="paragraph" w:customStyle="1" w:styleId="1313">
    <w:name w:val="xl128"/>
    <w:basedOn w:val="1"/>
    <w:autoRedefine/>
    <w:qFormat/>
    <w:uiPriority w:val="0"/>
    <w:pPr>
      <w:widowControl/>
      <w:shd w:val="clear" w:color="auto" w:fill="FFFFFF"/>
      <w:spacing w:before="100" w:beforeAutospacing="1" w:after="100" w:afterAutospacing="1"/>
      <w:jc w:val="left"/>
    </w:pPr>
    <w:rPr>
      <w:rFonts w:ascii="宋体"/>
      <w:color w:val="0000FF"/>
      <w:kern w:val="0"/>
      <w:sz w:val="18"/>
      <w:szCs w:val="18"/>
      <w:u w:val="single"/>
    </w:rPr>
  </w:style>
  <w:style w:type="paragraph" w:customStyle="1" w:styleId="1314">
    <w:name w:val="样式 标题 3h3H3level_3PIM 3Level 3 HeadHeading 3 - oldsect1.2..."/>
    <w:basedOn w:val="5"/>
    <w:autoRedefine/>
    <w:qFormat/>
    <w:uiPriority w:val="0"/>
    <w:pPr>
      <w:keepNext w:val="0"/>
      <w:keepLines w:val="0"/>
      <w:tabs>
        <w:tab w:val="left" w:pos="2126"/>
      </w:tabs>
      <w:adjustRightInd w:val="0"/>
      <w:spacing w:before="120" w:after="120" w:line="400" w:lineRule="exact"/>
      <w:ind w:firstLine="601"/>
      <w:textAlignment w:val="baseline"/>
    </w:pPr>
    <w:rPr>
      <w:rFonts w:ascii="Times New Roman" w:hAnsi="Times New Roman" w:eastAsia="宋体" w:cs="Times New Roman"/>
      <w:bCs w:val="0"/>
      <w:spacing w:val="8"/>
      <w:kern w:val="0"/>
      <w:sz w:val="28"/>
      <w:szCs w:val="20"/>
    </w:rPr>
  </w:style>
  <w:style w:type="paragraph" w:customStyle="1" w:styleId="1315">
    <w:name w:val="reader-word-layer reader-word-s1-4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16">
    <w:name w:val="图表脚注"/>
    <w:next w:val="800"/>
    <w:autoRedefine/>
    <w:qFormat/>
    <w:uiPriority w:val="0"/>
    <w:pPr>
      <w:tabs>
        <w:tab w:val="left" w:pos="1134"/>
        <w:tab w:val="left" w:pos="2520"/>
      </w:tabs>
      <w:ind w:left="200" w:leftChars="200" w:hanging="100" w:hangingChars="100"/>
      <w:jc w:val="both"/>
    </w:pPr>
    <w:rPr>
      <w:rFonts w:ascii="宋体" w:hAnsi="Times New Roman" w:eastAsia="宋体" w:cs="Times New Roman"/>
      <w:sz w:val="18"/>
      <w:lang w:val="en-US" w:eastAsia="zh-CN" w:bidi="ar-SA"/>
    </w:rPr>
  </w:style>
  <w:style w:type="paragraph" w:customStyle="1" w:styleId="1317">
    <w:name w:val="xl137"/>
    <w:basedOn w:val="1"/>
    <w:autoRedefine/>
    <w:qFormat/>
    <w:uiPriority w:val="0"/>
    <w:pPr>
      <w:widowControl/>
      <w:shd w:val="clear" w:color="auto" w:fill="FFFFFF"/>
      <w:spacing w:before="100" w:beforeAutospacing="1" w:after="100" w:afterAutospacing="1"/>
      <w:jc w:val="center"/>
    </w:pPr>
    <w:rPr>
      <w:rFonts w:ascii="宋体"/>
      <w:b/>
      <w:bCs/>
      <w:color w:val="000000"/>
      <w:kern w:val="0"/>
      <w:sz w:val="16"/>
      <w:szCs w:val="16"/>
    </w:rPr>
  </w:style>
  <w:style w:type="paragraph" w:customStyle="1" w:styleId="1318">
    <w:name w:val="字元 字元 Char Char 字元 字元 Char Char 字元 字元 Char Char 字元 字元 字元 字元"/>
    <w:basedOn w:val="1"/>
    <w:autoRedefine/>
    <w:qFormat/>
    <w:uiPriority w:val="0"/>
    <w:rPr>
      <w:rFonts w:ascii="宋体"/>
    </w:rPr>
  </w:style>
  <w:style w:type="paragraph" w:customStyle="1" w:styleId="1319">
    <w:name w:val="xl158"/>
    <w:basedOn w:val="1"/>
    <w:autoRedefine/>
    <w:qFormat/>
    <w:uiPriority w:val="0"/>
    <w:pPr>
      <w:widowControl/>
      <w:pBdr>
        <w:left w:val="single" w:color="auto" w:sz="8" w:space="0"/>
        <w:bottom w:val="single" w:color="auto" w:sz="8" w:space="0"/>
      </w:pBdr>
      <w:shd w:val="clear" w:color="auto" w:fill="FFFFFF"/>
      <w:spacing w:before="100" w:beforeAutospacing="1" w:after="100" w:afterAutospacing="1"/>
      <w:jc w:val="left"/>
    </w:pPr>
    <w:rPr>
      <w:rFonts w:ascii="宋体"/>
      <w:kern w:val="0"/>
      <w:sz w:val="16"/>
      <w:szCs w:val="16"/>
      <w:u w:val="single"/>
    </w:rPr>
  </w:style>
  <w:style w:type="paragraph" w:customStyle="1" w:styleId="1320">
    <w:name w:val="Char3 Char Char Char Char Char Char1 Char Char1"/>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321">
    <w:name w:val="样式 (中文) 华文楷体 四号"/>
    <w:basedOn w:val="1"/>
    <w:autoRedefine/>
    <w:qFormat/>
    <w:uiPriority w:val="0"/>
    <w:pPr>
      <w:spacing w:line="300" w:lineRule="auto"/>
      <w:ind w:firstLine="200" w:firstLineChars="200"/>
    </w:pPr>
    <w:rPr>
      <w:rFonts w:eastAsia="华文楷体" w:cs="宋体"/>
      <w:sz w:val="28"/>
      <w:szCs w:val="22"/>
    </w:rPr>
  </w:style>
  <w:style w:type="paragraph" w:customStyle="1" w:styleId="1322">
    <w:name w:val="表题格式"/>
    <w:basedOn w:val="1"/>
    <w:autoRedefine/>
    <w:qFormat/>
    <w:uiPriority w:val="0"/>
    <w:pPr>
      <w:adjustRightInd w:val="0"/>
      <w:spacing w:line="440" w:lineRule="exact"/>
      <w:ind w:firstLine="377" w:firstLineChars="377"/>
      <w:textAlignment w:val="baseline"/>
    </w:pPr>
    <w:rPr>
      <w:rFonts w:ascii="宋体" w:eastAsia="黑体"/>
      <w:spacing w:val="30"/>
      <w:kern w:val="0"/>
      <w:sz w:val="24"/>
      <w:szCs w:val="20"/>
    </w:rPr>
  </w:style>
  <w:style w:type="paragraph" w:customStyle="1" w:styleId="1323">
    <w:name w:val="Char Char2"/>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324">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325">
    <w:name w:val="xl164"/>
    <w:basedOn w:val="1"/>
    <w:autoRedefine/>
    <w:qFormat/>
    <w:uiPriority w:val="0"/>
    <w:pPr>
      <w:widowControl/>
      <w:pBdr>
        <w:left w:val="single" w:color="auto" w:sz="8" w:space="0"/>
      </w:pBdr>
      <w:shd w:val="clear" w:color="auto" w:fill="FFFFFF"/>
      <w:spacing w:before="100" w:beforeAutospacing="1" w:after="100" w:afterAutospacing="1"/>
      <w:jc w:val="center"/>
    </w:pPr>
    <w:rPr>
      <w:rFonts w:ascii="宋体"/>
      <w:kern w:val="0"/>
      <w:sz w:val="18"/>
      <w:szCs w:val="18"/>
    </w:rPr>
  </w:style>
  <w:style w:type="paragraph" w:customStyle="1" w:styleId="1326">
    <w:name w:val="正文编号1"/>
    <w:basedOn w:val="1"/>
    <w:autoRedefine/>
    <w:qFormat/>
    <w:uiPriority w:val="0"/>
    <w:pPr>
      <w:tabs>
        <w:tab w:val="left" w:pos="945"/>
      </w:tabs>
      <w:spacing w:line="360" w:lineRule="auto"/>
      <w:ind w:left="945" w:firstLine="601"/>
    </w:pPr>
    <w:rPr>
      <w:rFonts w:ascii="Arial" w:hAnsi="Arial" w:eastAsia="仿宋_GB2312"/>
      <w:sz w:val="24"/>
      <w:szCs w:val="28"/>
    </w:rPr>
  </w:style>
  <w:style w:type="paragraph" w:customStyle="1" w:styleId="1327">
    <w:name w:val="正文01"/>
    <w:basedOn w:val="1"/>
    <w:link w:val="1328"/>
    <w:autoRedefine/>
    <w:qFormat/>
    <w:uiPriority w:val="0"/>
    <w:pPr>
      <w:spacing w:before="40" w:line="420" w:lineRule="exact"/>
      <w:ind w:firstLine="200" w:firstLineChars="200"/>
    </w:pPr>
    <w:rPr>
      <w:rFonts w:ascii="宋体"/>
      <w:bCs/>
      <w:sz w:val="24"/>
    </w:rPr>
  </w:style>
  <w:style w:type="character" w:customStyle="1" w:styleId="1328">
    <w:name w:val="正文01 Char"/>
    <w:link w:val="1327"/>
    <w:autoRedefine/>
    <w:qFormat/>
    <w:uiPriority w:val="0"/>
    <w:rPr>
      <w:rFonts w:ascii="宋体"/>
      <w:bCs/>
      <w:kern w:val="2"/>
      <w:sz w:val="24"/>
      <w:szCs w:val="24"/>
    </w:rPr>
  </w:style>
  <w:style w:type="paragraph" w:customStyle="1" w:styleId="1329">
    <w:name w:val="font0"/>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eastAsia="Arial Unicode MS"/>
      <w:spacing w:val="30"/>
      <w:kern w:val="0"/>
      <w:sz w:val="24"/>
      <w:szCs w:val="20"/>
    </w:rPr>
  </w:style>
  <w:style w:type="paragraph" w:customStyle="1" w:styleId="1330">
    <w:name w:val="样式 样式 样式 样式 首行缩进:  2 字符 + 首行缩进:  2 字符2 + 仿宋_GB2312 + 首行缩进:  2 字符"/>
    <w:basedOn w:val="1"/>
    <w:autoRedefine/>
    <w:qFormat/>
    <w:uiPriority w:val="0"/>
    <w:pPr>
      <w:adjustRightInd w:val="0"/>
      <w:spacing w:line="440" w:lineRule="exact"/>
      <w:ind w:firstLine="584" w:firstLineChars="200"/>
      <w:textAlignment w:val="baseline"/>
    </w:pPr>
    <w:rPr>
      <w:rFonts w:ascii="宋体"/>
      <w:spacing w:val="6"/>
      <w:kern w:val="0"/>
      <w:sz w:val="24"/>
      <w:szCs w:val="20"/>
    </w:rPr>
  </w:style>
  <w:style w:type="paragraph" w:customStyle="1" w:styleId="1331">
    <w:name w:val="reader-word-layer reader-word-s1-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32">
    <w:name w:val="报告书正文"/>
    <w:basedOn w:val="1"/>
    <w:autoRedefine/>
    <w:qFormat/>
    <w:uiPriority w:val="0"/>
    <w:pPr>
      <w:adjustRightInd w:val="0"/>
      <w:snapToGrid w:val="0"/>
      <w:spacing w:line="360" w:lineRule="auto"/>
      <w:ind w:firstLine="425"/>
      <w:textAlignment w:val="baseline"/>
    </w:pPr>
    <w:rPr>
      <w:rFonts w:ascii="Arial" w:hAnsi="Arial"/>
    </w:rPr>
  </w:style>
  <w:style w:type="paragraph" w:customStyle="1" w:styleId="1333">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34">
    <w:name w:val="表格1"/>
    <w:basedOn w:val="1"/>
    <w:next w:val="1"/>
    <w:link w:val="3747"/>
    <w:autoRedefine/>
    <w:qFormat/>
    <w:uiPriority w:val="0"/>
    <w:pPr>
      <w:keepLines/>
      <w:autoSpaceDE w:val="0"/>
      <w:autoSpaceDN w:val="0"/>
      <w:adjustRightInd w:val="0"/>
      <w:spacing w:line="400" w:lineRule="exact"/>
      <w:ind w:firstLine="601"/>
      <w:jc w:val="right"/>
      <w:textAlignment w:val="baseline"/>
    </w:pPr>
    <w:rPr>
      <w:rFonts w:ascii="宋体"/>
      <w:spacing w:val="30"/>
      <w:kern w:val="0"/>
      <w:sz w:val="20"/>
      <w:szCs w:val="20"/>
    </w:rPr>
  </w:style>
  <w:style w:type="paragraph" w:customStyle="1" w:styleId="1335">
    <w:name w:val="Char Char Char Char Char Char Char Char Char1 Char Char Char Char Char Char Char Char Char Char"/>
    <w:basedOn w:val="1"/>
    <w:autoRedefine/>
    <w:qFormat/>
    <w:uiPriority w:val="0"/>
    <w:rPr>
      <w:rFonts w:ascii="宋体"/>
      <w:szCs w:val="21"/>
    </w:rPr>
  </w:style>
  <w:style w:type="paragraph" w:customStyle="1" w:styleId="1336">
    <w:name w:val="TOC 标题1"/>
    <w:basedOn w:val="3"/>
    <w:next w:val="1"/>
    <w:autoRedefine/>
    <w:qFormat/>
    <w:uiPriority w:val="0"/>
    <w:pPr>
      <w:autoSpaceDE w:val="0"/>
      <w:autoSpaceDN w:val="0"/>
      <w:snapToGrid w:val="0"/>
      <w:spacing w:before="480" w:after="0" w:line="590" w:lineRule="atLeast"/>
      <w:ind w:firstLine="624"/>
      <w:outlineLvl w:val="9"/>
    </w:pPr>
    <w:rPr>
      <w:rFonts w:ascii="Cambria" w:hAnsi="Cambria" w:eastAsia="方正仿宋_GBK"/>
      <w:snapToGrid w:val="0"/>
      <w:color w:val="365F91"/>
      <w:kern w:val="2"/>
      <w:sz w:val="28"/>
      <w:szCs w:val="28"/>
      <w:lang w:eastAsia="en-US" w:bidi="en-US"/>
    </w:rPr>
  </w:style>
  <w:style w:type="paragraph" w:customStyle="1" w:styleId="1337">
    <w:name w:val="第一标题"/>
    <w:basedOn w:val="1"/>
    <w:autoRedefine/>
    <w:qFormat/>
    <w:uiPriority w:val="0"/>
    <w:pPr>
      <w:widowControl/>
      <w:adjustRightInd w:val="0"/>
      <w:spacing w:before="156" w:beforeLines="50" w:line="300" w:lineRule="auto"/>
      <w:ind w:firstLine="601"/>
      <w:textAlignment w:val="baseline"/>
    </w:pPr>
    <w:rPr>
      <w:rFonts w:ascii="宋体" w:eastAsia="黑体"/>
      <w:color w:val="FF0000"/>
      <w:spacing w:val="12"/>
      <w:kern w:val="32"/>
      <w:sz w:val="32"/>
      <w:szCs w:val="32"/>
    </w:rPr>
  </w:style>
  <w:style w:type="paragraph" w:customStyle="1" w:styleId="1338">
    <w:name w:val="Char3 Char Char Char Char Char Char11"/>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339">
    <w:name w:val="样式 标题 1h1H1PIM 1标书1章标题 1-*+1st levelSection Headl1L1 H..."/>
    <w:basedOn w:val="3"/>
    <w:autoRedefine/>
    <w:qFormat/>
    <w:uiPriority w:val="0"/>
    <w:pPr>
      <w:adjustRightInd w:val="0"/>
      <w:spacing w:before="1200" w:after="120" w:line="400" w:lineRule="exact"/>
      <w:jc w:val="center"/>
      <w:textAlignment w:val="baseline"/>
    </w:pPr>
    <w:rPr>
      <w:rFonts w:ascii="Arial" w:hAnsi="Arial" w:eastAsia="仿宋_GB2312"/>
      <w:b w:val="0"/>
      <w:bCs/>
      <w:spacing w:val="30"/>
      <w:kern w:val="2"/>
      <w:sz w:val="28"/>
      <w:szCs w:val="28"/>
    </w:rPr>
  </w:style>
  <w:style w:type="paragraph" w:customStyle="1" w:styleId="1340">
    <w:name w:val="样式 样式 标题 2 + + 段前: 0 磅 段后: 0 磅 行距: 1.5 倍行距"/>
    <w:basedOn w:val="1"/>
    <w:autoRedefine/>
    <w:qFormat/>
    <w:uiPriority w:val="0"/>
    <w:pPr>
      <w:keepNext/>
      <w:keepLines/>
      <w:spacing w:line="360" w:lineRule="auto"/>
      <w:ind w:firstLine="472" w:firstLineChars="196"/>
      <w:outlineLvl w:val="1"/>
    </w:pPr>
    <w:rPr>
      <w:rFonts w:ascii="Arial" w:hAnsi="Arial" w:cs="宋体"/>
      <w:b/>
      <w:bCs/>
      <w:kern w:val="0"/>
      <w:sz w:val="24"/>
      <w:szCs w:val="20"/>
    </w:rPr>
  </w:style>
  <w:style w:type="paragraph" w:customStyle="1" w:styleId="1341">
    <w:name w:val="样式 样式 小四标准段落 + 首行缩进:  2 字符 + 首行缩进:  2 字符"/>
    <w:basedOn w:val="1"/>
    <w:autoRedefine/>
    <w:qFormat/>
    <w:uiPriority w:val="0"/>
    <w:pPr>
      <w:topLinePunct/>
      <w:spacing w:before="120" w:after="120" w:line="360" w:lineRule="auto"/>
      <w:ind w:firstLine="200"/>
    </w:pPr>
    <w:rPr>
      <w:rFonts w:ascii="宋体" w:cs="宋体"/>
      <w:kern w:val="0"/>
      <w:sz w:val="24"/>
      <w:szCs w:val="20"/>
    </w:rPr>
  </w:style>
  <w:style w:type="paragraph" w:customStyle="1" w:styleId="1342">
    <w:name w:val="流程文字"/>
    <w:basedOn w:val="1"/>
    <w:autoRedefine/>
    <w:qFormat/>
    <w:uiPriority w:val="0"/>
    <w:pPr>
      <w:tabs>
        <w:tab w:val="left" w:pos="6480"/>
      </w:tabs>
      <w:topLinePunct/>
      <w:adjustRightInd w:val="0"/>
      <w:snapToGrid w:val="0"/>
      <w:jc w:val="center"/>
    </w:pPr>
    <w:rPr>
      <w:rFonts w:ascii="宋体" w:eastAsia="仿宋_GB2312"/>
      <w:szCs w:val="20"/>
    </w:rPr>
  </w:style>
  <w:style w:type="paragraph" w:customStyle="1" w:styleId="1343">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1344">
    <w:name w:val="xl165"/>
    <w:basedOn w:val="1"/>
    <w:autoRedefine/>
    <w:qFormat/>
    <w:uiPriority w:val="0"/>
    <w:pPr>
      <w:widowControl/>
      <w:shd w:val="clear" w:color="auto" w:fill="FFFFFF"/>
      <w:spacing w:before="100" w:beforeAutospacing="1" w:after="100" w:afterAutospacing="1"/>
      <w:jc w:val="left"/>
    </w:pPr>
    <w:rPr>
      <w:rFonts w:ascii="宋体"/>
      <w:b/>
      <w:bCs/>
      <w:kern w:val="0"/>
      <w:sz w:val="20"/>
      <w:szCs w:val="20"/>
      <w:u w:val="single"/>
    </w:rPr>
  </w:style>
  <w:style w:type="paragraph" w:customStyle="1" w:styleId="1345">
    <w:name w:val="xl53"/>
    <w:basedOn w:val="1"/>
    <w:autoRedefine/>
    <w:qFormat/>
    <w:uiPriority w:val="0"/>
    <w:pPr>
      <w:widowControl/>
      <w:shd w:val="clear" w:color="auto" w:fill="FFFFFF"/>
      <w:adjustRightInd w:val="0"/>
      <w:spacing w:before="100" w:beforeAutospacing="1" w:after="100" w:afterAutospacing="1" w:line="400" w:lineRule="exact"/>
      <w:ind w:firstLine="601"/>
      <w:jc w:val="center"/>
      <w:textAlignment w:val="baseline"/>
    </w:pPr>
    <w:rPr>
      <w:rFonts w:ascii="Arial Unicode MS" w:hAnsi="Arial Unicode MS" w:eastAsia="Arial Unicode MS"/>
      <w:color w:val="000000"/>
      <w:spacing w:val="30"/>
      <w:kern w:val="0"/>
      <w:sz w:val="20"/>
      <w:szCs w:val="20"/>
    </w:rPr>
  </w:style>
  <w:style w:type="paragraph" w:customStyle="1" w:styleId="1346">
    <w:name w:val="xl3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val="0"/>
      <w:spacing w:before="100" w:beforeAutospacing="1" w:after="100" w:afterAutospacing="1" w:line="400" w:lineRule="exact"/>
      <w:ind w:firstLine="601"/>
      <w:jc w:val="center"/>
      <w:textAlignment w:val="baseline"/>
    </w:pPr>
    <w:rPr>
      <w:rFonts w:hint="eastAsia" w:ascii="宋体" w:hAnsi="宋体"/>
      <w:color w:val="000000"/>
      <w:spacing w:val="30"/>
      <w:kern w:val="0"/>
      <w:sz w:val="20"/>
      <w:szCs w:val="20"/>
    </w:rPr>
  </w:style>
  <w:style w:type="paragraph" w:customStyle="1" w:styleId="1347">
    <w:name w:val="XYF1"/>
    <w:basedOn w:val="1"/>
    <w:autoRedefine/>
    <w:qFormat/>
    <w:uiPriority w:val="0"/>
    <w:pPr>
      <w:tabs>
        <w:tab w:val="left" w:pos="1080"/>
      </w:tabs>
      <w:adjustRightInd w:val="0"/>
      <w:spacing w:line="440" w:lineRule="exact"/>
      <w:ind w:firstLine="195" w:firstLineChars="195"/>
      <w:textAlignment w:val="baseline"/>
    </w:pPr>
    <w:rPr>
      <w:rFonts w:ascii="宋体"/>
      <w:spacing w:val="30"/>
      <w:kern w:val="0"/>
      <w:sz w:val="24"/>
    </w:rPr>
  </w:style>
  <w:style w:type="paragraph" w:customStyle="1" w:styleId="1348">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2"/>
      <w:szCs w:val="22"/>
    </w:rPr>
  </w:style>
  <w:style w:type="paragraph" w:customStyle="1" w:styleId="1349">
    <w:name w:val="Z表格标题"/>
    <w:basedOn w:val="1"/>
    <w:autoRedefine/>
    <w:qFormat/>
    <w:uiPriority w:val="0"/>
    <w:pPr>
      <w:adjustRightInd w:val="0"/>
      <w:snapToGrid w:val="0"/>
      <w:ind w:left="1584" w:hanging="1584"/>
      <w:jc w:val="center"/>
      <w:outlineLvl w:val="8"/>
    </w:pPr>
    <w:rPr>
      <w:rFonts w:ascii="黑体" w:eastAsia="黑体"/>
      <w:sz w:val="30"/>
      <w:szCs w:val="20"/>
    </w:rPr>
  </w:style>
  <w:style w:type="paragraph" w:customStyle="1" w:styleId="1350">
    <w:name w:val="表、图名"/>
    <w:basedOn w:val="1"/>
    <w:autoRedefine/>
    <w:qFormat/>
    <w:uiPriority w:val="0"/>
    <w:pPr>
      <w:adjustRightInd w:val="0"/>
      <w:snapToGrid w:val="0"/>
      <w:spacing w:line="360" w:lineRule="auto"/>
      <w:ind w:left="-6"/>
      <w:jc w:val="center"/>
    </w:pPr>
    <w:rPr>
      <w:rFonts w:ascii="宋体" w:hAnsi="宋体"/>
      <w:kern w:val="0"/>
      <w:sz w:val="24"/>
      <w:szCs w:val="28"/>
    </w:rPr>
  </w:style>
  <w:style w:type="paragraph" w:customStyle="1" w:styleId="1351">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352">
    <w:name w:val="环评正文"/>
    <w:autoRedefine/>
    <w:qFormat/>
    <w:uiPriority w:val="0"/>
    <w:pPr>
      <w:spacing w:line="400" w:lineRule="exact"/>
      <w:ind w:firstLine="200" w:firstLineChars="200"/>
    </w:pPr>
    <w:rPr>
      <w:rFonts w:ascii="Times New Roman" w:hAnsi="Times New Roman" w:eastAsia="宋体" w:cs="Times New Roman"/>
      <w:color w:val="000000"/>
      <w:kern w:val="21"/>
      <w:sz w:val="24"/>
      <w:szCs w:val="24"/>
      <w:lang w:val="en-US" w:eastAsia="zh-CN" w:bidi="ar-SA"/>
    </w:rPr>
  </w:style>
  <w:style w:type="paragraph" w:customStyle="1" w:styleId="1353">
    <w:name w:val="xl22"/>
    <w:basedOn w:val="1"/>
    <w:autoRedefine/>
    <w:qFormat/>
    <w:uiPriority w:val="0"/>
    <w:pPr>
      <w:widowControl/>
      <w:pBdr>
        <w:left w:val="single" w:color="auto" w:sz="4" w:space="0"/>
      </w:pBdr>
      <w:spacing w:before="100" w:after="100"/>
      <w:jc w:val="left"/>
    </w:pPr>
    <w:rPr>
      <w:rFonts w:ascii="Arial Unicode MS" w:hAnsi="Arial Unicode MS" w:eastAsia="Arial Unicode MS"/>
      <w:b/>
      <w:kern w:val="0"/>
      <w:sz w:val="24"/>
      <w:szCs w:val="20"/>
    </w:rPr>
  </w:style>
  <w:style w:type="paragraph" w:customStyle="1" w:styleId="1354">
    <w:name w:val="xl58"/>
    <w:basedOn w:val="1"/>
    <w:autoRedefine/>
    <w:qFormat/>
    <w:uiPriority w:val="0"/>
    <w:pPr>
      <w:widowControl/>
      <w:shd w:val="clear" w:color="auto" w:fill="FFFFFF"/>
      <w:adjustRightInd w:val="0"/>
      <w:spacing w:before="100" w:beforeAutospacing="1" w:after="100" w:afterAutospacing="1" w:line="400" w:lineRule="exact"/>
      <w:ind w:firstLine="601"/>
      <w:jc w:val="center"/>
      <w:textAlignment w:val="baseline"/>
    </w:pPr>
    <w:rPr>
      <w:rFonts w:ascii="Arial Unicode MS" w:hAnsi="Arial Unicode MS" w:eastAsia="Arial Unicode MS"/>
      <w:color w:val="000000"/>
      <w:spacing w:val="30"/>
      <w:kern w:val="0"/>
      <w:sz w:val="20"/>
      <w:szCs w:val="20"/>
    </w:rPr>
  </w:style>
  <w:style w:type="paragraph" w:customStyle="1" w:styleId="1355">
    <w:name w:val="标题2-小四"/>
    <w:basedOn w:val="1"/>
    <w:next w:val="1"/>
    <w:autoRedefine/>
    <w:qFormat/>
    <w:uiPriority w:val="0"/>
    <w:pPr>
      <w:adjustRightInd w:val="0"/>
      <w:spacing w:line="360" w:lineRule="auto"/>
      <w:ind w:firstLine="601"/>
      <w:textAlignment w:val="baseline"/>
      <w:outlineLvl w:val="1"/>
    </w:pPr>
    <w:rPr>
      <w:rFonts w:ascii="黑体" w:eastAsia="黑体"/>
      <w:b/>
      <w:spacing w:val="30"/>
      <w:kern w:val="0"/>
      <w:sz w:val="24"/>
    </w:rPr>
  </w:style>
  <w:style w:type="paragraph" w:customStyle="1" w:styleId="1356">
    <w:name w:val="xl29"/>
    <w:basedOn w:val="1"/>
    <w:autoRedefine/>
    <w:qFormat/>
    <w:uiPriority w:val="0"/>
    <w:pPr>
      <w:widowControl/>
      <w:shd w:val="clear" w:color="auto" w:fill="FFFFFF"/>
      <w:adjustRightInd w:val="0"/>
      <w:spacing w:before="100" w:beforeAutospacing="1" w:after="100" w:afterAutospacing="1" w:line="400" w:lineRule="exact"/>
      <w:ind w:firstLine="601"/>
      <w:jc w:val="right"/>
      <w:textAlignment w:val="baseline"/>
    </w:pPr>
    <w:rPr>
      <w:rFonts w:hint="eastAsia" w:ascii="黑体" w:hAnsi="Arial Unicode MS" w:eastAsia="黑体"/>
      <w:spacing w:val="30"/>
      <w:kern w:val="0"/>
      <w:sz w:val="20"/>
      <w:szCs w:val="20"/>
    </w:rPr>
  </w:style>
  <w:style w:type="paragraph" w:customStyle="1" w:styleId="1357">
    <w:name w:val="条文"/>
    <w:basedOn w:val="7"/>
    <w:next w:val="1"/>
    <w:autoRedefine/>
    <w:qFormat/>
    <w:uiPriority w:val="0"/>
    <w:pPr>
      <w:keepNext w:val="0"/>
      <w:tabs>
        <w:tab w:val="left" w:pos="2100"/>
      </w:tabs>
      <w:spacing w:before="120" w:after="0" w:line="240" w:lineRule="auto"/>
      <w:ind w:left="2100" w:hanging="420"/>
    </w:pPr>
    <w:rPr>
      <w:rFonts w:ascii="宋体"/>
      <w:b w:val="0"/>
      <w:bCs w:val="0"/>
      <w:kern w:val="0"/>
      <w:sz w:val="24"/>
      <w:szCs w:val="20"/>
    </w:rPr>
  </w:style>
  <w:style w:type="paragraph" w:customStyle="1" w:styleId="1358">
    <w:name w:val="reader-word-layer reader-word-s1-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59">
    <w:name w:val="样式 标题 7 + 宋体 行距: 固定值 25 磅1"/>
    <w:basedOn w:val="9"/>
    <w:autoRedefine/>
    <w:qFormat/>
    <w:uiPriority w:val="0"/>
    <w:pPr>
      <w:keepNext w:val="0"/>
      <w:keepLines w:val="0"/>
      <w:spacing w:before="0" w:after="0" w:line="500" w:lineRule="exact"/>
      <w:ind w:left="0" w:firstLine="200" w:firstLineChars="200"/>
    </w:pPr>
    <w:rPr>
      <w:rFonts w:ascii="宋体" w:hAnsi="宋体" w:cs="宋体"/>
      <w:b w:val="0"/>
      <w:bCs w:val="0"/>
      <w:spacing w:val="8"/>
      <w:szCs w:val="22"/>
      <w:lang w:val="de-DE"/>
    </w:rPr>
  </w:style>
  <w:style w:type="paragraph" w:customStyle="1" w:styleId="1360">
    <w:name w:val="文档结构图1"/>
    <w:basedOn w:val="1"/>
    <w:autoRedefine/>
    <w:qFormat/>
    <w:uiPriority w:val="0"/>
    <w:pPr>
      <w:shd w:val="clear" w:color="auto" w:fill="000080"/>
      <w:adjustRightInd w:val="0"/>
    </w:pPr>
    <w:rPr>
      <w:rFonts w:ascii="宋体"/>
      <w:kern w:val="1"/>
      <w:szCs w:val="20"/>
    </w:rPr>
  </w:style>
  <w:style w:type="paragraph" w:styleId="1361">
    <w:name w:val="No Spacing"/>
    <w:autoRedefine/>
    <w:qFormat/>
    <w:uiPriority w:val="1"/>
    <w:pPr>
      <w:widowControl w:val="0"/>
      <w:ind w:firstLine="200" w:firstLineChars="200"/>
      <w:jc w:val="both"/>
    </w:pPr>
    <w:rPr>
      <w:rFonts w:ascii="Times New Roman" w:hAnsi="Times New Roman" w:eastAsia="宋体" w:cs="Times New Roman"/>
      <w:kern w:val="2"/>
      <w:sz w:val="28"/>
      <w:szCs w:val="22"/>
      <w:lang w:val="en-US" w:eastAsia="zh-CN" w:bidi="ar-SA"/>
    </w:rPr>
  </w:style>
  <w:style w:type="paragraph" w:customStyle="1" w:styleId="1362">
    <w:name w:val="标题一"/>
    <w:basedOn w:val="3"/>
    <w:next w:val="1"/>
    <w:autoRedefine/>
    <w:qFormat/>
    <w:uiPriority w:val="0"/>
    <w:pPr>
      <w:pageBreakBefore/>
      <w:spacing w:before="0" w:after="312" w:afterLines="100" w:line="360" w:lineRule="auto"/>
      <w:jc w:val="left"/>
    </w:pPr>
    <w:rPr>
      <w:rFonts w:ascii="宋体" w:hAnsi="宋体"/>
      <w:sz w:val="30"/>
      <w:szCs w:val="44"/>
    </w:rPr>
  </w:style>
  <w:style w:type="paragraph" w:customStyle="1" w:styleId="1363">
    <w:name w:val="reader-word-layer reader-word-s1-18 reader-word-s1-4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64">
    <w:name w:val="xl155"/>
    <w:basedOn w:val="1"/>
    <w:autoRedefine/>
    <w:qFormat/>
    <w:uiPriority w:val="0"/>
    <w:pPr>
      <w:widowControl/>
      <w:pBdr>
        <w:left w:val="single" w:color="auto" w:sz="8" w:space="0"/>
      </w:pBdr>
      <w:shd w:val="clear" w:color="auto" w:fill="FFFFFF"/>
      <w:spacing w:before="100" w:beforeAutospacing="1" w:after="100" w:afterAutospacing="1"/>
      <w:jc w:val="left"/>
    </w:pPr>
    <w:rPr>
      <w:rFonts w:ascii="宋体"/>
      <w:color w:val="000000"/>
      <w:kern w:val="0"/>
      <w:sz w:val="16"/>
      <w:szCs w:val="16"/>
    </w:rPr>
  </w:style>
  <w:style w:type="paragraph" w:customStyle="1" w:styleId="1365">
    <w:name w:val="项目正文1"/>
    <w:basedOn w:val="1"/>
    <w:autoRedefine/>
    <w:qFormat/>
    <w:uiPriority w:val="0"/>
    <w:pPr>
      <w:tabs>
        <w:tab w:val="left" w:pos="420"/>
        <w:tab w:val="left" w:pos="992"/>
      </w:tabs>
      <w:adjustRightInd w:val="0"/>
      <w:spacing w:line="400" w:lineRule="exact"/>
      <w:ind w:left="420" w:firstLine="200"/>
      <w:textAlignment w:val="baseline"/>
    </w:pPr>
    <w:rPr>
      <w:rFonts w:ascii="宋体"/>
      <w:spacing w:val="30"/>
      <w:kern w:val="0"/>
      <w:sz w:val="24"/>
      <w:szCs w:val="20"/>
    </w:rPr>
  </w:style>
  <w:style w:type="paragraph" w:customStyle="1" w:styleId="1366">
    <w:name w:val="普通(Web)"/>
    <w:basedOn w:val="1"/>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1367">
    <w:name w:val="修订1"/>
    <w:autoRedefine/>
    <w:qFormat/>
    <w:uiPriority w:val="0"/>
    <w:rPr>
      <w:rFonts w:ascii="Times New Roman" w:hAnsi="Times New Roman" w:eastAsia="楷体_GB2312" w:cs="Times New Roman"/>
      <w:spacing w:val="8"/>
      <w:sz w:val="28"/>
      <w:lang w:val="en-US" w:eastAsia="zh-CN" w:bidi="ar-SA"/>
    </w:rPr>
  </w:style>
  <w:style w:type="paragraph" w:customStyle="1" w:styleId="1368">
    <w:name w:val="xl110"/>
    <w:basedOn w:val="1"/>
    <w:autoRedefine/>
    <w:qFormat/>
    <w:uiPriority w:val="0"/>
    <w:pPr>
      <w:widowControl/>
      <w:shd w:val="clear" w:color="auto" w:fill="FFFFFF"/>
      <w:spacing w:before="100" w:beforeAutospacing="1" w:after="100" w:afterAutospacing="1"/>
      <w:jc w:val="left"/>
    </w:pPr>
    <w:rPr>
      <w:rFonts w:ascii="宋体"/>
      <w:color w:val="FF0000"/>
      <w:kern w:val="0"/>
      <w:sz w:val="20"/>
      <w:szCs w:val="20"/>
    </w:rPr>
  </w:style>
  <w:style w:type="paragraph" w:customStyle="1" w:styleId="1369">
    <w:name w:val="xl162"/>
    <w:basedOn w:val="1"/>
    <w:autoRedefine/>
    <w:qFormat/>
    <w:uiPriority w:val="0"/>
    <w:pPr>
      <w:widowControl/>
      <w:shd w:val="clear" w:color="auto" w:fill="FFFFFF"/>
      <w:spacing w:before="100" w:beforeAutospacing="1" w:after="100" w:afterAutospacing="1"/>
      <w:jc w:val="center"/>
    </w:pPr>
    <w:rPr>
      <w:rFonts w:ascii="宋体" w:hAnsi="宋体" w:cs="宋体"/>
      <w:b/>
      <w:bCs/>
      <w:kern w:val="0"/>
      <w:sz w:val="20"/>
      <w:szCs w:val="20"/>
    </w:rPr>
  </w:style>
  <w:style w:type="paragraph" w:customStyle="1" w:styleId="1370">
    <w:name w:val="五级条标题"/>
    <w:basedOn w:val="1149"/>
    <w:next w:val="1"/>
    <w:autoRedefine/>
    <w:qFormat/>
    <w:uiPriority w:val="0"/>
    <w:pPr>
      <w:tabs>
        <w:tab w:val="left" w:pos="1296"/>
        <w:tab w:val="left" w:pos="3420"/>
        <w:tab w:val="clear" w:pos="1152"/>
        <w:tab w:val="clear" w:pos="3000"/>
      </w:tabs>
      <w:ind w:left="1296" w:hanging="1296"/>
      <w:outlineLvl w:val="6"/>
    </w:pPr>
  </w:style>
  <w:style w:type="paragraph" w:customStyle="1" w:styleId="1371">
    <w:name w:val="section1"/>
    <w:basedOn w:val="1"/>
    <w:autoRedefine/>
    <w:qFormat/>
    <w:uiPriority w:val="0"/>
    <w:pPr>
      <w:widowControl/>
      <w:spacing w:before="100" w:beforeAutospacing="1" w:after="100" w:afterAutospacing="1" w:line="360" w:lineRule="auto"/>
      <w:ind w:firstLine="200" w:firstLineChars="200"/>
      <w:jc w:val="left"/>
    </w:pPr>
    <w:rPr>
      <w:rFonts w:ascii="宋体" w:hAnsi="宋体" w:cs="宋体"/>
      <w:kern w:val="0"/>
      <w:sz w:val="24"/>
    </w:rPr>
  </w:style>
  <w:style w:type="paragraph" w:customStyle="1" w:styleId="1372">
    <w:name w:val="c_adbook_t"/>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hAnsi="宋体" w:cs="宋体"/>
      <w:spacing w:val="30"/>
      <w:kern w:val="0"/>
      <w:sz w:val="24"/>
      <w:szCs w:val="20"/>
    </w:rPr>
  </w:style>
  <w:style w:type="paragraph" w:customStyle="1" w:styleId="1373">
    <w:name w:val="CM39"/>
    <w:basedOn w:val="112"/>
    <w:next w:val="112"/>
    <w:autoRedefine/>
    <w:qFormat/>
    <w:uiPriority w:val="0"/>
    <w:pPr>
      <w:spacing w:line="468" w:lineRule="atLeast"/>
    </w:pPr>
    <w:rPr>
      <w:rFonts w:ascii="宋体" w:eastAsia="宋体" w:cs="Times New Roman"/>
      <w:color w:val="auto"/>
    </w:rPr>
  </w:style>
  <w:style w:type="paragraph" w:customStyle="1" w:styleId="1374">
    <w:name w:val="xl120"/>
    <w:basedOn w:val="1"/>
    <w:autoRedefine/>
    <w:qFormat/>
    <w:uiPriority w:val="0"/>
    <w:pPr>
      <w:widowControl/>
      <w:shd w:val="clear" w:color="auto" w:fill="FFFFFF"/>
      <w:spacing w:before="100" w:beforeAutospacing="1" w:after="100" w:afterAutospacing="1"/>
      <w:jc w:val="left"/>
    </w:pPr>
    <w:rPr>
      <w:rFonts w:ascii="宋体"/>
      <w:b/>
      <w:bCs/>
      <w:color w:val="0000FF"/>
      <w:kern w:val="0"/>
      <w:sz w:val="18"/>
      <w:szCs w:val="18"/>
    </w:rPr>
  </w:style>
  <w:style w:type="paragraph" w:customStyle="1" w:styleId="1375">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1376">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377">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1378">
    <w:name w:val="样式 标题 2 + 段前: 0.5 行 段后: 0.5 行"/>
    <w:basedOn w:val="4"/>
    <w:autoRedefine/>
    <w:qFormat/>
    <w:uiPriority w:val="0"/>
    <w:pPr>
      <w:tabs>
        <w:tab w:val="left" w:pos="576"/>
      </w:tabs>
      <w:adjustRightInd/>
      <w:spacing w:before="312" w:beforeLines="100" w:after="312" w:afterLines="100" w:line="240" w:lineRule="auto"/>
      <w:ind w:left="576" w:hanging="576"/>
      <w:textAlignment w:val="auto"/>
    </w:pPr>
    <w:rPr>
      <w:rFonts w:ascii="宋体" w:hAnsi="宋体" w:eastAsia="宋体" w:cs="楷体_GB2312"/>
      <w:bCs/>
      <w:sz w:val="36"/>
    </w:rPr>
  </w:style>
  <w:style w:type="paragraph" w:customStyle="1" w:styleId="1379">
    <w:name w:val="CM85"/>
    <w:basedOn w:val="112"/>
    <w:next w:val="112"/>
    <w:autoRedefine/>
    <w:qFormat/>
    <w:uiPriority w:val="0"/>
    <w:rPr>
      <w:rFonts w:ascii="宋体" w:eastAsia="宋体" w:cs="Times New Roman"/>
      <w:color w:val="auto"/>
    </w:rPr>
  </w:style>
  <w:style w:type="paragraph" w:customStyle="1" w:styleId="1380">
    <w:name w:val="字元 字元2"/>
    <w:basedOn w:val="1"/>
    <w:autoRedefine/>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1381">
    <w:name w:val="xl132"/>
    <w:basedOn w:val="1"/>
    <w:autoRedefine/>
    <w:qFormat/>
    <w:uiPriority w:val="0"/>
    <w:pPr>
      <w:widowControl/>
      <w:shd w:val="clear" w:color="auto" w:fill="FFFFFF"/>
      <w:spacing w:before="100" w:beforeAutospacing="1" w:after="100" w:afterAutospacing="1"/>
      <w:jc w:val="center"/>
      <w:textAlignment w:val="center"/>
    </w:pPr>
    <w:rPr>
      <w:rFonts w:ascii="宋体"/>
      <w:kern w:val="0"/>
      <w:sz w:val="20"/>
      <w:szCs w:val="20"/>
    </w:rPr>
  </w:style>
  <w:style w:type="paragraph" w:customStyle="1" w:styleId="1382">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83">
    <w:name w:val="abstracts"/>
    <w:basedOn w:val="1"/>
    <w:autoRedefine/>
    <w:qFormat/>
    <w:uiPriority w:val="0"/>
    <w:pPr>
      <w:widowControl/>
      <w:spacing w:before="204" w:after="136" w:line="360" w:lineRule="auto"/>
      <w:ind w:right="136" w:firstLine="480"/>
      <w:jc w:val="left"/>
    </w:pPr>
    <w:rPr>
      <w:rFonts w:ascii="宋体" w:hAnsi="宋体" w:cs="宋体"/>
      <w:kern w:val="0"/>
      <w:sz w:val="24"/>
    </w:rPr>
  </w:style>
  <w:style w:type="paragraph" w:customStyle="1" w:styleId="1384">
    <w:name w:val="title_show"/>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hAnsi="宋体" w:cs="宋体"/>
      <w:color w:val="000000"/>
      <w:spacing w:val="30"/>
      <w:kern w:val="0"/>
      <w:sz w:val="24"/>
    </w:rPr>
  </w:style>
  <w:style w:type="paragraph" w:customStyle="1" w:styleId="1385">
    <w:name w:val="文档正文"/>
    <w:basedOn w:val="1"/>
    <w:autoRedefine/>
    <w:qFormat/>
    <w:uiPriority w:val="0"/>
    <w:pPr>
      <w:adjustRightInd w:val="0"/>
      <w:spacing w:line="480" w:lineRule="atLeast"/>
      <w:ind w:firstLine="567"/>
      <w:textAlignment w:val="baseline"/>
    </w:pPr>
    <w:rPr>
      <w:rFonts w:ascii="宋体"/>
      <w:spacing w:val="30"/>
      <w:kern w:val="0"/>
      <w:sz w:val="24"/>
      <w:szCs w:val="20"/>
    </w:rPr>
  </w:style>
  <w:style w:type="paragraph" w:customStyle="1" w:styleId="1386">
    <w:name w:val="章节标题"/>
    <w:next w:val="3"/>
    <w:autoRedefine/>
    <w:qFormat/>
    <w:uiPriority w:val="0"/>
    <w:pPr>
      <w:adjustRightInd w:val="0"/>
      <w:spacing w:line="360" w:lineRule="auto"/>
      <w:jc w:val="center"/>
    </w:pPr>
    <w:rPr>
      <w:rFonts w:ascii="Times New Roman" w:hAnsi="Times New Roman" w:eastAsia="宋体" w:cs="Times New Roman"/>
      <w:b/>
      <w:sz w:val="36"/>
      <w:szCs w:val="36"/>
      <w:lang w:val="de-DE" w:eastAsia="zh-CN" w:bidi="ar-SA"/>
    </w:rPr>
  </w:style>
  <w:style w:type="paragraph" w:customStyle="1" w:styleId="1387">
    <w:name w:val="Char3 Char Char Char Char Char Char1 Char Char Char Char Char Char Char Char Char1 Char Char Char2"/>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388">
    <w:name w:val="Char Char Char Char Char Char Char Char Char Char Char Char Char Char Char Char Char Char Char Char Char Char"/>
    <w:basedOn w:val="1"/>
    <w:autoRedefine/>
    <w:qFormat/>
    <w:uiPriority w:val="0"/>
    <w:pPr>
      <w:adjustRightInd w:val="0"/>
      <w:spacing w:line="240" w:lineRule="exact"/>
      <w:ind w:firstLine="200" w:firstLineChars="200"/>
      <w:textAlignment w:val="baseline"/>
    </w:pPr>
    <w:rPr>
      <w:rFonts w:ascii="宋体"/>
      <w:spacing w:val="30"/>
      <w:kern w:val="0"/>
      <w:sz w:val="24"/>
      <w:szCs w:val="28"/>
    </w:rPr>
  </w:style>
  <w:style w:type="paragraph" w:customStyle="1" w:styleId="1389">
    <w:name w:val="xl134"/>
    <w:basedOn w:val="1"/>
    <w:autoRedefine/>
    <w:qFormat/>
    <w:uiPriority w:val="0"/>
    <w:pPr>
      <w:widowControl/>
      <w:shd w:val="clear" w:color="auto" w:fill="FFFFFF"/>
      <w:spacing w:before="100" w:beforeAutospacing="1" w:after="100" w:afterAutospacing="1"/>
      <w:jc w:val="left"/>
    </w:pPr>
    <w:rPr>
      <w:rFonts w:ascii="宋体"/>
      <w:color w:val="000000"/>
      <w:kern w:val="0"/>
      <w:sz w:val="16"/>
      <w:szCs w:val="16"/>
    </w:rPr>
  </w:style>
  <w:style w:type="paragraph" w:customStyle="1" w:styleId="1390">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宋体"/>
      <w:kern w:val="0"/>
      <w:sz w:val="20"/>
      <w:szCs w:val="20"/>
    </w:rPr>
  </w:style>
  <w:style w:type="paragraph" w:customStyle="1" w:styleId="1391">
    <w:name w:val="xl54"/>
    <w:basedOn w:val="1"/>
    <w:autoRedefine/>
    <w:qFormat/>
    <w:uiPriority w:val="0"/>
    <w:pPr>
      <w:widowControl/>
      <w:shd w:val="clear" w:color="auto" w:fill="FFFFFF"/>
      <w:adjustRightInd w:val="0"/>
      <w:spacing w:before="100" w:beforeAutospacing="1" w:after="100" w:afterAutospacing="1" w:line="400" w:lineRule="exact"/>
      <w:ind w:firstLine="601"/>
      <w:jc w:val="left"/>
      <w:textAlignment w:val="baseline"/>
    </w:pPr>
    <w:rPr>
      <w:rFonts w:hint="eastAsia" w:ascii="宋体" w:hAnsi="宋体"/>
      <w:spacing w:val="30"/>
      <w:kern w:val="0"/>
      <w:sz w:val="20"/>
      <w:szCs w:val="20"/>
    </w:rPr>
  </w:style>
  <w:style w:type="paragraph" w:customStyle="1" w:styleId="1392">
    <w:name w:val="样式 四号"/>
    <w:basedOn w:val="1"/>
    <w:autoRedefine/>
    <w:qFormat/>
    <w:uiPriority w:val="0"/>
    <w:pPr>
      <w:adjustRightInd w:val="0"/>
      <w:spacing w:line="520" w:lineRule="exact"/>
      <w:ind w:firstLine="200" w:firstLineChars="200"/>
      <w:textAlignment w:val="baseline"/>
    </w:pPr>
    <w:rPr>
      <w:rFonts w:ascii="宋体" w:cs="宋体"/>
      <w:spacing w:val="30"/>
      <w:kern w:val="0"/>
      <w:sz w:val="24"/>
      <w:szCs w:val="20"/>
    </w:rPr>
  </w:style>
  <w:style w:type="paragraph" w:customStyle="1" w:styleId="1393">
    <w:name w:val="封面项目名称"/>
    <w:basedOn w:val="1"/>
    <w:next w:val="1"/>
    <w:autoRedefine/>
    <w:qFormat/>
    <w:uiPriority w:val="0"/>
    <w:pPr>
      <w:adjustRightInd w:val="0"/>
      <w:snapToGrid w:val="0"/>
      <w:spacing w:line="480" w:lineRule="exact"/>
      <w:ind w:firstLine="567"/>
      <w:jc w:val="center"/>
    </w:pPr>
    <w:rPr>
      <w:rFonts w:ascii="黑体" w:eastAsia="黑体"/>
      <w:sz w:val="44"/>
      <w:szCs w:val="20"/>
    </w:rPr>
  </w:style>
  <w:style w:type="paragraph" w:customStyle="1" w:styleId="1394">
    <w:name w:val="xl38"/>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400" w:lineRule="exact"/>
      <w:ind w:firstLine="601"/>
      <w:jc w:val="right"/>
      <w:textAlignment w:val="baseline"/>
    </w:pPr>
    <w:rPr>
      <w:rFonts w:ascii="Arial Unicode MS" w:hAnsi="Arial Unicode MS" w:eastAsia="Arial Unicode MS"/>
      <w:spacing w:val="30"/>
      <w:kern w:val="0"/>
      <w:sz w:val="20"/>
      <w:szCs w:val="20"/>
    </w:rPr>
  </w:style>
  <w:style w:type="paragraph" w:customStyle="1" w:styleId="1395">
    <w:name w:val="Date2"/>
    <w:basedOn w:val="1"/>
    <w:next w:val="1"/>
    <w:autoRedefine/>
    <w:qFormat/>
    <w:uiPriority w:val="0"/>
    <w:pPr>
      <w:autoSpaceDE w:val="0"/>
      <w:autoSpaceDN w:val="0"/>
      <w:adjustRightInd w:val="0"/>
      <w:spacing w:line="440" w:lineRule="exact"/>
      <w:ind w:left="100" w:firstLine="200" w:firstLineChars="200"/>
      <w:textAlignment w:val="baseline"/>
    </w:pPr>
    <w:rPr>
      <w:rFonts w:ascii="宋体" w:hAnsi="Tms Rmn"/>
      <w:spacing w:val="4"/>
      <w:kern w:val="0"/>
      <w:sz w:val="24"/>
      <w:szCs w:val="20"/>
    </w:rPr>
  </w:style>
  <w:style w:type="paragraph" w:customStyle="1" w:styleId="1396">
    <w:name w:val="Char2 Char Char Char"/>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397">
    <w:name w:val="spanlist"/>
    <w:basedOn w:val="1"/>
    <w:autoRedefine/>
    <w:qFormat/>
    <w:uiPriority w:val="0"/>
    <w:pPr>
      <w:widowControl/>
      <w:spacing w:before="100" w:beforeAutospacing="1" w:after="100" w:afterAutospacing="1" w:line="360" w:lineRule="auto"/>
      <w:ind w:firstLine="480"/>
      <w:jc w:val="left"/>
    </w:pPr>
    <w:rPr>
      <w:rFonts w:ascii="ˎ̥" w:hAnsi="ˎ̥" w:cs="宋体"/>
      <w:kern w:val="0"/>
      <w:sz w:val="20"/>
      <w:szCs w:val="20"/>
    </w:rPr>
  </w:style>
  <w:style w:type="paragraph" w:customStyle="1" w:styleId="1398">
    <w:name w:val="CM27"/>
    <w:basedOn w:val="112"/>
    <w:next w:val="112"/>
    <w:autoRedefine/>
    <w:qFormat/>
    <w:uiPriority w:val="0"/>
    <w:pPr>
      <w:spacing w:after="328"/>
    </w:pPr>
    <w:rPr>
      <w:rFonts w:ascii="Helvetica" w:hAnsi="Helvetica" w:eastAsia="宋体" w:cs="Helvetica"/>
      <w:color w:val="auto"/>
    </w:rPr>
  </w:style>
  <w:style w:type="paragraph" w:customStyle="1" w:styleId="1399">
    <w:name w:val="Char"/>
    <w:basedOn w:val="1"/>
    <w:autoRedefine/>
    <w:qFormat/>
    <w:uiPriority w:val="0"/>
    <w:rPr>
      <w:sz w:val="24"/>
    </w:rPr>
  </w:style>
  <w:style w:type="paragraph" w:customStyle="1" w:styleId="1400">
    <w:name w:val="CM11"/>
    <w:basedOn w:val="112"/>
    <w:next w:val="112"/>
    <w:autoRedefine/>
    <w:qFormat/>
    <w:uiPriority w:val="0"/>
    <w:pPr>
      <w:spacing w:line="468" w:lineRule="atLeast"/>
    </w:pPr>
    <w:rPr>
      <w:rFonts w:ascii="宋体" w:eastAsia="宋体" w:cs="Times New Roman"/>
      <w:color w:val="auto"/>
    </w:rPr>
  </w:style>
  <w:style w:type="paragraph" w:customStyle="1" w:styleId="1401">
    <w:name w:val="表前文字"/>
    <w:basedOn w:val="1"/>
    <w:autoRedefine/>
    <w:qFormat/>
    <w:uiPriority w:val="0"/>
    <w:pPr>
      <w:adjustRightInd w:val="0"/>
      <w:spacing w:line="400" w:lineRule="exact"/>
      <w:ind w:right="-84" w:rightChars="-40" w:firstLine="601"/>
      <w:jc w:val="center"/>
      <w:textAlignment w:val="baseline"/>
    </w:pPr>
    <w:rPr>
      <w:rFonts w:ascii="宋体" w:hAnsi="宋体"/>
      <w:spacing w:val="30"/>
      <w:kern w:val="0"/>
      <w:sz w:val="24"/>
      <w:szCs w:val="21"/>
    </w:rPr>
  </w:style>
  <w:style w:type="paragraph" w:customStyle="1" w:styleId="1402">
    <w:name w:val="标书正文"/>
    <w:basedOn w:val="1"/>
    <w:autoRedefine/>
    <w:qFormat/>
    <w:uiPriority w:val="0"/>
    <w:pPr>
      <w:spacing w:before="156" w:beforeLines="50" w:after="156" w:afterLines="50"/>
      <w:ind w:firstLine="200" w:firstLineChars="200"/>
    </w:pPr>
    <w:rPr>
      <w:rFonts w:ascii="宋体"/>
      <w:sz w:val="24"/>
    </w:rPr>
  </w:style>
  <w:style w:type="paragraph" w:customStyle="1" w:styleId="1403">
    <w:name w:val="样式 样式 标题 1 + 段前: 0 磅 段后: 0 磅 行距: 1.5 倍行距 + 段前: 7.8 磅 段后: 7.8 磅"/>
    <w:basedOn w:val="1"/>
    <w:autoRedefine/>
    <w:qFormat/>
    <w:uiPriority w:val="0"/>
    <w:pPr>
      <w:keepNext/>
      <w:keepLines/>
      <w:adjustRightInd w:val="0"/>
      <w:spacing w:before="156" w:after="156" w:line="480" w:lineRule="auto"/>
      <w:ind w:firstLine="601"/>
      <w:jc w:val="center"/>
      <w:textAlignment w:val="baseline"/>
      <w:outlineLvl w:val="0"/>
    </w:pPr>
    <w:rPr>
      <w:rFonts w:ascii="宋体" w:cs="宋体"/>
      <w:b/>
      <w:bCs/>
      <w:spacing w:val="30"/>
      <w:kern w:val="44"/>
      <w:sz w:val="32"/>
      <w:szCs w:val="20"/>
    </w:rPr>
  </w:style>
  <w:style w:type="paragraph" w:customStyle="1" w:styleId="1404">
    <w:name w:val="Char Char Char1 Char Char Char Char1"/>
    <w:basedOn w:val="1"/>
    <w:autoRedefine/>
    <w:qFormat/>
    <w:uiPriority w:val="0"/>
    <w:pPr>
      <w:adjustRightInd w:val="0"/>
      <w:spacing w:line="400" w:lineRule="exact"/>
      <w:ind w:firstLine="601"/>
      <w:textAlignment w:val="baseline"/>
    </w:pPr>
    <w:rPr>
      <w:rFonts w:ascii="宋体" w:hAnsi="宋体" w:cs="Courier New"/>
      <w:spacing w:val="30"/>
      <w:kern w:val="0"/>
      <w:sz w:val="32"/>
      <w:szCs w:val="32"/>
    </w:rPr>
  </w:style>
  <w:style w:type="paragraph" w:customStyle="1" w:styleId="1405">
    <w:name w:val="Char3 Char Char 字元"/>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406">
    <w:name w:val="标题x"/>
    <w:basedOn w:val="4"/>
    <w:autoRedefine/>
    <w:qFormat/>
    <w:uiPriority w:val="0"/>
    <w:pPr>
      <w:keepLines w:val="0"/>
      <w:spacing w:before="120" w:after="240" w:line="400" w:lineRule="exact"/>
      <w:ind w:left="0"/>
      <w:jc w:val="both"/>
    </w:pPr>
    <w:rPr>
      <w:rFonts w:ascii="文鼎CS大宋" w:hAnsi="Arial Rounded MT Bold" w:eastAsia="文鼎CS大宋"/>
      <w:b w:val="0"/>
      <w:bCs/>
      <w:spacing w:val="40"/>
      <w:kern w:val="0"/>
      <w:sz w:val="36"/>
    </w:rPr>
  </w:style>
  <w:style w:type="paragraph" w:customStyle="1" w:styleId="1407">
    <w:name w:val="reader-word-layer reader-word-s1-3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408">
    <w:name w:val="字元 字元5"/>
    <w:basedOn w:val="1"/>
    <w:autoRedefine/>
    <w:qFormat/>
    <w:uiPriority w:val="0"/>
    <w:pPr>
      <w:adjustRightInd w:val="0"/>
      <w:snapToGrid w:val="0"/>
      <w:spacing w:line="360" w:lineRule="auto"/>
      <w:ind w:firstLine="200" w:firstLineChars="200"/>
      <w:textAlignment w:val="baseline"/>
    </w:pPr>
    <w:rPr>
      <w:rFonts w:ascii="宋体" w:eastAsia="仿宋_GB2312"/>
      <w:spacing w:val="30"/>
      <w:kern w:val="0"/>
      <w:sz w:val="24"/>
    </w:rPr>
  </w:style>
  <w:style w:type="paragraph" w:customStyle="1" w:styleId="1409">
    <w:name w:val="Char3 Char Char Char Char Char Char1 Char Char Char Char Char Char1"/>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410">
    <w:name w:val="正文3"/>
    <w:autoRedefine/>
    <w:qFormat/>
    <w:uiPriority w:val="0"/>
    <w:pPr>
      <w:autoSpaceDE w:val="0"/>
      <w:autoSpaceDN w:val="0"/>
      <w:adjustRightInd w:val="0"/>
      <w:spacing w:line="360" w:lineRule="atLeast"/>
      <w:ind w:firstLine="539"/>
      <w:jc w:val="both"/>
      <w:textAlignment w:val="bottom"/>
    </w:pPr>
    <w:rPr>
      <w:rFonts w:ascii="宋体" w:hAnsi="Times New Roman" w:eastAsia="宋体" w:cs="Times New Roman"/>
      <w:spacing w:val="30"/>
      <w:sz w:val="24"/>
      <w:lang w:val="en-US" w:eastAsia="zh-CN" w:bidi="ar-SA"/>
    </w:rPr>
  </w:style>
  <w:style w:type="paragraph" w:customStyle="1" w:styleId="1411">
    <w:name w:val="字元 字元1 字元"/>
    <w:basedOn w:val="1"/>
    <w:autoRedefine/>
    <w:qFormat/>
    <w:uiPriority w:val="0"/>
    <w:pPr>
      <w:adjustRightInd w:val="0"/>
      <w:spacing w:line="400" w:lineRule="exact"/>
      <w:ind w:firstLine="200" w:firstLineChars="200"/>
      <w:textAlignment w:val="baseline"/>
    </w:pPr>
    <w:rPr>
      <w:rFonts w:ascii="宋体"/>
      <w:spacing w:val="30"/>
      <w:kern w:val="0"/>
      <w:sz w:val="24"/>
      <w:szCs w:val="28"/>
    </w:rPr>
  </w:style>
  <w:style w:type="paragraph" w:customStyle="1" w:styleId="1412">
    <w:name w:val="reader-word-layer reader-word-s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413">
    <w:name w:val="标题 4PIM 4h4第三层条标题 4 Char Char Char Char CharH4bulletbl...1"/>
    <w:basedOn w:val="6"/>
    <w:autoRedefine/>
    <w:qFormat/>
    <w:uiPriority w:val="0"/>
    <w:pPr>
      <w:keepNext w:val="0"/>
      <w:keepLines w:val="0"/>
      <w:spacing w:before="0" w:after="0" w:line="360" w:lineRule="auto"/>
      <w:ind w:left="0" w:firstLine="567"/>
    </w:pPr>
    <w:rPr>
      <w:rFonts w:ascii="仿宋_GB2312" w:hAnsi="仿宋_GB2312" w:eastAsia="仿宋_GB2312"/>
      <w:b w:val="0"/>
    </w:rPr>
  </w:style>
  <w:style w:type="paragraph" w:customStyle="1" w:styleId="1414">
    <w:name w:val="Char Char Char Char Char Char Char Char Char1 Char Char Char Char Char Char Char Char Char Char Char Char Char"/>
    <w:basedOn w:val="3"/>
    <w:autoRedefine/>
    <w:qFormat/>
    <w:uiPriority w:val="0"/>
    <w:pPr>
      <w:snapToGrid w:val="0"/>
      <w:spacing w:before="240" w:after="240" w:line="348" w:lineRule="auto"/>
    </w:pPr>
    <w:rPr>
      <w:rFonts w:ascii="Tahoma" w:hAnsi="Tahoma"/>
      <w:bCs/>
      <w:kern w:val="2"/>
      <w:sz w:val="24"/>
      <w:szCs w:val="28"/>
    </w:rPr>
  </w:style>
  <w:style w:type="paragraph" w:customStyle="1" w:styleId="1415">
    <w:name w:val="Char41"/>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416">
    <w:name w:val="pic-info"/>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417">
    <w:name w:val="表格03"/>
    <w:basedOn w:val="1"/>
    <w:autoRedefine/>
    <w:qFormat/>
    <w:uiPriority w:val="0"/>
    <w:pPr>
      <w:adjustRightInd w:val="0"/>
      <w:spacing w:line="400" w:lineRule="exact"/>
      <w:ind w:firstLine="601"/>
      <w:jc w:val="center"/>
      <w:textAlignment w:val="baseline"/>
    </w:pPr>
    <w:rPr>
      <w:rFonts w:ascii="宋体"/>
      <w:spacing w:val="30"/>
      <w:kern w:val="0"/>
      <w:sz w:val="24"/>
      <w:szCs w:val="21"/>
    </w:rPr>
  </w:style>
  <w:style w:type="paragraph" w:customStyle="1" w:styleId="1418">
    <w:name w:val="xl108"/>
    <w:basedOn w:val="1"/>
    <w:autoRedefine/>
    <w:qFormat/>
    <w:uiPriority w:val="0"/>
    <w:pPr>
      <w:widowControl/>
      <w:shd w:val="clear" w:color="auto" w:fill="FFFFFF"/>
      <w:spacing w:before="100" w:beforeAutospacing="1" w:after="100" w:afterAutospacing="1"/>
      <w:jc w:val="left"/>
    </w:pPr>
    <w:rPr>
      <w:rFonts w:ascii="宋体"/>
      <w:b/>
      <w:bCs/>
      <w:kern w:val="0"/>
      <w:sz w:val="20"/>
      <w:szCs w:val="20"/>
    </w:rPr>
  </w:style>
  <w:style w:type="paragraph" w:customStyle="1" w:styleId="1419">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宋体"/>
      <w:kern w:val="0"/>
      <w:sz w:val="20"/>
      <w:szCs w:val="20"/>
    </w:rPr>
  </w:style>
  <w:style w:type="paragraph" w:customStyle="1" w:styleId="1420">
    <w:name w:val="正文编号"/>
    <w:basedOn w:val="1"/>
    <w:autoRedefine/>
    <w:qFormat/>
    <w:uiPriority w:val="0"/>
    <w:pPr>
      <w:tabs>
        <w:tab w:val="left" w:pos="432"/>
        <w:tab w:val="left" w:pos="720"/>
      </w:tabs>
      <w:adjustRightInd w:val="0"/>
      <w:spacing w:line="400" w:lineRule="exact"/>
      <w:ind w:left="432" w:hanging="432"/>
      <w:textAlignment w:val="baseline"/>
    </w:pPr>
    <w:rPr>
      <w:rFonts w:ascii="宋体"/>
      <w:spacing w:val="30"/>
      <w:kern w:val="0"/>
      <w:sz w:val="24"/>
      <w:szCs w:val="20"/>
    </w:rPr>
  </w:style>
  <w:style w:type="paragraph" w:customStyle="1" w:styleId="1421">
    <w:name w:val="Char7"/>
    <w:basedOn w:val="1"/>
    <w:autoRedefine/>
    <w:qFormat/>
    <w:uiPriority w:val="0"/>
    <w:rPr>
      <w:rFonts w:ascii="宋体"/>
      <w:sz w:val="24"/>
    </w:rPr>
  </w:style>
  <w:style w:type="paragraph" w:customStyle="1" w:styleId="1422">
    <w:name w:val="图表名称"/>
    <w:basedOn w:val="1"/>
    <w:next w:val="1"/>
    <w:autoRedefine/>
    <w:qFormat/>
    <w:uiPriority w:val="0"/>
    <w:pPr>
      <w:snapToGrid w:val="0"/>
      <w:spacing w:line="360" w:lineRule="auto"/>
      <w:jc w:val="center"/>
    </w:pPr>
    <w:rPr>
      <w:rFonts w:ascii="宋体" w:hAnsi="宋体"/>
      <w:snapToGrid w:val="0"/>
      <w:sz w:val="24"/>
      <w:szCs w:val="28"/>
    </w:rPr>
  </w:style>
  <w:style w:type="paragraph" w:customStyle="1" w:styleId="1423">
    <w:name w:val="xl103"/>
    <w:basedOn w:val="1"/>
    <w:autoRedefine/>
    <w:qFormat/>
    <w:uiPriority w:val="0"/>
    <w:pPr>
      <w:widowControl/>
      <w:shd w:val="clear" w:color="auto" w:fill="FFFFFF"/>
      <w:spacing w:before="100" w:beforeAutospacing="1" w:after="100" w:afterAutospacing="1"/>
      <w:jc w:val="left"/>
    </w:pPr>
    <w:rPr>
      <w:rFonts w:ascii="宋体"/>
      <w:color w:val="FF0000"/>
      <w:kern w:val="0"/>
      <w:sz w:val="18"/>
      <w:szCs w:val="18"/>
    </w:rPr>
  </w:style>
  <w:style w:type="paragraph" w:customStyle="1" w:styleId="1424">
    <w:name w:val="字元11"/>
    <w:basedOn w:val="1"/>
    <w:autoRedefine/>
    <w:qFormat/>
    <w:uiPriority w:val="0"/>
    <w:pPr>
      <w:adjustRightInd w:val="0"/>
      <w:spacing w:line="400" w:lineRule="exact"/>
      <w:ind w:firstLine="601"/>
      <w:textAlignment w:val="baseline"/>
    </w:pPr>
    <w:rPr>
      <w:rFonts w:ascii="宋体"/>
      <w:spacing w:val="30"/>
      <w:kern w:val="0"/>
      <w:sz w:val="24"/>
      <w:szCs w:val="21"/>
    </w:rPr>
  </w:style>
  <w:style w:type="paragraph" w:customStyle="1" w:styleId="1425">
    <w:name w:val="5 Char"/>
    <w:basedOn w:val="1"/>
    <w:autoRedefine/>
    <w:qFormat/>
    <w:uiPriority w:val="0"/>
    <w:rPr>
      <w:sz w:val="24"/>
    </w:rPr>
  </w:style>
  <w:style w:type="paragraph" w:customStyle="1" w:styleId="1426">
    <w:name w:val="字元4 Char Char Char Char Char Char"/>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427">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428">
    <w:name w:val="reader-word-layer reader-word-s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429">
    <w:name w:val="Char5"/>
    <w:basedOn w:val="1"/>
    <w:autoRedefine/>
    <w:qFormat/>
    <w:uiPriority w:val="0"/>
    <w:pPr>
      <w:adjustRightInd w:val="0"/>
      <w:spacing w:line="240" w:lineRule="exact"/>
      <w:ind w:firstLine="200" w:firstLineChars="200"/>
      <w:textAlignment w:val="baseline"/>
    </w:pPr>
    <w:rPr>
      <w:rFonts w:ascii="宋体"/>
      <w:spacing w:val="30"/>
      <w:kern w:val="0"/>
      <w:sz w:val="24"/>
      <w:szCs w:val="28"/>
    </w:rPr>
  </w:style>
  <w:style w:type="paragraph" w:customStyle="1" w:styleId="1430">
    <w:name w:val="xl141"/>
    <w:basedOn w:val="1"/>
    <w:autoRedefine/>
    <w:qFormat/>
    <w:uiPriority w:val="0"/>
    <w:pPr>
      <w:widowControl/>
      <w:pBdr>
        <w:right w:val="single" w:color="auto" w:sz="8" w:space="0"/>
      </w:pBdr>
      <w:shd w:val="clear" w:color="auto" w:fill="FFFFFF"/>
      <w:spacing w:before="100" w:beforeAutospacing="1" w:after="100" w:afterAutospacing="1"/>
      <w:jc w:val="left"/>
    </w:pPr>
    <w:rPr>
      <w:rFonts w:ascii="宋体"/>
      <w:kern w:val="0"/>
      <w:sz w:val="18"/>
      <w:szCs w:val="18"/>
      <w:u w:val="single"/>
    </w:rPr>
  </w:style>
  <w:style w:type="paragraph" w:customStyle="1" w:styleId="1431">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color w:val="000000"/>
      <w:kern w:val="0"/>
      <w:sz w:val="24"/>
    </w:rPr>
  </w:style>
  <w:style w:type="paragraph" w:customStyle="1" w:styleId="1432">
    <w:name w:val="字元 字元3"/>
    <w:basedOn w:val="1"/>
    <w:autoRedefine/>
    <w:qFormat/>
    <w:uiPriority w:val="0"/>
    <w:pPr>
      <w:adjustRightInd w:val="0"/>
      <w:snapToGrid w:val="0"/>
      <w:spacing w:line="360" w:lineRule="auto"/>
      <w:ind w:firstLine="200" w:firstLineChars="200"/>
      <w:textAlignment w:val="baseline"/>
    </w:pPr>
    <w:rPr>
      <w:rFonts w:ascii="宋体" w:eastAsia="仿宋_GB2312"/>
      <w:spacing w:val="30"/>
      <w:kern w:val="0"/>
      <w:sz w:val="24"/>
    </w:rPr>
  </w:style>
  <w:style w:type="paragraph" w:customStyle="1" w:styleId="1433">
    <w:name w:val="图表插入"/>
    <w:basedOn w:val="1"/>
    <w:autoRedefine/>
    <w:qFormat/>
    <w:uiPriority w:val="0"/>
    <w:pPr>
      <w:adjustRightInd w:val="0"/>
      <w:spacing w:after="312" w:afterLines="100" w:line="360" w:lineRule="auto"/>
      <w:ind w:firstLine="601"/>
      <w:textAlignment w:val="baseline"/>
    </w:pPr>
    <w:rPr>
      <w:rFonts w:ascii="宋体"/>
      <w:spacing w:val="30"/>
      <w:kern w:val="0"/>
      <w:sz w:val="24"/>
    </w:rPr>
  </w:style>
  <w:style w:type="paragraph" w:customStyle="1" w:styleId="1434">
    <w:name w:val="样式 标题 3 + (西文) Times New Roman (中文) 宋体 小四 加粗"/>
    <w:basedOn w:val="5"/>
    <w:autoRedefine/>
    <w:qFormat/>
    <w:uiPriority w:val="0"/>
    <w:pPr>
      <w:tabs>
        <w:tab w:val="left" w:pos="432"/>
        <w:tab w:val="left" w:pos="1021"/>
        <w:tab w:val="left" w:pos="2126"/>
      </w:tabs>
      <w:adjustRightInd w:val="0"/>
      <w:snapToGrid w:val="0"/>
      <w:spacing w:before="120" w:beforeLines="50" w:after="0" w:line="360" w:lineRule="auto"/>
      <w:ind w:left="432" w:hanging="432"/>
      <w:jc w:val="left"/>
    </w:pPr>
    <w:rPr>
      <w:rFonts w:ascii="宋体" w:hAnsi="宋体" w:eastAsia="宋体" w:cs="Times New Roman"/>
      <w:snapToGrid w:val="0"/>
      <w:sz w:val="28"/>
      <w:szCs w:val="28"/>
    </w:rPr>
  </w:style>
  <w:style w:type="paragraph" w:customStyle="1" w:styleId="1435">
    <w:name w:val="font8"/>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436">
    <w:name w:val="xl4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val="0"/>
      <w:spacing w:before="100" w:beforeAutospacing="1" w:after="100" w:afterAutospacing="1" w:line="400" w:lineRule="exact"/>
      <w:ind w:firstLine="601"/>
      <w:jc w:val="center"/>
      <w:textAlignment w:val="baseline"/>
    </w:pPr>
    <w:rPr>
      <w:rFonts w:ascii="Arial Unicode MS" w:hAnsi="Arial Unicode MS" w:eastAsia="Arial Unicode MS"/>
      <w:color w:val="000000"/>
      <w:spacing w:val="30"/>
      <w:kern w:val="0"/>
      <w:sz w:val="20"/>
      <w:szCs w:val="20"/>
    </w:rPr>
  </w:style>
  <w:style w:type="paragraph" w:customStyle="1" w:styleId="1437">
    <w:name w:val="条目"/>
    <w:basedOn w:val="45"/>
    <w:next w:val="34"/>
    <w:autoRedefine/>
    <w:qFormat/>
    <w:uiPriority w:val="0"/>
    <w:pPr>
      <w:tabs>
        <w:tab w:val="left" w:pos="2660"/>
      </w:tabs>
      <w:adjustRightInd/>
      <w:spacing w:before="0" w:line="240" w:lineRule="auto"/>
      <w:ind w:left="2660" w:hanging="420"/>
      <w:textAlignment w:val="auto"/>
      <w:outlineLvl w:val="4"/>
    </w:pPr>
    <w:rPr>
      <w:rFonts w:ascii="Times New Roman" w:hAnsi="Times New Roman"/>
      <w:spacing w:val="0"/>
      <w:kern w:val="2"/>
      <w:sz w:val="24"/>
      <w:szCs w:val="18"/>
    </w:rPr>
  </w:style>
  <w:style w:type="paragraph" w:customStyle="1" w:styleId="1438">
    <w:name w:val="表格正文4"/>
    <w:basedOn w:val="1"/>
    <w:autoRedefine/>
    <w:qFormat/>
    <w:uiPriority w:val="0"/>
    <w:pPr>
      <w:adjustRightInd w:val="0"/>
      <w:snapToGrid w:val="0"/>
      <w:textAlignment w:val="baseline"/>
    </w:pPr>
    <w:rPr>
      <w:rFonts w:ascii="宋体"/>
      <w:snapToGrid w:val="0"/>
      <w:w w:val="90"/>
      <w:kern w:val="0"/>
      <w:sz w:val="24"/>
    </w:rPr>
  </w:style>
  <w:style w:type="paragraph" w:customStyle="1" w:styleId="1439">
    <w:name w:val="xl62"/>
    <w:basedOn w:val="1"/>
    <w:autoRedefine/>
    <w:qFormat/>
    <w:uiPriority w:val="0"/>
    <w:pPr>
      <w:widowControl/>
      <w:pBdr>
        <w:bottom w:val="single" w:color="auto" w:sz="8" w:space="0"/>
      </w:pBdr>
      <w:adjustRightInd w:val="0"/>
      <w:spacing w:before="100" w:beforeAutospacing="1" w:after="100" w:afterAutospacing="1" w:line="400" w:lineRule="exact"/>
      <w:ind w:firstLine="601"/>
      <w:jc w:val="left"/>
      <w:textAlignment w:val="center"/>
    </w:pPr>
    <w:rPr>
      <w:rFonts w:hint="eastAsia" w:ascii="楷体" w:hAnsi="宋体" w:eastAsia="楷体"/>
      <w:spacing w:val="30"/>
      <w:kern w:val="0"/>
      <w:sz w:val="16"/>
      <w:szCs w:val="16"/>
    </w:rPr>
  </w:style>
  <w:style w:type="paragraph" w:customStyle="1" w:styleId="1440">
    <w:name w:val="news_title"/>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hAnsi="宋体" w:cs="宋体"/>
      <w:b/>
      <w:bCs/>
      <w:spacing w:val="30"/>
      <w:kern w:val="0"/>
      <w:sz w:val="36"/>
      <w:szCs w:val="36"/>
    </w:rPr>
  </w:style>
  <w:style w:type="paragraph" w:customStyle="1" w:styleId="1441">
    <w:name w:val="xl119"/>
    <w:basedOn w:val="1"/>
    <w:autoRedefine/>
    <w:qFormat/>
    <w:uiPriority w:val="0"/>
    <w:pPr>
      <w:widowControl/>
      <w:shd w:val="clear" w:color="auto" w:fill="FFFFFF"/>
      <w:spacing w:before="100" w:beforeAutospacing="1" w:after="100" w:afterAutospacing="1"/>
      <w:jc w:val="center"/>
    </w:pPr>
    <w:rPr>
      <w:rFonts w:ascii="宋体"/>
      <w:kern w:val="0"/>
      <w:sz w:val="18"/>
      <w:szCs w:val="18"/>
    </w:rPr>
  </w:style>
  <w:style w:type="paragraph" w:customStyle="1" w:styleId="1442">
    <w:name w:val="默认段落字体 Para Char Char Char Char Char Char Char Char Char Char Char Char Char"/>
    <w:basedOn w:val="1"/>
    <w:autoRedefine/>
    <w:qFormat/>
    <w:uiPriority w:val="0"/>
    <w:rPr>
      <w:sz w:val="24"/>
    </w:rPr>
  </w:style>
  <w:style w:type="paragraph" w:customStyle="1" w:styleId="1443">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444">
    <w:name w:val="默认段落字体 Para Char Char Char Char Char Char1 Char"/>
    <w:basedOn w:val="1"/>
    <w:autoRedefine/>
    <w:qFormat/>
    <w:uiPriority w:val="0"/>
    <w:pPr>
      <w:adjustRightInd w:val="0"/>
      <w:spacing w:line="312" w:lineRule="atLeast"/>
      <w:textAlignment w:val="baseline"/>
    </w:pPr>
    <w:rPr>
      <w:rFonts w:ascii="宋体"/>
      <w:kern w:val="0"/>
      <w:szCs w:val="20"/>
    </w:rPr>
  </w:style>
  <w:style w:type="paragraph" w:customStyle="1" w:styleId="1445">
    <w:name w:val="Z小小节标题"/>
    <w:basedOn w:val="1446"/>
    <w:autoRedefine/>
    <w:qFormat/>
    <w:uiPriority w:val="0"/>
    <w:pPr>
      <w:tabs>
        <w:tab w:val="left" w:pos="432"/>
      </w:tabs>
      <w:outlineLvl w:val="3"/>
    </w:pPr>
    <w:rPr>
      <w:rFonts w:eastAsia="仿宋_GB2312"/>
    </w:rPr>
  </w:style>
  <w:style w:type="paragraph" w:customStyle="1" w:styleId="1446">
    <w:name w:val="Z小节标题"/>
    <w:basedOn w:val="1235"/>
    <w:next w:val="1"/>
    <w:autoRedefine/>
    <w:qFormat/>
    <w:uiPriority w:val="0"/>
    <w:pPr>
      <w:outlineLvl w:val="2"/>
    </w:pPr>
    <w:rPr>
      <w:sz w:val="30"/>
    </w:rPr>
  </w:style>
  <w:style w:type="paragraph" w:customStyle="1" w:styleId="1447">
    <w:name w:val="font18"/>
    <w:basedOn w:val="1"/>
    <w:autoRedefine/>
    <w:qFormat/>
    <w:uiPriority w:val="0"/>
    <w:pPr>
      <w:widowControl/>
      <w:spacing w:before="100" w:beforeAutospacing="1" w:after="100" w:afterAutospacing="1"/>
      <w:jc w:val="left"/>
    </w:pPr>
    <w:rPr>
      <w:rFonts w:ascii="宋体"/>
      <w:b/>
      <w:bCs/>
      <w:color w:val="0000FF"/>
      <w:kern w:val="0"/>
      <w:sz w:val="24"/>
    </w:rPr>
  </w:style>
  <w:style w:type="paragraph" w:customStyle="1" w:styleId="1448">
    <w:name w:val="标题4n"/>
    <w:basedOn w:val="5"/>
    <w:autoRedefine/>
    <w:qFormat/>
    <w:uiPriority w:val="0"/>
    <w:pPr>
      <w:keepNext w:val="0"/>
      <w:keepLines w:val="0"/>
      <w:tabs>
        <w:tab w:val="left" w:pos="0"/>
        <w:tab w:val="left" w:pos="2126"/>
        <w:tab w:val="left" w:pos="2160"/>
      </w:tabs>
      <w:spacing w:before="0" w:after="0" w:line="360" w:lineRule="auto"/>
      <w:ind w:left="2160" w:hanging="420"/>
    </w:pPr>
    <w:rPr>
      <w:rFonts w:ascii="仿宋_GB2312" w:hAnsi="Arial" w:eastAsia="仿宋_GB2312" w:cs="Times New Roman"/>
      <w:b w:val="0"/>
      <w:sz w:val="28"/>
      <w:szCs w:val="28"/>
    </w:rPr>
  </w:style>
  <w:style w:type="paragraph" w:customStyle="1" w:styleId="1449">
    <w:name w:val="Char3 Char Char Char Char Char Char2"/>
    <w:basedOn w:val="1"/>
    <w:autoRedefine/>
    <w:qFormat/>
    <w:uiPriority w:val="0"/>
    <w:pPr>
      <w:adjustRightInd w:val="0"/>
      <w:spacing w:line="400" w:lineRule="exact"/>
      <w:ind w:firstLine="601"/>
      <w:textAlignment w:val="baseline"/>
    </w:pPr>
    <w:rPr>
      <w:rFonts w:ascii="宋体"/>
      <w:spacing w:val="30"/>
      <w:kern w:val="0"/>
      <w:sz w:val="24"/>
      <w:szCs w:val="20"/>
    </w:rPr>
  </w:style>
  <w:style w:type="paragraph" w:customStyle="1" w:styleId="1450">
    <w:name w:val="1.1"/>
    <w:basedOn w:val="1"/>
    <w:next w:val="1"/>
    <w:autoRedefine/>
    <w:qFormat/>
    <w:uiPriority w:val="0"/>
    <w:pPr>
      <w:snapToGrid w:val="0"/>
      <w:spacing w:line="360" w:lineRule="auto"/>
      <w:ind w:firstLine="200" w:firstLineChars="200"/>
      <w:outlineLvl w:val="1"/>
    </w:pPr>
    <w:rPr>
      <w:rFonts w:ascii="宋体" w:eastAsia="仿宋_GB2312"/>
      <w:sz w:val="24"/>
    </w:rPr>
  </w:style>
  <w:style w:type="paragraph" w:customStyle="1" w:styleId="1451">
    <w:name w:val="InstÀÀll"/>
    <w:autoRedefine/>
    <w:qFormat/>
    <w:uiPriority w:val="0"/>
    <w:pPr>
      <w:tabs>
        <w:tab w:val="left" w:pos="-720"/>
      </w:tabs>
      <w:suppressAutoHyphens/>
      <w:jc w:val="both"/>
    </w:pPr>
    <w:rPr>
      <w:rFonts w:ascii="Courier" w:hAnsi="Courier" w:eastAsia="宋体" w:cs="Times New Roman"/>
      <w:spacing w:val="-3"/>
      <w:sz w:val="24"/>
      <w:lang w:val="en-US" w:eastAsia="zh-CN" w:bidi="ar-SA"/>
    </w:rPr>
  </w:style>
  <w:style w:type="paragraph" w:customStyle="1" w:styleId="1452">
    <w:name w:val="草稿"/>
    <w:basedOn w:val="1"/>
    <w:autoRedefine/>
    <w:qFormat/>
    <w:uiPriority w:val="0"/>
    <w:pPr>
      <w:tabs>
        <w:tab w:val="left" w:pos="5015"/>
      </w:tabs>
      <w:adjustRightInd w:val="0"/>
      <w:ind w:firstLine="500"/>
      <w:textAlignment w:val="baseline"/>
    </w:pPr>
    <w:rPr>
      <w:rFonts w:ascii="宋体"/>
      <w:color w:val="0000FF"/>
      <w:kern w:val="0"/>
      <w:sz w:val="24"/>
      <w:szCs w:val="20"/>
    </w:rPr>
  </w:style>
  <w:style w:type="paragraph" w:customStyle="1" w:styleId="1453">
    <w:name w:val="xl118"/>
    <w:basedOn w:val="1"/>
    <w:autoRedefine/>
    <w:qFormat/>
    <w:uiPriority w:val="0"/>
    <w:pPr>
      <w:widowControl/>
      <w:shd w:val="clear" w:color="auto" w:fill="FFFFFF"/>
      <w:spacing w:before="100" w:beforeAutospacing="1" w:after="100" w:afterAutospacing="1"/>
      <w:jc w:val="center"/>
    </w:pPr>
    <w:rPr>
      <w:rFonts w:ascii="宋体"/>
      <w:kern w:val="0"/>
      <w:sz w:val="18"/>
      <w:szCs w:val="18"/>
    </w:rPr>
  </w:style>
  <w:style w:type="paragraph" w:customStyle="1" w:styleId="1454">
    <w:name w:val="HTML 预设格式1"/>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00" w:lineRule="exact"/>
      <w:ind w:firstLine="601"/>
      <w:jc w:val="left"/>
      <w:textAlignment w:val="baseline"/>
    </w:pPr>
    <w:rPr>
      <w:rFonts w:ascii="黑体" w:hAnsi="Courier New" w:eastAsia="黑体"/>
      <w:spacing w:val="30"/>
      <w:kern w:val="0"/>
      <w:sz w:val="20"/>
      <w:szCs w:val="20"/>
    </w:rPr>
  </w:style>
  <w:style w:type="paragraph" w:customStyle="1" w:styleId="1455">
    <w:name w:val="可研报告"/>
    <w:basedOn w:val="3"/>
    <w:next w:val="4"/>
    <w:autoRedefine/>
    <w:qFormat/>
    <w:uiPriority w:val="0"/>
    <w:pPr>
      <w:spacing w:before="260" w:after="260" w:line="413" w:lineRule="auto"/>
      <w:ind w:left="3960"/>
    </w:pPr>
    <w:rPr>
      <w:rFonts w:ascii="宋体" w:hAnsi="宋体"/>
      <w:bCs/>
      <w:kern w:val="2"/>
      <w:sz w:val="21"/>
      <w:szCs w:val="21"/>
    </w:rPr>
  </w:style>
  <w:style w:type="paragraph" w:customStyle="1" w:styleId="1456">
    <w:name w:val="样式 正文缩进文本条款表正文正文非缩进表格标题正文（首行缩进两字） Char Char Char Char Char ..."/>
    <w:basedOn w:val="21"/>
    <w:autoRedefine/>
    <w:qFormat/>
    <w:uiPriority w:val="0"/>
    <w:pPr>
      <w:snapToGrid w:val="0"/>
      <w:spacing w:line="520" w:lineRule="atLeast"/>
      <w:ind w:firstLine="549"/>
    </w:pPr>
    <w:rPr>
      <w:rFonts w:cs="宋体"/>
      <w:sz w:val="28"/>
      <w:szCs w:val="22"/>
    </w:rPr>
  </w:style>
  <w:style w:type="paragraph" w:customStyle="1" w:styleId="1457">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24"/>
    </w:rPr>
  </w:style>
  <w:style w:type="paragraph" w:customStyle="1" w:styleId="1458">
    <w:name w:val="正文11"/>
    <w:basedOn w:val="1"/>
    <w:autoRedefine/>
    <w:qFormat/>
    <w:uiPriority w:val="0"/>
    <w:pPr>
      <w:pBdr>
        <w:top w:val="single" w:color="auto" w:sz="12" w:space="1"/>
        <w:left w:val="single" w:color="auto" w:sz="12" w:space="1"/>
        <w:bottom w:val="single" w:color="auto" w:sz="12" w:space="1"/>
        <w:right w:val="single" w:color="auto" w:sz="12" w:space="1"/>
      </w:pBdr>
      <w:adjustRightInd w:val="0"/>
      <w:spacing w:after="120" w:line="360" w:lineRule="atLeast"/>
      <w:ind w:right="33" w:firstLine="601"/>
      <w:jc w:val="left"/>
      <w:textAlignment w:val="baseline"/>
    </w:pPr>
    <w:rPr>
      <w:rFonts w:ascii="宋体"/>
      <w:spacing w:val="30"/>
      <w:kern w:val="0"/>
      <w:sz w:val="24"/>
      <w:szCs w:val="20"/>
    </w:rPr>
  </w:style>
  <w:style w:type="paragraph" w:customStyle="1" w:styleId="1459">
    <w:name w:val="正文文本缩进 211"/>
    <w:basedOn w:val="1"/>
    <w:autoRedefine/>
    <w:qFormat/>
    <w:uiPriority w:val="0"/>
    <w:pPr>
      <w:adjustRightInd w:val="0"/>
      <w:ind w:firstLine="705"/>
    </w:pPr>
    <w:rPr>
      <w:rFonts w:ascii="宋体" w:hAnsi="宋体"/>
      <w:kern w:val="1"/>
      <w:sz w:val="24"/>
      <w:szCs w:val="20"/>
    </w:rPr>
  </w:style>
  <w:style w:type="paragraph" w:customStyle="1" w:styleId="1460">
    <w:name w:val="+正文"/>
    <w:basedOn w:val="1"/>
    <w:autoRedefine/>
    <w:qFormat/>
    <w:uiPriority w:val="0"/>
    <w:pPr>
      <w:spacing w:line="360" w:lineRule="auto"/>
      <w:ind w:firstLine="200" w:firstLineChars="200"/>
    </w:pPr>
    <w:rPr>
      <w:rFonts w:ascii="宋体"/>
      <w:sz w:val="24"/>
      <w:szCs w:val="28"/>
    </w:rPr>
  </w:style>
  <w:style w:type="paragraph" w:customStyle="1" w:styleId="1461">
    <w:name w:val="font17"/>
    <w:basedOn w:val="1"/>
    <w:autoRedefine/>
    <w:qFormat/>
    <w:uiPriority w:val="0"/>
    <w:pPr>
      <w:widowControl/>
      <w:spacing w:before="100" w:beforeAutospacing="1" w:after="100" w:afterAutospacing="1"/>
      <w:jc w:val="left"/>
    </w:pPr>
    <w:rPr>
      <w:rFonts w:ascii="宋体" w:hAnsi="宋体" w:cs="宋体"/>
      <w:b/>
      <w:bCs/>
      <w:color w:val="FF00FF"/>
      <w:kern w:val="0"/>
      <w:sz w:val="22"/>
      <w:szCs w:val="22"/>
    </w:rPr>
  </w:style>
  <w:style w:type="paragraph" w:customStyle="1" w:styleId="1462">
    <w:name w:val="价格变化趋2"/>
    <w:basedOn w:val="1"/>
    <w:autoRedefine/>
    <w:qFormat/>
    <w:uiPriority w:val="0"/>
    <w:pPr>
      <w:adjustRightInd w:val="0"/>
      <w:spacing w:line="315" w:lineRule="atLeast"/>
      <w:jc w:val="left"/>
      <w:textAlignment w:val="baseline"/>
    </w:pPr>
    <w:rPr>
      <w:rFonts w:ascii="宋体"/>
      <w:kern w:val="0"/>
      <w:szCs w:val="20"/>
    </w:rPr>
  </w:style>
  <w:style w:type="paragraph" w:customStyle="1" w:styleId="1463">
    <w:name w:val="表格正文"/>
    <w:basedOn w:val="1"/>
    <w:autoRedefine/>
    <w:qFormat/>
    <w:uiPriority w:val="0"/>
    <w:pPr>
      <w:snapToGrid w:val="0"/>
      <w:spacing w:line="320" w:lineRule="exact"/>
      <w:jc w:val="right"/>
    </w:pPr>
    <w:rPr>
      <w:rFonts w:ascii="Dotum" w:hAnsi="Dotum"/>
      <w:szCs w:val="20"/>
    </w:rPr>
  </w:style>
  <w:style w:type="paragraph" w:customStyle="1" w:styleId="1464">
    <w:name w:val="样式 样式 样式 标题 2 + 首行缩进:  2 字符 + 首行缩进:  2 字符1 + 仿宋_GB2312 加粗 首行缩进..."/>
    <w:basedOn w:val="1"/>
    <w:autoRedefine/>
    <w:qFormat/>
    <w:uiPriority w:val="0"/>
    <w:pPr>
      <w:keepLines/>
      <w:spacing w:before="120" w:after="120" w:line="560" w:lineRule="exact"/>
      <w:ind w:firstLine="200" w:firstLineChars="200"/>
      <w:jc w:val="left"/>
      <w:outlineLvl w:val="1"/>
    </w:pPr>
    <w:rPr>
      <w:rFonts w:ascii="宋体" w:eastAsia="文鼎CS大宋"/>
      <w:bCs/>
      <w:color w:val="000000"/>
      <w:spacing w:val="12"/>
      <w:sz w:val="24"/>
      <w:szCs w:val="28"/>
    </w:rPr>
  </w:style>
  <w:style w:type="paragraph" w:customStyle="1" w:styleId="146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2"/>
      <w:szCs w:val="22"/>
    </w:rPr>
  </w:style>
  <w:style w:type="paragraph" w:customStyle="1" w:styleId="1466">
    <w:name w:val="CM54"/>
    <w:basedOn w:val="112"/>
    <w:next w:val="112"/>
    <w:autoRedefine/>
    <w:qFormat/>
    <w:uiPriority w:val="0"/>
    <w:pPr>
      <w:spacing w:after="683"/>
    </w:pPr>
    <w:rPr>
      <w:rFonts w:ascii="宋体" w:eastAsia="宋体" w:cs="Times New Roman"/>
      <w:color w:val="auto"/>
    </w:rPr>
  </w:style>
  <w:style w:type="paragraph" w:customStyle="1" w:styleId="1467">
    <w:name w:val="TITLE-1"/>
    <w:basedOn w:val="1"/>
    <w:autoRedefine/>
    <w:qFormat/>
    <w:uiPriority w:val="0"/>
    <w:pPr>
      <w:adjustRightInd w:val="0"/>
      <w:spacing w:line="400" w:lineRule="exact"/>
      <w:ind w:firstLine="601"/>
      <w:jc w:val="left"/>
      <w:textAlignment w:val="baseline"/>
    </w:pPr>
    <w:rPr>
      <w:rFonts w:ascii="華康隸書體" w:eastAsia="華康隸書體"/>
      <w:b/>
      <w:spacing w:val="30"/>
      <w:kern w:val="0"/>
      <w:sz w:val="36"/>
      <w:szCs w:val="20"/>
      <w:lang w:eastAsia="zh-TW"/>
    </w:rPr>
  </w:style>
  <w:style w:type="paragraph" w:customStyle="1" w:styleId="1468">
    <w:name w:val="正文 New"/>
    <w:autoRedefine/>
    <w:qFormat/>
    <w:uiPriority w:val="0"/>
    <w:pPr>
      <w:widowControl w:val="0"/>
      <w:adjustRightInd w:val="0"/>
      <w:spacing w:line="400" w:lineRule="exact"/>
      <w:ind w:firstLine="601"/>
      <w:jc w:val="both"/>
      <w:textAlignment w:val="baseline"/>
    </w:pPr>
    <w:rPr>
      <w:rFonts w:ascii="Times New Roman" w:hAnsi="Times New Roman" w:eastAsia="楷体_GB2312" w:cs="Times New Roman"/>
      <w:spacing w:val="8"/>
      <w:sz w:val="28"/>
      <w:lang w:val="en-US" w:eastAsia="zh-CN" w:bidi="ar-SA"/>
    </w:rPr>
  </w:style>
  <w:style w:type="paragraph" w:customStyle="1" w:styleId="1469">
    <w:name w:val="CM48"/>
    <w:basedOn w:val="1"/>
    <w:next w:val="1"/>
    <w:autoRedefine/>
    <w:qFormat/>
    <w:uiPriority w:val="0"/>
    <w:pPr>
      <w:autoSpaceDE w:val="0"/>
      <w:autoSpaceDN w:val="0"/>
      <w:adjustRightInd w:val="0"/>
      <w:spacing w:after="250"/>
      <w:jc w:val="left"/>
    </w:pPr>
    <w:rPr>
      <w:rFonts w:ascii="宋体"/>
      <w:kern w:val="0"/>
      <w:sz w:val="24"/>
    </w:rPr>
  </w:style>
  <w:style w:type="paragraph" w:customStyle="1" w:styleId="1470">
    <w:name w:val="标签"/>
    <w:basedOn w:val="1"/>
    <w:autoRedefine/>
    <w:qFormat/>
    <w:uiPriority w:val="0"/>
    <w:pPr>
      <w:suppressLineNumbers/>
      <w:adjustRightInd w:val="0"/>
      <w:spacing w:before="120" w:after="120" w:line="400" w:lineRule="exact"/>
      <w:ind w:firstLine="601"/>
      <w:textAlignment w:val="baseline"/>
    </w:pPr>
    <w:rPr>
      <w:rFonts w:ascii="宋体" w:cs="Tahoma"/>
      <w:i/>
      <w:iCs/>
      <w:spacing w:val="30"/>
      <w:kern w:val="0"/>
      <w:sz w:val="24"/>
    </w:rPr>
  </w:style>
  <w:style w:type="paragraph" w:customStyle="1" w:styleId="1471">
    <w:name w:val="Char3 Char Char Char Char Char Char1 Char Char Char Char Char Char Char Char Char2"/>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472">
    <w:name w:val="css1"/>
    <w:basedOn w:val="1"/>
    <w:autoRedefine/>
    <w:qFormat/>
    <w:uiPriority w:val="0"/>
    <w:pPr>
      <w:widowControl/>
      <w:spacing w:before="100" w:beforeAutospacing="1" w:after="100" w:afterAutospacing="1" w:line="400" w:lineRule="atLeast"/>
      <w:jc w:val="left"/>
    </w:pPr>
    <w:rPr>
      <w:rFonts w:ascii="宋体" w:hAnsi="宋体" w:cs="宋体"/>
      <w:color w:val="000000"/>
      <w:kern w:val="0"/>
      <w:sz w:val="24"/>
    </w:rPr>
  </w:style>
  <w:style w:type="paragraph" w:customStyle="1" w:styleId="1473">
    <w:name w:val="Table Paragraph"/>
    <w:basedOn w:val="1"/>
    <w:autoRedefine/>
    <w:qFormat/>
    <w:uiPriority w:val="1"/>
  </w:style>
  <w:style w:type="paragraph" w:customStyle="1" w:styleId="1474">
    <w:name w:val="列表标题"/>
    <w:basedOn w:val="1"/>
    <w:next w:val="1"/>
    <w:autoRedefine/>
    <w:qFormat/>
    <w:uiPriority w:val="0"/>
    <w:pPr>
      <w:adjustRightInd w:val="0"/>
      <w:spacing w:line="400" w:lineRule="exact"/>
      <w:ind w:firstLine="601"/>
      <w:jc w:val="center"/>
      <w:textAlignment w:val="baseline"/>
    </w:pPr>
    <w:rPr>
      <w:rFonts w:ascii="宋体"/>
      <w:spacing w:val="30"/>
      <w:kern w:val="0"/>
      <w:sz w:val="24"/>
      <w:szCs w:val="20"/>
    </w:rPr>
  </w:style>
  <w:style w:type="paragraph" w:customStyle="1" w:styleId="1475">
    <w:name w:val="HTML 预先格式化"/>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1476">
    <w:name w:val="xl160"/>
    <w:basedOn w:val="1"/>
    <w:autoRedefine/>
    <w:qFormat/>
    <w:uiPriority w:val="0"/>
    <w:pPr>
      <w:widowControl/>
      <w:pBdr>
        <w:bottom w:val="single" w:color="auto" w:sz="8" w:space="0"/>
      </w:pBdr>
      <w:shd w:val="clear" w:color="auto" w:fill="FFFFFF"/>
      <w:spacing w:before="100" w:beforeAutospacing="1" w:after="100" w:afterAutospacing="1"/>
      <w:jc w:val="left"/>
    </w:pPr>
    <w:rPr>
      <w:rFonts w:ascii="宋体"/>
      <w:kern w:val="0"/>
      <w:sz w:val="16"/>
      <w:szCs w:val="16"/>
    </w:rPr>
  </w:style>
  <w:style w:type="paragraph" w:customStyle="1" w:styleId="1477">
    <w:name w:val="样式 标题 1 + 加粗"/>
    <w:basedOn w:val="3"/>
    <w:autoRedefine/>
    <w:qFormat/>
    <w:uiPriority w:val="0"/>
    <w:pPr>
      <w:adjustRightInd w:val="0"/>
      <w:snapToGrid w:val="0"/>
      <w:spacing w:before="0" w:after="0" w:line="240" w:lineRule="auto"/>
    </w:pPr>
    <w:rPr>
      <w:bCs/>
      <w:sz w:val="28"/>
      <w:szCs w:val="28"/>
    </w:rPr>
  </w:style>
  <w:style w:type="paragraph" w:customStyle="1" w:styleId="1478">
    <w:name w:val="样式 表格 + 五号 行距: 单倍行距"/>
    <w:basedOn w:val="373"/>
    <w:autoRedefine/>
    <w:qFormat/>
    <w:uiPriority w:val="0"/>
    <w:pPr>
      <w:adjustRightInd w:val="0"/>
      <w:snapToGrid w:val="0"/>
    </w:pPr>
    <w:rPr>
      <w:rFonts w:eastAsia="仿宋_GB2312" w:cs="宋体"/>
      <w:color w:val="000080"/>
      <w:sz w:val="21"/>
      <w:szCs w:val="22"/>
    </w:rPr>
  </w:style>
  <w:style w:type="paragraph" w:customStyle="1" w:styleId="1479">
    <w:name w:val="Char2 Char Char Char1"/>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480">
    <w:name w:val="小四标准段落"/>
    <w:basedOn w:val="1"/>
    <w:autoRedefine/>
    <w:qFormat/>
    <w:uiPriority w:val="0"/>
    <w:pPr>
      <w:adjustRightInd w:val="0"/>
      <w:spacing w:line="360" w:lineRule="auto"/>
      <w:ind w:firstLine="480" w:firstLineChars="200"/>
      <w:textAlignment w:val="baseline"/>
    </w:pPr>
    <w:rPr>
      <w:rFonts w:ascii="宋体" w:hAnsi="华文细黑"/>
      <w:spacing w:val="30"/>
      <w:kern w:val="0"/>
      <w:sz w:val="24"/>
      <w:szCs w:val="20"/>
    </w:rPr>
  </w:style>
  <w:style w:type="paragraph" w:customStyle="1" w:styleId="1481">
    <w:name w:val="正文楷体"/>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482">
    <w:name w:val="居中正文"/>
    <w:basedOn w:val="87"/>
    <w:autoRedefine/>
    <w:qFormat/>
    <w:uiPriority w:val="0"/>
    <w:pPr>
      <w:adjustRightInd w:val="0"/>
      <w:spacing w:before="120" w:after="0" w:line="360" w:lineRule="auto"/>
      <w:ind w:firstLine="0" w:firstLineChars="0"/>
      <w:jc w:val="center"/>
      <w:textAlignment w:val="baseline"/>
    </w:pPr>
    <w:rPr>
      <w:rFonts w:ascii="宋体"/>
      <w:kern w:val="28"/>
      <w:sz w:val="24"/>
      <w:szCs w:val="20"/>
    </w:rPr>
  </w:style>
  <w:style w:type="paragraph" w:customStyle="1" w:styleId="1483">
    <w:name w:val="title5"/>
    <w:basedOn w:val="1"/>
    <w:autoRedefine/>
    <w:qFormat/>
    <w:uiPriority w:val="0"/>
    <w:pPr>
      <w:widowControl/>
      <w:pBdr>
        <w:bottom w:val="single" w:color="DDDDDD" w:sz="6" w:space="4"/>
      </w:pBdr>
      <w:spacing w:before="150" w:line="195" w:lineRule="atLeast"/>
      <w:jc w:val="left"/>
    </w:pPr>
    <w:rPr>
      <w:rFonts w:ascii="宋体" w:hAnsi="宋体" w:cs="宋体"/>
      <w:b/>
      <w:bCs/>
      <w:kern w:val="0"/>
      <w:szCs w:val="21"/>
    </w:rPr>
  </w:style>
  <w:style w:type="paragraph" w:customStyle="1" w:styleId="1484">
    <w:name w:val="style133"/>
    <w:basedOn w:val="1"/>
    <w:autoRedefine/>
    <w:qFormat/>
    <w:uiPriority w:val="0"/>
    <w:pPr>
      <w:widowControl/>
      <w:spacing w:before="100" w:beforeAutospacing="1" w:after="100" w:afterAutospacing="1" w:line="432" w:lineRule="auto"/>
      <w:jc w:val="left"/>
    </w:pPr>
    <w:rPr>
      <w:rFonts w:ascii="Arial" w:hAnsi="Arial" w:cs="Arial"/>
      <w:color w:val="0033CC"/>
      <w:kern w:val="0"/>
      <w:sz w:val="18"/>
      <w:szCs w:val="18"/>
    </w:rPr>
  </w:style>
  <w:style w:type="paragraph" w:customStyle="1" w:styleId="1485">
    <w:name w:val="desc4"/>
    <w:basedOn w:val="1"/>
    <w:autoRedefine/>
    <w:qFormat/>
    <w:uiPriority w:val="0"/>
    <w:pPr>
      <w:widowControl/>
      <w:spacing w:before="135"/>
      <w:jc w:val="center"/>
    </w:pPr>
    <w:rPr>
      <w:rFonts w:ascii="ˎ̥" w:hAnsi="ˎ̥" w:cs="宋体"/>
      <w:kern w:val="0"/>
      <w:sz w:val="24"/>
    </w:rPr>
  </w:style>
  <w:style w:type="paragraph" w:customStyle="1" w:styleId="1486">
    <w:name w:val="xl127"/>
    <w:basedOn w:val="1"/>
    <w:autoRedefine/>
    <w:qFormat/>
    <w:uiPriority w:val="0"/>
    <w:pPr>
      <w:widowControl/>
      <w:shd w:val="clear" w:color="auto" w:fill="FFFFFF"/>
      <w:spacing w:before="100" w:beforeAutospacing="1" w:after="100" w:afterAutospacing="1"/>
      <w:jc w:val="left"/>
    </w:pPr>
    <w:rPr>
      <w:rFonts w:ascii="宋体"/>
      <w:b/>
      <w:bCs/>
      <w:color w:val="0000FF"/>
      <w:kern w:val="0"/>
      <w:sz w:val="20"/>
      <w:szCs w:val="20"/>
      <w:u w:val="single"/>
    </w:rPr>
  </w:style>
  <w:style w:type="paragraph" w:customStyle="1" w:styleId="1487">
    <w:name w:val="CM56"/>
    <w:basedOn w:val="112"/>
    <w:next w:val="112"/>
    <w:autoRedefine/>
    <w:qFormat/>
    <w:uiPriority w:val="0"/>
    <w:pPr>
      <w:spacing w:after="455"/>
    </w:pPr>
    <w:rPr>
      <w:rFonts w:ascii="宋体" w:eastAsia="宋体" w:cs="Times New Roman"/>
      <w:color w:val="auto"/>
    </w:rPr>
  </w:style>
  <w:style w:type="paragraph" w:customStyle="1" w:styleId="1488">
    <w:name w:val="txt s titre 2"/>
    <w:basedOn w:val="1"/>
    <w:autoRedefine/>
    <w:qFormat/>
    <w:uiPriority w:val="0"/>
    <w:pPr>
      <w:widowControl/>
      <w:overflowPunct w:val="0"/>
      <w:autoSpaceDE w:val="0"/>
      <w:autoSpaceDN w:val="0"/>
      <w:adjustRightInd w:val="0"/>
      <w:spacing w:line="400" w:lineRule="exact"/>
      <w:ind w:left="851" w:right="113" w:firstLine="601"/>
      <w:jc w:val="left"/>
      <w:textAlignment w:val="baseline"/>
    </w:pPr>
    <w:rPr>
      <w:rFonts w:ascii="Helvetica" w:hAnsi="Helvetica"/>
      <w:spacing w:val="30"/>
      <w:kern w:val="0"/>
      <w:sz w:val="20"/>
      <w:szCs w:val="20"/>
      <w:lang w:val="fr-FR" w:eastAsia="fr-FR"/>
    </w:rPr>
  </w:style>
  <w:style w:type="paragraph" w:customStyle="1" w:styleId="1489">
    <w:name w:val="CM26"/>
    <w:basedOn w:val="112"/>
    <w:next w:val="112"/>
    <w:autoRedefine/>
    <w:qFormat/>
    <w:uiPriority w:val="0"/>
    <w:pPr>
      <w:spacing w:after="113"/>
    </w:pPr>
    <w:rPr>
      <w:rFonts w:ascii="Helvetica" w:hAnsi="Helvetica" w:eastAsia="宋体" w:cs="Helvetica"/>
      <w:color w:val="auto"/>
    </w:rPr>
  </w:style>
  <w:style w:type="paragraph" w:customStyle="1" w:styleId="1490">
    <w:name w:val="TITLE-2"/>
    <w:basedOn w:val="1"/>
    <w:autoRedefine/>
    <w:qFormat/>
    <w:uiPriority w:val="0"/>
    <w:pPr>
      <w:adjustRightInd w:val="0"/>
      <w:spacing w:line="480" w:lineRule="atLeast"/>
      <w:ind w:left="284" w:hanging="284"/>
      <w:textAlignment w:val="baseline"/>
    </w:pPr>
    <w:rPr>
      <w:rFonts w:ascii="華康中楷體" w:eastAsia="華康中楷體"/>
      <w:spacing w:val="30"/>
      <w:kern w:val="0"/>
      <w:sz w:val="24"/>
      <w:szCs w:val="20"/>
      <w:lang w:eastAsia="zh-TW"/>
    </w:rPr>
  </w:style>
  <w:style w:type="paragraph" w:customStyle="1" w:styleId="1491">
    <w:name w:val="样式 样式 标题 2节 + (西文) Times New Roman (中文) 宋体 四号 段前: 0.5 行 段后: 0......"/>
    <w:basedOn w:val="1"/>
    <w:autoRedefine/>
    <w:qFormat/>
    <w:uiPriority w:val="0"/>
    <w:pPr>
      <w:keepNext/>
      <w:keepLines/>
      <w:tabs>
        <w:tab w:val="left" w:pos="720"/>
      </w:tabs>
      <w:adjustRightInd w:val="0"/>
      <w:snapToGrid w:val="0"/>
      <w:spacing w:before="120" w:beforeLines="50" w:line="360" w:lineRule="auto"/>
      <w:ind w:left="397" w:hanging="397"/>
      <w:outlineLvl w:val="1"/>
    </w:pPr>
    <w:rPr>
      <w:rFonts w:ascii="宋体" w:hAnsi="宋体"/>
      <w:b/>
      <w:bCs/>
      <w:sz w:val="30"/>
      <w:szCs w:val="30"/>
    </w:rPr>
  </w:style>
  <w:style w:type="paragraph" w:customStyle="1" w:styleId="1492">
    <w:name w:val="summary1"/>
    <w:basedOn w:val="1"/>
    <w:autoRedefine/>
    <w:qFormat/>
    <w:uiPriority w:val="0"/>
    <w:pPr>
      <w:widowControl/>
      <w:spacing w:line="360" w:lineRule="atLeast"/>
      <w:jc w:val="left"/>
    </w:pPr>
    <w:rPr>
      <w:rFonts w:ascii="宋体" w:hAnsi="宋体" w:cs="宋体"/>
      <w:kern w:val="0"/>
      <w:sz w:val="24"/>
    </w:rPr>
  </w:style>
  <w:style w:type="paragraph" w:customStyle="1" w:styleId="1493">
    <w:name w:val="申报小节题"/>
    <w:basedOn w:val="1"/>
    <w:autoRedefine/>
    <w:qFormat/>
    <w:uiPriority w:val="0"/>
    <w:pPr>
      <w:spacing w:line="336" w:lineRule="auto"/>
    </w:pPr>
    <w:rPr>
      <w:rFonts w:ascii="宋体"/>
      <w:sz w:val="24"/>
      <w:szCs w:val="20"/>
    </w:rPr>
  </w:style>
  <w:style w:type="paragraph" w:customStyle="1" w:styleId="1494">
    <w:name w:val="目录B"/>
    <w:basedOn w:val="75"/>
    <w:autoRedefine/>
    <w:qFormat/>
    <w:uiPriority w:val="0"/>
    <w:pPr>
      <w:tabs>
        <w:tab w:val="left" w:pos="2835"/>
        <w:tab w:val="clear" w:pos="540"/>
        <w:tab w:val="clear" w:pos="8302"/>
      </w:tabs>
      <w:adjustRightInd w:val="0"/>
      <w:spacing w:before="120" w:line="400" w:lineRule="exact"/>
      <w:ind w:left="420"/>
      <w:textAlignment w:val="baseline"/>
    </w:pPr>
    <w:rPr>
      <w:rFonts w:ascii="宋体" w:hAnsi="Calibri" w:eastAsia="楷体_GB2312"/>
      <w:bCs w:val="0"/>
      <w:i/>
      <w:iCs/>
      <w:spacing w:val="8"/>
      <w:kern w:val="0"/>
      <w:sz w:val="24"/>
      <w:szCs w:val="20"/>
    </w:rPr>
  </w:style>
  <w:style w:type="paragraph" w:customStyle="1" w:styleId="1495">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4"/>
    </w:rPr>
  </w:style>
  <w:style w:type="paragraph" w:customStyle="1" w:styleId="1496">
    <w:name w:val="正文 首行缩进:  2 字符"/>
    <w:basedOn w:val="1"/>
    <w:link w:val="1497"/>
    <w:autoRedefine/>
    <w:qFormat/>
    <w:uiPriority w:val="99"/>
    <w:pPr>
      <w:spacing w:line="460" w:lineRule="exact"/>
      <w:ind w:firstLine="480" w:firstLineChars="200"/>
    </w:pPr>
    <w:rPr>
      <w:rFonts w:cs="宋体"/>
      <w:sz w:val="24"/>
      <w:szCs w:val="20"/>
    </w:rPr>
  </w:style>
  <w:style w:type="character" w:customStyle="1" w:styleId="1497">
    <w:name w:val="正文 首行缩进:  2 字符 Char"/>
    <w:link w:val="1496"/>
    <w:autoRedefine/>
    <w:qFormat/>
    <w:uiPriority w:val="0"/>
    <w:rPr>
      <w:rFonts w:ascii="Times New Roman" w:hAnsi="Times New Roman" w:eastAsia="宋体" w:cs="宋体"/>
      <w:sz w:val="24"/>
      <w:szCs w:val="20"/>
    </w:rPr>
  </w:style>
  <w:style w:type="paragraph" w:customStyle="1" w:styleId="1498">
    <w:name w:val="Char3 Char Char Char Char Char Char1 Char Char Char"/>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499">
    <w:name w:val="图注"/>
    <w:basedOn w:val="1"/>
    <w:next w:val="1"/>
    <w:autoRedefine/>
    <w:qFormat/>
    <w:uiPriority w:val="0"/>
    <w:pPr>
      <w:tabs>
        <w:tab w:val="left" w:pos="2040"/>
      </w:tabs>
      <w:adjustRightInd w:val="0"/>
      <w:spacing w:before="120" w:line="360" w:lineRule="auto"/>
      <w:ind w:left="2040" w:firstLine="601"/>
      <w:jc w:val="center"/>
      <w:textAlignment w:val="baseline"/>
    </w:pPr>
    <w:rPr>
      <w:rFonts w:ascii="Arial" w:hAnsi="Arial"/>
      <w:spacing w:val="30"/>
      <w:kern w:val="0"/>
      <w:sz w:val="24"/>
      <w:szCs w:val="20"/>
    </w:rPr>
  </w:style>
  <w:style w:type="paragraph" w:customStyle="1" w:styleId="1500">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4"/>
    </w:rPr>
  </w:style>
  <w:style w:type="paragraph" w:customStyle="1" w:styleId="1501">
    <w:name w:val="Char Char Char Char Char Char Char Char Char Char Char Char Char Char Char Char1"/>
    <w:basedOn w:val="1"/>
    <w:autoRedefine/>
    <w:qFormat/>
    <w:uiPriority w:val="0"/>
    <w:pPr>
      <w:keepNext/>
      <w:keepLines/>
      <w:tabs>
        <w:tab w:val="left" w:pos="2160"/>
      </w:tabs>
      <w:adjustRightInd w:val="0"/>
      <w:snapToGrid w:val="0"/>
      <w:spacing w:before="120" w:after="120" w:line="360" w:lineRule="auto"/>
      <w:ind w:left="2160" w:hanging="420"/>
      <w:textAlignment w:val="baseline"/>
      <w:outlineLvl w:val="3"/>
    </w:pPr>
    <w:rPr>
      <w:rFonts w:ascii="Arial" w:hAnsi="Arial"/>
      <w:bCs/>
      <w:spacing w:val="30"/>
      <w:kern w:val="0"/>
      <w:sz w:val="24"/>
      <w:szCs w:val="21"/>
    </w:rPr>
  </w:style>
  <w:style w:type="paragraph" w:customStyle="1" w:styleId="1502">
    <w:name w:val="CM2"/>
    <w:basedOn w:val="112"/>
    <w:next w:val="112"/>
    <w:autoRedefine/>
    <w:qFormat/>
    <w:uiPriority w:val="0"/>
    <w:rPr>
      <w:rFonts w:ascii="Helvetica" w:hAnsi="Helvetica" w:eastAsia="宋体" w:cs="Helvetica"/>
      <w:color w:val="auto"/>
    </w:rPr>
  </w:style>
  <w:style w:type="paragraph" w:customStyle="1" w:styleId="1503">
    <w:name w:val="样式 标题 2 + 宋体 三号 左侧:  0 厘米 悬挂缩进: 2.39 字符 段前: 0 磅 段后: 0 磅 行距..."/>
    <w:basedOn w:val="4"/>
    <w:autoRedefine/>
    <w:qFormat/>
    <w:uiPriority w:val="0"/>
    <w:pPr>
      <w:tabs>
        <w:tab w:val="left" w:pos="3996"/>
      </w:tabs>
      <w:adjustRightInd/>
      <w:spacing w:before="0" w:after="0" w:line="460" w:lineRule="exact"/>
      <w:ind w:left="3996" w:hanging="576"/>
      <w:jc w:val="both"/>
      <w:textAlignment w:val="auto"/>
    </w:pPr>
    <w:rPr>
      <w:rFonts w:ascii="宋体" w:hAnsi="宋体" w:eastAsia="宋体" w:cs="宋体"/>
      <w:sz w:val="32"/>
    </w:rPr>
  </w:style>
  <w:style w:type="paragraph" w:customStyle="1" w:styleId="1504">
    <w:name w:val="font14"/>
    <w:basedOn w:val="1"/>
    <w:autoRedefine/>
    <w:qFormat/>
    <w:uiPriority w:val="0"/>
    <w:pPr>
      <w:widowControl/>
      <w:adjustRightInd w:val="0"/>
      <w:spacing w:before="100" w:beforeAutospacing="1" w:after="100" w:afterAutospacing="1" w:line="400" w:lineRule="exact"/>
      <w:ind w:firstLine="601"/>
      <w:jc w:val="left"/>
      <w:textAlignment w:val="baseline"/>
    </w:pPr>
    <w:rPr>
      <w:rFonts w:ascii="DFKai-SB" w:hAnsi="DFKai-SB" w:eastAsia="DFKai-SB" w:cs="PMingLiU"/>
      <w:color w:val="000000"/>
      <w:spacing w:val="30"/>
      <w:kern w:val="0"/>
      <w:sz w:val="24"/>
      <w:szCs w:val="28"/>
      <w:lang w:eastAsia="zh-TW"/>
    </w:rPr>
  </w:style>
  <w:style w:type="paragraph" w:customStyle="1" w:styleId="1505">
    <w:name w:val="Char Char Char Char Char Char Char Char Char1"/>
    <w:basedOn w:val="1"/>
    <w:autoRedefine/>
    <w:qFormat/>
    <w:uiPriority w:val="0"/>
    <w:pPr>
      <w:widowControl/>
      <w:adjustRightInd w:val="0"/>
      <w:spacing w:after="160" w:line="240" w:lineRule="exact"/>
      <w:ind w:firstLine="601"/>
      <w:jc w:val="left"/>
      <w:textAlignment w:val="baseline"/>
    </w:pPr>
    <w:rPr>
      <w:rFonts w:ascii="Verdana" w:hAnsi="Verdana" w:eastAsia="仿宋_GB2312"/>
      <w:spacing w:val="30"/>
      <w:kern w:val="0"/>
      <w:sz w:val="24"/>
      <w:szCs w:val="20"/>
      <w:lang w:eastAsia="en-US"/>
    </w:rPr>
  </w:style>
  <w:style w:type="paragraph" w:customStyle="1" w:styleId="1506">
    <w:name w:val="框图"/>
    <w:basedOn w:val="1"/>
    <w:autoRedefine/>
    <w:qFormat/>
    <w:uiPriority w:val="0"/>
    <w:pPr>
      <w:adjustRightInd w:val="0"/>
      <w:snapToGrid w:val="0"/>
      <w:ind w:left="33" w:leftChars="-38" w:right="-80" w:rightChars="-38" w:hanging="113" w:hangingChars="54"/>
      <w:jc w:val="center"/>
    </w:pPr>
    <w:rPr>
      <w:szCs w:val="21"/>
    </w:rPr>
  </w:style>
  <w:style w:type="paragraph" w:customStyle="1" w:styleId="1507">
    <w:name w:val="小标题"/>
    <w:basedOn w:val="1"/>
    <w:autoRedefine/>
    <w:qFormat/>
    <w:uiPriority w:val="0"/>
    <w:pPr>
      <w:adjustRightInd w:val="0"/>
      <w:snapToGrid w:val="0"/>
      <w:spacing w:before="80" w:after="50" w:line="480" w:lineRule="atLeast"/>
      <w:ind w:firstLine="601"/>
      <w:textAlignment w:val="baseline"/>
    </w:pPr>
    <w:rPr>
      <w:rFonts w:ascii="宋体"/>
      <w:b/>
      <w:spacing w:val="30"/>
      <w:kern w:val="0"/>
      <w:sz w:val="30"/>
      <w:szCs w:val="20"/>
    </w:rPr>
  </w:style>
  <w:style w:type="paragraph" w:customStyle="1" w:styleId="1508">
    <w:name w:val="f14"/>
    <w:basedOn w:val="1"/>
    <w:autoRedefine/>
    <w:qFormat/>
    <w:uiPriority w:val="0"/>
    <w:pPr>
      <w:widowControl/>
      <w:spacing w:before="100" w:beforeAutospacing="1" w:after="100" w:afterAutospacing="1" w:line="312" w:lineRule="auto"/>
      <w:jc w:val="left"/>
    </w:pPr>
    <w:rPr>
      <w:rFonts w:ascii="宋体" w:hAnsi="宋体" w:cs="宋体"/>
      <w:kern w:val="0"/>
      <w:szCs w:val="21"/>
    </w:rPr>
  </w:style>
  <w:style w:type="paragraph" w:customStyle="1" w:styleId="1509">
    <w:name w:val="xl57"/>
    <w:basedOn w:val="1"/>
    <w:autoRedefine/>
    <w:qFormat/>
    <w:uiPriority w:val="0"/>
    <w:pPr>
      <w:widowControl/>
      <w:shd w:val="clear" w:color="auto" w:fill="FFFFFF"/>
      <w:adjustRightInd w:val="0"/>
      <w:spacing w:before="100" w:beforeAutospacing="1" w:after="100" w:afterAutospacing="1" w:line="400" w:lineRule="exact"/>
      <w:ind w:firstLine="601"/>
      <w:jc w:val="left"/>
      <w:textAlignment w:val="baseline"/>
    </w:pPr>
    <w:rPr>
      <w:rFonts w:ascii="Arial Unicode MS" w:hAnsi="Arial Unicode MS" w:eastAsia="Arial Unicode MS"/>
      <w:spacing w:val="30"/>
      <w:kern w:val="0"/>
      <w:sz w:val="20"/>
      <w:szCs w:val="20"/>
    </w:rPr>
  </w:style>
  <w:style w:type="paragraph" w:customStyle="1" w:styleId="1510">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1511">
    <w:name w:val="ST20_1"/>
    <w:basedOn w:val="1"/>
    <w:autoRedefine/>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512">
    <w:name w:val="节4"/>
    <w:basedOn w:val="1"/>
    <w:autoRedefine/>
    <w:qFormat/>
    <w:uiPriority w:val="0"/>
    <w:pPr>
      <w:spacing w:line="360" w:lineRule="auto"/>
      <w:ind w:firstLine="560" w:firstLineChars="200"/>
      <w:outlineLvl w:val="3"/>
    </w:pPr>
    <w:rPr>
      <w:rFonts w:ascii="Arial" w:hAnsi="Arial"/>
      <w:sz w:val="24"/>
    </w:rPr>
  </w:style>
  <w:style w:type="paragraph" w:customStyle="1" w:styleId="1513">
    <w:name w:val="表注"/>
    <w:basedOn w:val="1"/>
    <w:autoRedefine/>
    <w:qFormat/>
    <w:uiPriority w:val="0"/>
    <w:pPr>
      <w:adjustRightInd w:val="0"/>
      <w:spacing w:after="120" w:line="400" w:lineRule="exact"/>
      <w:ind w:firstLine="640"/>
      <w:textAlignment w:val="baseline"/>
    </w:pPr>
    <w:rPr>
      <w:rFonts w:ascii="宋体" w:eastAsia="幼圆"/>
      <w:color w:val="0000FF"/>
      <w:spacing w:val="30"/>
      <w:kern w:val="0"/>
      <w:sz w:val="18"/>
      <w:szCs w:val="20"/>
    </w:rPr>
  </w:style>
  <w:style w:type="paragraph" w:customStyle="1" w:styleId="1514">
    <w:name w:val="reader-word-layer reader-word-s1-25 reader-word-s1-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15">
    <w:name w:val="样式 样式 样式 标题 3 + 首行缩进:  2 字符 + 首行缩进:  2 字符1 + 仿宋_GB2312 行距: 1.5 ..."/>
    <w:basedOn w:val="1"/>
    <w:autoRedefine/>
    <w:qFormat/>
    <w:uiPriority w:val="0"/>
    <w:pPr>
      <w:keepNext/>
      <w:keepLines/>
      <w:spacing w:before="80" w:after="60" w:line="540" w:lineRule="exact"/>
      <w:ind w:firstLine="200" w:firstLineChars="200"/>
      <w:jc w:val="left"/>
      <w:outlineLvl w:val="2"/>
    </w:pPr>
    <w:rPr>
      <w:rFonts w:ascii="宋体" w:eastAsia="黑体"/>
      <w:spacing w:val="14"/>
      <w:sz w:val="24"/>
      <w:szCs w:val="28"/>
    </w:rPr>
  </w:style>
  <w:style w:type="paragraph" w:customStyle="1" w:styleId="1516">
    <w:name w:val="17"/>
    <w:basedOn w:val="1"/>
    <w:autoRedefine/>
    <w:qFormat/>
    <w:uiPriority w:val="0"/>
    <w:pPr>
      <w:widowControl/>
      <w:adjustRightInd w:val="0"/>
      <w:spacing w:before="100" w:beforeAutospacing="1" w:after="100" w:afterAutospacing="1" w:line="240" w:lineRule="atLeast"/>
      <w:ind w:firstLine="601"/>
      <w:textAlignment w:val="baseline"/>
    </w:pPr>
    <w:rPr>
      <w:rFonts w:ascii="宋体"/>
      <w:spacing w:val="30"/>
      <w:kern w:val="0"/>
      <w:sz w:val="24"/>
      <w:szCs w:val="20"/>
    </w:rPr>
  </w:style>
  <w:style w:type="paragraph" w:customStyle="1" w:styleId="1517">
    <w:name w:val="18"/>
    <w:basedOn w:val="1"/>
    <w:autoRedefine/>
    <w:qFormat/>
    <w:uiPriority w:val="0"/>
    <w:pPr>
      <w:widowControl/>
      <w:adjustRightInd w:val="0"/>
      <w:spacing w:before="100" w:beforeAutospacing="1" w:after="100" w:afterAutospacing="1" w:line="440" w:lineRule="atLeast"/>
      <w:ind w:firstLine="601"/>
      <w:textAlignment w:val="baseline"/>
    </w:pPr>
    <w:rPr>
      <w:rFonts w:ascii="宋体"/>
      <w:spacing w:val="6"/>
      <w:kern w:val="0"/>
      <w:sz w:val="24"/>
      <w:szCs w:val="28"/>
    </w:rPr>
  </w:style>
  <w:style w:type="paragraph" w:customStyle="1" w:styleId="1518">
    <w:name w:val="1 Char Char Char Char Char Char Char"/>
    <w:basedOn w:val="1"/>
    <w:autoRedefine/>
    <w:qFormat/>
    <w:uiPriority w:val="0"/>
    <w:pPr>
      <w:jc w:val="left"/>
    </w:pPr>
    <w:rPr>
      <w:rFonts w:ascii="Tahoma" w:hAnsi="Tahoma"/>
      <w:sz w:val="24"/>
      <w:szCs w:val="20"/>
    </w:rPr>
  </w:style>
  <w:style w:type="paragraph" w:customStyle="1" w:styleId="1519">
    <w:name w:val="样式9"/>
    <w:basedOn w:val="5"/>
    <w:autoRedefine/>
    <w:qFormat/>
    <w:uiPriority w:val="0"/>
    <w:pPr>
      <w:tabs>
        <w:tab w:val="left" w:pos="1080"/>
        <w:tab w:val="left" w:pos="2126"/>
      </w:tabs>
      <w:adjustRightInd w:val="0"/>
      <w:snapToGrid w:val="0"/>
      <w:spacing w:before="0" w:after="0" w:line="360" w:lineRule="auto"/>
    </w:pPr>
    <w:rPr>
      <w:rFonts w:ascii="仿宋_GB2312" w:hAnsi="Times New Roman" w:eastAsia="仿宋_GB2312" w:cs="仿宋_GB2312"/>
      <w:b w:val="0"/>
      <w:bCs w:val="0"/>
      <w:sz w:val="28"/>
      <w:szCs w:val="28"/>
    </w:rPr>
  </w:style>
  <w:style w:type="paragraph" w:customStyle="1" w:styleId="1520">
    <w:name w:val="CM83"/>
    <w:basedOn w:val="112"/>
    <w:next w:val="112"/>
    <w:autoRedefine/>
    <w:qFormat/>
    <w:uiPriority w:val="0"/>
    <w:rPr>
      <w:rFonts w:ascii="宋体" w:eastAsia="宋体" w:cs="Times New Roman"/>
      <w:color w:val="auto"/>
    </w:rPr>
  </w:style>
  <w:style w:type="paragraph" w:customStyle="1" w:styleId="1521">
    <w:name w:val="xl28"/>
    <w:basedOn w:val="1"/>
    <w:autoRedefine/>
    <w:qFormat/>
    <w:uiPriority w:val="0"/>
    <w:pPr>
      <w:widowControl/>
      <w:shd w:val="clear" w:color="auto" w:fill="FFFFFF"/>
      <w:adjustRightInd w:val="0"/>
      <w:spacing w:before="100" w:beforeAutospacing="1" w:after="100" w:afterAutospacing="1" w:line="400" w:lineRule="exact"/>
      <w:ind w:firstLine="601"/>
      <w:jc w:val="right"/>
      <w:textAlignment w:val="baseline"/>
    </w:pPr>
    <w:rPr>
      <w:rFonts w:ascii="Arial Unicode MS" w:hAnsi="Arial Unicode MS" w:eastAsia="Arial Unicode MS"/>
      <w:spacing w:val="30"/>
      <w:kern w:val="0"/>
      <w:sz w:val="20"/>
      <w:szCs w:val="20"/>
    </w:rPr>
  </w:style>
  <w:style w:type="paragraph" w:customStyle="1" w:styleId="1522">
    <w:name w:val="Char3 Char Char 字元1"/>
    <w:basedOn w:val="1"/>
    <w:autoRedefine/>
    <w:qFormat/>
    <w:uiPriority w:val="0"/>
    <w:pPr>
      <w:adjustRightInd w:val="0"/>
      <w:spacing w:line="400" w:lineRule="exact"/>
      <w:ind w:firstLine="601"/>
    </w:pPr>
    <w:rPr>
      <w:rFonts w:ascii="宋体"/>
      <w:spacing w:val="30"/>
      <w:kern w:val="0"/>
      <w:sz w:val="24"/>
    </w:rPr>
  </w:style>
  <w:style w:type="paragraph" w:customStyle="1" w:styleId="1523">
    <w:name w:val="样式 首行缩进:  2 字符"/>
    <w:basedOn w:val="1"/>
    <w:autoRedefine/>
    <w:qFormat/>
    <w:uiPriority w:val="0"/>
    <w:pPr>
      <w:tabs>
        <w:tab w:val="left" w:pos="0"/>
      </w:tabs>
      <w:spacing w:line="560" w:lineRule="exact"/>
      <w:ind w:firstLine="560" w:firstLineChars="200"/>
    </w:pPr>
    <w:rPr>
      <w:rFonts w:ascii="宋体" w:eastAsia="仿宋_GB2312"/>
      <w:spacing w:val="12"/>
      <w:sz w:val="24"/>
      <w:szCs w:val="20"/>
    </w:rPr>
  </w:style>
  <w:style w:type="paragraph" w:customStyle="1" w:styleId="1524">
    <w:name w:val="xl65"/>
    <w:basedOn w:val="1"/>
    <w:autoRedefine/>
    <w:qFormat/>
    <w:uiPriority w:val="0"/>
    <w:pPr>
      <w:widowControl/>
      <w:pBdr>
        <w:top w:val="single" w:color="auto" w:sz="4" w:space="0"/>
      </w:pBdr>
      <w:adjustRightInd w:val="0"/>
      <w:spacing w:before="100" w:beforeAutospacing="1" w:after="100" w:afterAutospacing="1" w:line="400" w:lineRule="exact"/>
      <w:ind w:firstLine="601"/>
      <w:jc w:val="left"/>
      <w:textAlignment w:val="center"/>
    </w:pPr>
    <w:rPr>
      <w:rFonts w:hint="eastAsia" w:ascii="楷体" w:hAnsi="宋体" w:eastAsia="楷体"/>
      <w:spacing w:val="30"/>
      <w:kern w:val="0"/>
      <w:sz w:val="16"/>
      <w:szCs w:val="16"/>
    </w:rPr>
  </w:style>
  <w:style w:type="paragraph" w:customStyle="1" w:styleId="1525">
    <w:name w:val="CM19"/>
    <w:basedOn w:val="112"/>
    <w:next w:val="112"/>
    <w:autoRedefine/>
    <w:qFormat/>
    <w:uiPriority w:val="0"/>
    <w:pPr>
      <w:spacing w:line="468" w:lineRule="atLeast"/>
    </w:pPr>
    <w:rPr>
      <w:rFonts w:ascii="宋体" w:eastAsia="宋体" w:cs="Times New Roman"/>
      <w:color w:val="auto"/>
    </w:rPr>
  </w:style>
  <w:style w:type="paragraph" w:customStyle="1" w:styleId="1526">
    <w:name w:val="CM77"/>
    <w:basedOn w:val="112"/>
    <w:next w:val="112"/>
    <w:autoRedefine/>
    <w:qFormat/>
    <w:uiPriority w:val="0"/>
    <w:pPr>
      <w:spacing w:after="82"/>
    </w:pPr>
    <w:rPr>
      <w:rFonts w:ascii="宋体" w:eastAsia="宋体" w:cs="Times New Roman"/>
      <w:color w:val="auto"/>
    </w:rPr>
  </w:style>
  <w:style w:type="paragraph" w:customStyle="1" w:styleId="1527">
    <w:name w:val="a"/>
    <w:basedOn w:val="1"/>
    <w:autoRedefine/>
    <w:qFormat/>
    <w:uiPriority w:val="0"/>
    <w:pPr>
      <w:widowControl/>
      <w:adjustRightInd w:val="0"/>
      <w:spacing w:line="320" w:lineRule="atLeast"/>
      <w:ind w:firstLine="601"/>
      <w:jc w:val="left"/>
      <w:textAlignment w:val="baseline"/>
    </w:pPr>
    <w:rPr>
      <w:rFonts w:ascii="宋体"/>
      <w:spacing w:val="-10"/>
      <w:kern w:val="0"/>
      <w:sz w:val="24"/>
      <w:szCs w:val="21"/>
    </w:rPr>
  </w:style>
  <w:style w:type="paragraph" w:customStyle="1" w:styleId="1528">
    <w:name w:val="样式 样式 (西文) 楷体_GB2312 (中文) 楷体_GB2312 四号 行距: 固定值 28 磅 首行缩进:  2 字符 +"/>
    <w:basedOn w:val="1"/>
    <w:autoRedefine/>
    <w:qFormat/>
    <w:uiPriority w:val="0"/>
    <w:pPr>
      <w:adjustRightInd w:val="0"/>
      <w:spacing w:line="500" w:lineRule="exact"/>
      <w:ind w:firstLine="560" w:firstLineChars="200"/>
      <w:textAlignment w:val="baseline"/>
    </w:pPr>
    <w:rPr>
      <w:rFonts w:ascii="楷体_GB2312" w:cs="宋体"/>
      <w:spacing w:val="30"/>
      <w:kern w:val="0"/>
      <w:sz w:val="24"/>
      <w:szCs w:val="20"/>
    </w:rPr>
  </w:style>
  <w:style w:type="paragraph" w:customStyle="1" w:styleId="1529">
    <w:name w:val="Char Char Char1 Char Char Char Char Char Char Char2"/>
    <w:basedOn w:val="1"/>
    <w:autoRedefine/>
    <w:qFormat/>
    <w:uiPriority w:val="0"/>
    <w:pPr>
      <w:adjustRightInd w:val="0"/>
      <w:spacing w:line="400" w:lineRule="exact"/>
      <w:ind w:firstLine="601"/>
      <w:textAlignment w:val="baseline"/>
    </w:pPr>
    <w:rPr>
      <w:rFonts w:ascii="Tahoma" w:hAnsi="Tahoma"/>
      <w:spacing w:val="30"/>
      <w:kern w:val="0"/>
      <w:sz w:val="24"/>
      <w:szCs w:val="20"/>
    </w:rPr>
  </w:style>
  <w:style w:type="paragraph" w:customStyle="1" w:styleId="1530">
    <w:name w:val="表格样式1"/>
    <w:basedOn w:val="1"/>
    <w:autoRedefine/>
    <w:qFormat/>
    <w:uiPriority w:val="0"/>
    <w:pPr>
      <w:adjustRightInd w:val="0"/>
      <w:spacing w:line="20" w:lineRule="atLeast"/>
      <w:ind w:firstLine="601"/>
      <w:jc w:val="center"/>
      <w:textAlignment w:val="baseline"/>
    </w:pPr>
    <w:rPr>
      <w:rFonts w:ascii="宋体"/>
      <w:spacing w:val="30"/>
      <w:kern w:val="0"/>
      <w:sz w:val="24"/>
      <w:szCs w:val="20"/>
    </w:rPr>
  </w:style>
  <w:style w:type="paragraph" w:customStyle="1" w:styleId="1531">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1532">
    <w:name w:val="txt s titre 3"/>
    <w:basedOn w:val="1"/>
    <w:autoRedefine/>
    <w:qFormat/>
    <w:uiPriority w:val="0"/>
    <w:pPr>
      <w:widowControl/>
      <w:overflowPunct w:val="0"/>
      <w:autoSpaceDE w:val="0"/>
      <w:autoSpaceDN w:val="0"/>
      <w:adjustRightInd w:val="0"/>
      <w:spacing w:before="20" w:after="60" w:line="400" w:lineRule="exact"/>
      <w:ind w:left="1418" w:firstLine="601"/>
      <w:textAlignment w:val="baseline"/>
    </w:pPr>
    <w:rPr>
      <w:rFonts w:ascii="Helvetica" w:hAnsi="Helvetica"/>
      <w:spacing w:val="30"/>
      <w:kern w:val="0"/>
      <w:sz w:val="20"/>
      <w:szCs w:val="20"/>
      <w:lang w:val="fr-FR" w:eastAsia="fr-FR"/>
    </w:rPr>
  </w:style>
  <w:style w:type="paragraph" w:customStyle="1" w:styleId="1533">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34">
    <w:name w:val="正文文本缩进 31"/>
    <w:basedOn w:val="1"/>
    <w:autoRedefine/>
    <w:qFormat/>
    <w:uiPriority w:val="0"/>
    <w:pPr>
      <w:adjustRightInd w:val="0"/>
      <w:ind w:firstLine="536"/>
    </w:pPr>
    <w:rPr>
      <w:rFonts w:ascii="宋体" w:hAnsi="宋体"/>
      <w:kern w:val="1"/>
      <w:sz w:val="24"/>
      <w:szCs w:val="20"/>
    </w:rPr>
  </w:style>
  <w:style w:type="paragraph" w:customStyle="1" w:styleId="1535">
    <w:name w:val="评估报告正文样式 Char"/>
    <w:basedOn w:val="87"/>
    <w:autoRedefine/>
    <w:qFormat/>
    <w:uiPriority w:val="0"/>
    <w:pPr>
      <w:adjustRightInd w:val="0"/>
      <w:spacing w:after="0" w:line="360" w:lineRule="auto"/>
      <w:ind w:firstLine="200" w:firstLineChars="200"/>
      <w:textAlignment w:val="baseline"/>
    </w:pPr>
    <w:rPr>
      <w:rFonts w:eastAsia="仿宋_GB2312"/>
      <w:snapToGrid w:val="0"/>
      <w:spacing w:val="8"/>
      <w:sz w:val="28"/>
      <w:szCs w:val="28"/>
    </w:rPr>
  </w:style>
  <w:style w:type="paragraph" w:customStyle="1" w:styleId="1536">
    <w:name w:val="reader-word-layer reader-word-s1-2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37">
    <w:name w:val="Char3"/>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538">
    <w:name w:val="说明文字"/>
    <w:basedOn w:val="1"/>
    <w:autoRedefine/>
    <w:qFormat/>
    <w:uiPriority w:val="0"/>
    <w:pPr>
      <w:adjustRightInd w:val="0"/>
      <w:spacing w:line="360" w:lineRule="atLeast"/>
      <w:ind w:firstLine="601"/>
      <w:textAlignment w:val="baseline"/>
      <w:outlineLvl w:val="0"/>
    </w:pPr>
    <w:rPr>
      <w:rFonts w:ascii="宋体"/>
      <w:color w:val="FF0000"/>
      <w:spacing w:val="30"/>
      <w:kern w:val="0"/>
      <w:sz w:val="24"/>
      <w:szCs w:val="20"/>
      <w:shd w:val="pct10" w:color="auto" w:fill="FFFFFF"/>
    </w:rPr>
  </w:style>
  <w:style w:type="paragraph" w:customStyle="1" w:styleId="1539">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40">
    <w:name w:val="样式 标题 1章标题 1h11st levelSection Headl1-*+ + (中文) 宋体 行距: 多倍...1"/>
    <w:basedOn w:val="3"/>
    <w:autoRedefine/>
    <w:qFormat/>
    <w:uiPriority w:val="0"/>
    <w:pPr>
      <w:pageBreakBefore/>
      <w:spacing w:before="100" w:beforeAutospacing="1" w:after="100" w:afterAutospacing="1" w:line="300" w:lineRule="auto"/>
      <w:jc w:val="center"/>
    </w:pPr>
    <w:rPr>
      <w:rFonts w:cs="宋体"/>
      <w:sz w:val="30"/>
      <w:szCs w:val="28"/>
    </w:rPr>
  </w:style>
  <w:style w:type="paragraph" w:customStyle="1" w:styleId="1541">
    <w:name w:val="CM21"/>
    <w:basedOn w:val="112"/>
    <w:next w:val="112"/>
    <w:autoRedefine/>
    <w:qFormat/>
    <w:uiPriority w:val="0"/>
    <w:pPr>
      <w:spacing w:line="468" w:lineRule="atLeast"/>
    </w:pPr>
    <w:rPr>
      <w:rFonts w:ascii="宋体" w:eastAsia="宋体" w:cs="Times New Roman"/>
      <w:color w:val="auto"/>
    </w:rPr>
  </w:style>
  <w:style w:type="paragraph" w:customStyle="1" w:styleId="1542">
    <w:name w:val="CM82"/>
    <w:basedOn w:val="112"/>
    <w:next w:val="112"/>
    <w:autoRedefine/>
    <w:qFormat/>
    <w:uiPriority w:val="0"/>
    <w:rPr>
      <w:rFonts w:ascii="宋体" w:eastAsia="宋体" w:cs="Times New Roman"/>
      <w:color w:val="auto"/>
    </w:rPr>
  </w:style>
  <w:style w:type="paragraph" w:customStyle="1" w:styleId="1543">
    <w:name w:val="font22"/>
    <w:basedOn w:val="1"/>
    <w:autoRedefine/>
    <w:qFormat/>
    <w:uiPriority w:val="0"/>
    <w:pPr>
      <w:widowControl/>
      <w:spacing w:before="100" w:beforeAutospacing="1" w:after="100" w:afterAutospacing="1"/>
      <w:jc w:val="left"/>
    </w:pPr>
    <w:rPr>
      <w:rFonts w:ascii="宋体" w:hAnsi="宋体" w:cs="宋体"/>
      <w:b/>
      <w:bCs/>
      <w:color w:val="FF00FF"/>
      <w:kern w:val="0"/>
      <w:sz w:val="24"/>
    </w:rPr>
  </w:style>
  <w:style w:type="paragraph" w:customStyle="1" w:styleId="1544">
    <w:name w:val="heizi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45">
    <w:name w:val="字元4 Char Char Char Char Char Char 字元 Char Char"/>
    <w:basedOn w:val="1"/>
    <w:autoRedefine/>
    <w:qFormat/>
    <w:uiPriority w:val="0"/>
    <w:rPr>
      <w:rFonts w:ascii="黑体" w:hAnsi="黑体" w:eastAsia="黑体"/>
      <w:b/>
      <w:spacing w:val="10"/>
      <w:sz w:val="24"/>
      <w:szCs w:val="20"/>
    </w:rPr>
  </w:style>
  <w:style w:type="paragraph" w:customStyle="1" w:styleId="1546">
    <w:name w:val="字元 字元 字元1"/>
    <w:basedOn w:val="1"/>
    <w:autoRedefine/>
    <w:qFormat/>
    <w:uiPriority w:val="0"/>
    <w:pPr>
      <w:adjustRightInd w:val="0"/>
      <w:spacing w:line="400" w:lineRule="exact"/>
      <w:ind w:firstLine="200" w:firstLineChars="200"/>
      <w:textAlignment w:val="baseline"/>
    </w:pPr>
    <w:rPr>
      <w:rFonts w:ascii="宋体"/>
      <w:spacing w:val="30"/>
      <w:kern w:val="0"/>
      <w:sz w:val="24"/>
      <w:szCs w:val="28"/>
    </w:rPr>
  </w:style>
  <w:style w:type="paragraph" w:customStyle="1" w:styleId="1547">
    <w:name w:val="Char Char Char Char2"/>
    <w:basedOn w:val="1"/>
    <w:autoRedefine/>
    <w:qFormat/>
    <w:uiPriority w:val="0"/>
    <w:pPr>
      <w:adjustRightInd w:val="0"/>
      <w:spacing w:before="120" w:after="120" w:line="360" w:lineRule="auto"/>
      <w:ind w:firstLine="420"/>
      <w:textAlignment w:val="baseline"/>
    </w:pPr>
    <w:rPr>
      <w:rFonts w:ascii="Tahoma" w:hAnsi="Tahoma"/>
      <w:spacing w:val="30"/>
      <w:kern w:val="0"/>
      <w:sz w:val="24"/>
      <w:szCs w:val="20"/>
    </w:rPr>
  </w:style>
  <w:style w:type="paragraph" w:customStyle="1" w:styleId="1548">
    <w:name w:val="样式环评"/>
    <w:basedOn w:val="1"/>
    <w:autoRedefine/>
    <w:qFormat/>
    <w:uiPriority w:val="0"/>
    <w:pPr>
      <w:spacing w:line="500" w:lineRule="exact"/>
      <w:ind w:firstLine="612"/>
    </w:pPr>
    <w:rPr>
      <w:rFonts w:ascii="仿宋_GB2312" w:hAnsi="宋体" w:eastAsia="仿宋_GB2312"/>
      <w:sz w:val="24"/>
    </w:rPr>
  </w:style>
  <w:style w:type="paragraph" w:customStyle="1" w:styleId="1549">
    <w:name w:val="五级标题"/>
    <w:basedOn w:val="1021"/>
    <w:autoRedefine/>
    <w:qFormat/>
    <w:uiPriority w:val="0"/>
    <w:pPr>
      <w:tabs>
        <w:tab w:val="left" w:pos="340"/>
      </w:tabs>
      <w:spacing w:line="480" w:lineRule="exact"/>
      <w:ind w:left="57" w:right="210" w:rightChars="100" w:firstLine="283"/>
    </w:pPr>
    <w:rPr>
      <w:rFonts w:ascii="Times New Roman" w:cs="Times New Roman"/>
    </w:rPr>
  </w:style>
  <w:style w:type="paragraph" w:customStyle="1" w:styleId="1550">
    <w:name w:val="页码1"/>
    <w:basedOn w:val="612"/>
    <w:autoRedefine/>
    <w:qFormat/>
    <w:uiPriority w:val="0"/>
    <w:pPr>
      <w:jc w:val="center"/>
    </w:pPr>
    <w:rPr>
      <w:rFonts w:ascii="宋体" w:eastAsia="楷体_GB2312"/>
      <w:sz w:val="21"/>
    </w:rPr>
  </w:style>
  <w:style w:type="paragraph" w:customStyle="1" w:styleId="1551">
    <w:name w:val="xl113"/>
    <w:basedOn w:val="1"/>
    <w:autoRedefine/>
    <w:qFormat/>
    <w:uiPriority w:val="0"/>
    <w:pPr>
      <w:widowControl/>
      <w:shd w:val="clear" w:color="auto" w:fill="FFFFFF"/>
      <w:spacing w:before="100" w:beforeAutospacing="1" w:after="100" w:afterAutospacing="1"/>
      <w:jc w:val="left"/>
    </w:pPr>
    <w:rPr>
      <w:rFonts w:ascii="宋体"/>
      <w:kern w:val="0"/>
      <w:sz w:val="18"/>
      <w:szCs w:val="18"/>
    </w:rPr>
  </w:style>
  <w:style w:type="paragraph" w:customStyle="1" w:styleId="1552">
    <w:name w:val="Char Char Char Char Char1"/>
    <w:basedOn w:val="1"/>
    <w:autoRedefine/>
    <w:qFormat/>
    <w:uiPriority w:val="0"/>
    <w:rPr>
      <w:szCs w:val="20"/>
    </w:rPr>
  </w:style>
  <w:style w:type="paragraph" w:customStyle="1" w:styleId="1553">
    <w:name w:val="g_w_100 g_t_wrap g_t_center g_t_bold g_t_24 g_c_pdin c07"/>
    <w:basedOn w:val="1"/>
    <w:autoRedefine/>
    <w:qFormat/>
    <w:uiPriority w:val="0"/>
    <w:pPr>
      <w:widowControl/>
      <w:adjustRightInd w:val="0"/>
      <w:spacing w:before="100" w:beforeAutospacing="1" w:after="100" w:afterAutospacing="1" w:line="400" w:lineRule="exact"/>
      <w:ind w:firstLine="601"/>
      <w:jc w:val="left"/>
      <w:textAlignment w:val="baseline"/>
    </w:pPr>
    <w:rPr>
      <w:rFonts w:ascii="宋体" w:hAnsi="宋体" w:cs="宋体"/>
      <w:spacing w:val="30"/>
      <w:kern w:val="0"/>
      <w:sz w:val="24"/>
    </w:rPr>
  </w:style>
  <w:style w:type="paragraph" w:customStyle="1" w:styleId="1554">
    <w:name w:val="表名"/>
    <w:basedOn w:val="1"/>
    <w:autoRedefine/>
    <w:qFormat/>
    <w:uiPriority w:val="0"/>
    <w:pPr>
      <w:jc w:val="center"/>
    </w:pPr>
    <w:rPr>
      <w:rFonts w:ascii="宋体"/>
      <w:sz w:val="24"/>
      <w:szCs w:val="20"/>
    </w:rPr>
  </w:style>
  <w:style w:type="paragraph" w:customStyle="1" w:styleId="1555">
    <w:name w:val="Char Char7 Char"/>
    <w:basedOn w:val="1"/>
    <w:autoRedefine/>
    <w:qFormat/>
    <w:uiPriority w:val="0"/>
    <w:pPr>
      <w:adjustRightInd w:val="0"/>
      <w:spacing w:line="360" w:lineRule="auto"/>
      <w:ind w:firstLine="601"/>
      <w:textAlignment w:val="baseline"/>
    </w:pPr>
    <w:rPr>
      <w:rFonts w:ascii="宋体" w:hAnsi="宋体"/>
      <w:spacing w:val="30"/>
      <w:kern w:val="0"/>
      <w:sz w:val="24"/>
      <w:szCs w:val="20"/>
    </w:rPr>
  </w:style>
  <w:style w:type="paragraph" w:customStyle="1" w:styleId="1556">
    <w:name w:val="正文小四"/>
    <w:basedOn w:val="1"/>
    <w:link w:val="1557"/>
    <w:autoRedefine/>
    <w:qFormat/>
    <w:uiPriority w:val="0"/>
    <w:pPr>
      <w:spacing w:line="360" w:lineRule="auto"/>
    </w:pPr>
    <w:rPr>
      <w:rFonts w:ascii="宋体"/>
      <w:sz w:val="24"/>
      <w:szCs w:val="20"/>
    </w:rPr>
  </w:style>
  <w:style w:type="character" w:customStyle="1" w:styleId="1557">
    <w:name w:val="正文小四 Char"/>
    <w:link w:val="1556"/>
    <w:autoRedefine/>
    <w:qFormat/>
    <w:uiPriority w:val="0"/>
    <w:rPr>
      <w:rFonts w:ascii="宋体"/>
      <w:kern w:val="2"/>
      <w:sz w:val="24"/>
    </w:rPr>
  </w:style>
  <w:style w:type="paragraph" w:customStyle="1" w:styleId="1558">
    <w:name w:val="样式 正文 + 行距: 固定值 22 磅 首行缩进:  2 字符"/>
    <w:basedOn w:val="1"/>
    <w:autoRedefine/>
    <w:qFormat/>
    <w:uiPriority w:val="0"/>
    <w:pPr>
      <w:spacing w:line="440" w:lineRule="exact"/>
      <w:ind w:firstLine="480" w:firstLineChars="200"/>
    </w:pPr>
    <w:rPr>
      <w:rFonts w:ascii="宋体" w:cs="宋体"/>
      <w:kern w:val="24"/>
      <w:sz w:val="24"/>
      <w:szCs w:val="20"/>
    </w:rPr>
  </w:style>
  <w:style w:type="paragraph" w:customStyle="1" w:styleId="1559">
    <w:name w:val="样式 标题 1h11st levelSection Headl1H11H11H12H13H14H15H1..."/>
    <w:basedOn w:val="3"/>
    <w:autoRedefine/>
    <w:qFormat/>
    <w:uiPriority w:val="0"/>
    <w:pPr>
      <w:keepNext w:val="0"/>
      <w:keepLines w:val="0"/>
      <w:widowControl/>
      <w:tabs>
        <w:tab w:val="left" w:pos="500"/>
      </w:tabs>
      <w:snapToGrid w:val="0"/>
      <w:spacing w:before="156" w:beforeLines="50" w:after="156" w:afterLines="50" w:line="400" w:lineRule="atLeast"/>
      <w:jc w:val="left"/>
    </w:pPr>
    <w:rPr>
      <w:rFonts w:cs="宋体"/>
      <w:kern w:val="2"/>
      <w:sz w:val="28"/>
      <w:szCs w:val="28"/>
    </w:rPr>
  </w:style>
  <w:style w:type="paragraph" w:customStyle="1" w:styleId="1560">
    <w:name w:val="_Style 2"/>
    <w:basedOn w:val="1"/>
    <w:next w:val="45"/>
    <w:autoRedefine/>
    <w:qFormat/>
    <w:uiPriority w:val="0"/>
    <w:rPr>
      <w:rFonts w:ascii="宋体" w:hAnsi="Courier New"/>
      <w:szCs w:val="20"/>
    </w:rPr>
  </w:style>
  <w:style w:type="paragraph" w:customStyle="1" w:styleId="1561">
    <w:name w:val="Char31"/>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562">
    <w:name w:val="Char Char Char Char11"/>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563">
    <w:name w:val="样式2"/>
    <w:basedOn w:val="1113"/>
    <w:autoRedefine/>
    <w:qFormat/>
    <w:uiPriority w:val="0"/>
    <w:pPr>
      <w:keepNext w:val="0"/>
      <w:keepLines w:val="0"/>
      <w:spacing w:before="0" w:after="0" w:line="240" w:lineRule="auto"/>
      <w:jc w:val="both"/>
      <w:outlineLvl w:val="9"/>
    </w:pPr>
    <w:rPr>
      <w:b w:val="0"/>
      <w:kern w:val="2"/>
      <w:sz w:val="32"/>
    </w:rPr>
  </w:style>
  <w:style w:type="paragraph" w:customStyle="1" w:styleId="1564">
    <w:name w:val="样式 段前: 0.1 行 段后: 0.1 行"/>
    <w:basedOn w:val="1"/>
    <w:autoRedefine/>
    <w:qFormat/>
    <w:uiPriority w:val="0"/>
    <w:pPr>
      <w:adjustRightInd w:val="0"/>
      <w:spacing w:before="31" w:after="31" w:line="400" w:lineRule="exact"/>
      <w:ind w:firstLine="601"/>
      <w:textAlignment w:val="baseline"/>
    </w:pPr>
    <w:rPr>
      <w:rFonts w:ascii="宋体" w:cs="宋体"/>
      <w:spacing w:val="30"/>
      <w:kern w:val="0"/>
      <w:sz w:val="24"/>
      <w:szCs w:val="20"/>
    </w:rPr>
  </w:style>
  <w:style w:type="paragraph" w:customStyle="1" w:styleId="1565">
    <w:name w:val="font13"/>
    <w:basedOn w:val="1"/>
    <w:autoRedefine/>
    <w:qFormat/>
    <w:uiPriority w:val="0"/>
    <w:pPr>
      <w:widowControl/>
      <w:adjustRightInd w:val="0"/>
      <w:spacing w:before="100" w:beforeAutospacing="1" w:after="100" w:afterAutospacing="1" w:line="400" w:lineRule="exact"/>
      <w:ind w:firstLine="601"/>
      <w:jc w:val="left"/>
      <w:textAlignment w:val="baseline"/>
    </w:pPr>
    <w:rPr>
      <w:rFonts w:hint="eastAsia" w:ascii="宋体" w:hAnsi="宋体" w:cs="Century"/>
      <w:spacing w:val="30"/>
      <w:kern w:val="0"/>
      <w:sz w:val="18"/>
      <w:szCs w:val="18"/>
    </w:rPr>
  </w:style>
  <w:style w:type="paragraph" w:customStyle="1" w:styleId="1566">
    <w:name w:val="样式3"/>
    <w:basedOn w:val="1"/>
    <w:autoRedefine/>
    <w:qFormat/>
    <w:uiPriority w:val="0"/>
    <w:pPr>
      <w:adjustRightInd w:val="0"/>
      <w:spacing w:line="440" w:lineRule="atLeast"/>
      <w:jc w:val="center"/>
      <w:textAlignment w:val="baseline"/>
    </w:pPr>
    <w:rPr>
      <w:rFonts w:ascii="Arial Rounded MT Bold" w:hAnsi="Arial Rounded MT Bold"/>
      <w:kern w:val="0"/>
      <w:sz w:val="24"/>
      <w:szCs w:val="20"/>
    </w:rPr>
  </w:style>
  <w:style w:type="paragraph" w:customStyle="1" w:styleId="1567">
    <w:name w:val="索引 71"/>
    <w:basedOn w:val="1"/>
    <w:next w:val="1"/>
    <w:autoRedefine/>
    <w:qFormat/>
    <w:uiPriority w:val="0"/>
    <w:pPr>
      <w:adjustRightInd w:val="0"/>
      <w:spacing w:line="400" w:lineRule="exact"/>
      <w:ind w:left="2520"/>
      <w:textAlignment w:val="baseline"/>
    </w:pPr>
    <w:rPr>
      <w:rFonts w:ascii="宋体"/>
      <w:spacing w:val="30"/>
      <w:kern w:val="0"/>
      <w:sz w:val="24"/>
      <w:szCs w:val="20"/>
    </w:rPr>
  </w:style>
  <w:style w:type="paragraph" w:customStyle="1" w:styleId="1568">
    <w:name w:val="Char Char Char Char Char Char Char Char Char Char Char Char Char Char Char Char Char Char Char Char Char"/>
    <w:basedOn w:val="1"/>
    <w:autoRedefine/>
    <w:qFormat/>
    <w:uiPriority w:val="0"/>
    <w:pPr>
      <w:tabs>
        <w:tab w:val="left" w:pos="720"/>
      </w:tabs>
    </w:pPr>
    <w:rPr>
      <w:rFonts w:ascii="宋体"/>
      <w:sz w:val="24"/>
    </w:rPr>
  </w:style>
  <w:style w:type="paragraph" w:customStyle="1" w:styleId="1569">
    <w:name w:val="(文字) (文字)1 Char Char Char"/>
    <w:basedOn w:val="1"/>
    <w:autoRedefine/>
    <w:qFormat/>
    <w:uiPriority w:val="0"/>
    <w:pPr>
      <w:tabs>
        <w:tab w:val="left" w:pos="1559"/>
      </w:tabs>
      <w:ind w:left="1559" w:hanging="720"/>
    </w:pPr>
    <w:rPr>
      <w:rFonts w:ascii="宋体"/>
      <w:sz w:val="24"/>
    </w:rPr>
  </w:style>
  <w:style w:type="paragraph" w:customStyle="1" w:styleId="1570">
    <w:name w:val="CM73"/>
    <w:basedOn w:val="112"/>
    <w:next w:val="112"/>
    <w:autoRedefine/>
    <w:qFormat/>
    <w:uiPriority w:val="0"/>
    <w:pPr>
      <w:spacing w:after="185"/>
    </w:pPr>
    <w:rPr>
      <w:rFonts w:ascii="宋体" w:eastAsia="宋体" w:cs="Times New Roman"/>
      <w:color w:val="auto"/>
    </w:rPr>
  </w:style>
  <w:style w:type="paragraph" w:customStyle="1" w:styleId="1571">
    <w:name w:val="CM46"/>
    <w:basedOn w:val="112"/>
    <w:next w:val="112"/>
    <w:autoRedefine/>
    <w:qFormat/>
    <w:uiPriority w:val="0"/>
    <w:pPr>
      <w:spacing w:after="365"/>
    </w:pPr>
    <w:rPr>
      <w:rFonts w:ascii="宋体" w:eastAsia="宋体" w:cs="Times New Roman"/>
      <w:color w:val="auto"/>
    </w:rPr>
  </w:style>
  <w:style w:type="paragraph" w:customStyle="1" w:styleId="1572">
    <w:name w:val="样式 (中文) 楷体_GB2312 居中 行距: 固定值 12 磅"/>
    <w:basedOn w:val="1"/>
    <w:autoRedefine/>
    <w:qFormat/>
    <w:uiPriority w:val="0"/>
    <w:pPr>
      <w:spacing w:line="240" w:lineRule="exact"/>
      <w:jc w:val="center"/>
    </w:pPr>
    <w:rPr>
      <w:rFonts w:ascii="宋体" w:cs="宋体"/>
      <w:szCs w:val="20"/>
    </w:rPr>
  </w:style>
  <w:style w:type="paragraph" w:customStyle="1" w:styleId="157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574">
    <w:name w:val="reader-word-layer reader-word-s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75">
    <w:name w:val="font23"/>
    <w:basedOn w:val="1"/>
    <w:autoRedefine/>
    <w:qFormat/>
    <w:uiPriority w:val="0"/>
    <w:pPr>
      <w:widowControl/>
      <w:spacing w:before="100" w:beforeAutospacing="1" w:after="100" w:afterAutospacing="1"/>
      <w:jc w:val="left"/>
    </w:pPr>
    <w:rPr>
      <w:rFonts w:ascii="宋体" w:hAnsi="宋体" w:cs="宋体"/>
      <w:b/>
      <w:bCs/>
      <w:color w:val="800080"/>
      <w:kern w:val="0"/>
      <w:sz w:val="22"/>
      <w:szCs w:val="22"/>
    </w:rPr>
  </w:style>
  <w:style w:type="paragraph" w:customStyle="1" w:styleId="1576">
    <w:name w:val="基准标题"/>
    <w:basedOn w:val="1"/>
    <w:next w:val="34"/>
    <w:autoRedefine/>
    <w:qFormat/>
    <w:uiPriority w:val="0"/>
    <w:pPr>
      <w:keepNext/>
      <w:keepLines/>
      <w:widowControl/>
      <w:adjustRightInd w:val="0"/>
      <w:spacing w:before="140" w:line="220" w:lineRule="atLeast"/>
      <w:ind w:firstLine="601"/>
      <w:jc w:val="left"/>
      <w:textAlignment w:val="baseline"/>
    </w:pPr>
    <w:rPr>
      <w:rFonts w:ascii="Arial" w:hAnsi="Arial"/>
      <w:spacing w:val="-4"/>
      <w:kern w:val="28"/>
      <w:sz w:val="22"/>
      <w:szCs w:val="20"/>
    </w:rPr>
  </w:style>
  <w:style w:type="paragraph" w:customStyle="1" w:styleId="1577">
    <w:name w:val="Char21"/>
    <w:basedOn w:val="1"/>
    <w:autoRedefine/>
    <w:qFormat/>
    <w:uiPriority w:val="0"/>
    <w:pPr>
      <w:adjustRightInd w:val="0"/>
      <w:spacing w:line="400" w:lineRule="exact"/>
      <w:ind w:firstLine="601"/>
      <w:textAlignment w:val="baseline"/>
    </w:pPr>
    <w:rPr>
      <w:rFonts w:ascii="宋体"/>
      <w:spacing w:val="30"/>
      <w:kern w:val="0"/>
      <w:sz w:val="24"/>
    </w:rPr>
  </w:style>
  <w:style w:type="paragraph" w:customStyle="1" w:styleId="1578">
    <w:name w:val="in15"/>
    <w:basedOn w:val="1"/>
    <w:autoRedefine/>
    <w:qFormat/>
    <w:uiPriority w:val="0"/>
    <w:pPr>
      <w:widowControl/>
      <w:spacing w:before="100" w:beforeAutospacing="1" w:after="100" w:afterAutospacing="1" w:line="360" w:lineRule="auto"/>
      <w:jc w:val="left"/>
    </w:pPr>
    <w:rPr>
      <w:rFonts w:ascii="宋体" w:hAnsi="宋体" w:cs="宋体"/>
      <w:kern w:val="0"/>
      <w:sz w:val="16"/>
      <w:szCs w:val="16"/>
    </w:rPr>
  </w:style>
  <w:style w:type="paragraph" w:customStyle="1" w:styleId="1579">
    <w:name w:val="CM75"/>
    <w:basedOn w:val="1"/>
    <w:next w:val="1"/>
    <w:autoRedefine/>
    <w:qFormat/>
    <w:uiPriority w:val="0"/>
    <w:pPr>
      <w:autoSpaceDE w:val="0"/>
      <w:autoSpaceDN w:val="0"/>
      <w:adjustRightInd w:val="0"/>
      <w:spacing w:after="60"/>
      <w:jc w:val="left"/>
    </w:pPr>
    <w:rPr>
      <w:rFonts w:ascii="Sim Sun+ 2" w:eastAsia="Sim Sun+ 2" w:cs="Sim Sun+ 2"/>
      <w:kern w:val="0"/>
      <w:sz w:val="24"/>
    </w:rPr>
  </w:style>
  <w:style w:type="paragraph" w:customStyle="1" w:styleId="1580">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1581">
    <w:name w:val="样式 样式 样式 首行缩进:  2 字符 + 首行缩进:  2 字符 + 首行缩进:  2 字符"/>
    <w:basedOn w:val="4"/>
    <w:autoRedefine/>
    <w:qFormat/>
    <w:uiPriority w:val="0"/>
    <w:pPr>
      <w:keepNext w:val="0"/>
      <w:keepLines w:val="0"/>
      <w:adjustRightInd/>
      <w:snapToGrid w:val="0"/>
      <w:spacing w:before="0" w:after="0" w:line="480" w:lineRule="exact"/>
      <w:ind w:left="0" w:firstLine="480" w:firstLineChars="200"/>
      <w:jc w:val="both"/>
      <w:textAlignment w:val="auto"/>
      <w:outlineLvl w:val="9"/>
    </w:pPr>
    <w:rPr>
      <w:rFonts w:ascii="仿宋_GB2312" w:hAnsi="宋体" w:eastAsia="仿宋_GB2312"/>
      <w:b w:val="0"/>
      <w:bCs/>
      <w:color w:val="000000"/>
      <w:sz w:val="24"/>
      <w:szCs w:val="24"/>
    </w:rPr>
  </w:style>
  <w:style w:type="paragraph" w:customStyle="1" w:styleId="1582">
    <w:name w:val="reader-word-layer reader-word-s1-3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83">
    <w:name w:val="图号标题"/>
    <w:basedOn w:val="1194"/>
    <w:next w:val="1"/>
    <w:autoRedefine/>
    <w:qFormat/>
    <w:uiPriority w:val="0"/>
    <w:pPr>
      <w:pBdr>
        <w:top w:val="none" w:color="auto" w:sz="0" w:space="0"/>
        <w:left w:val="none" w:color="auto" w:sz="0" w:space="0"/>
        <w:bottom w:val="none" w:color="auto" w:sz="0" w:space="0"/>
        <w:right w:val="none" w:color="auto" w:sz="0" w:space="0"/>
      </w:pBdr>
      <w:adjustRightInd/>
      <w:spacing w:after="0" w:line="440" w:lineRule="exact"/>
      <w:ind w:right="0"/>
      <w:jc w:val="center"/>
      <w:textAlignment w:val="auto"/>
    </w:pPr>
    <w:rPr>
      <w:rFonts w:ascii="Times New Roman" w:eastAsia="楷体_GB2312"/>
      <w:b/>
      <w:kern w:val="2"/>
      <w:sz w:val="21"/>
    </w:rPr>
  </w:style>
  <w:style w:type="paragraph" w:customStyle="1" w:styleId="1584">
    <w:name w:val="表芯左"/>
    <w:basedOn w:val="1"/>
    <w:autoRedefine/>
    <w:qFormat/>
    <w:uiPriority w:val="0"/>
    <w:pPr>
      <w:adjustRightInd w:val="0"/>
      <w:spacing w:line="320" w:lineRule="atLeast"/>
      <w:jc w:val="left"/>
      <w:textAlignment w:val="baseline"/>
    </w:pPr>
    <w:rPr>
      <w:rFonts w:ascii="宋体"/>
      <w:spacing w:val="-12"/>
      <w:kern w:val="0"/>
      <w:szCs w:val="20"/>
    </w:rPr>
  </w:style>
  <w:style w:type="paragraph" w:customStyle="1" w:styleId="1585">
    <w:name w:val="reader-word-layer reader-word-s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86">
    <w:name w:val="Char Char Char1 Char Char Char1 Char Char Char1 Char"/>
    <w:basedOn w:val="1"/>
    <w:autoRedefine/>
    <w:qFormat/>
    <w:uiPriority w:val="0"/>
    <w:pPr>
      <w:adjustRightInd w:val="0"/>
      <w:spacing w:line="400" w:lineRule="exact"/>
      <w:ind w:firstLine="200" w:firstLineChars="200"/>
      <w:textAlignment w:val="baseline"/>
    </w:pPr>
    <w:rPr>
      <w:rFonts w:ascii="宋体"/>
      <w:spacing w:val="30"/>
      <w:kern w:val="0"/>
      <w:sz w:val="24"/>
      <w:szCs w:val="28"/>
    </w:rPr>
  </w:style>
  <w:style w:type="paragraph" w:customStyle="1" w:styleId="1587">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2"/>
      <w:szCs w:val="22"/>
    </w:rPr>
  </w:style>
  <w:style w:type="paragraph" w:customStyle="1" w:styleId="1588">
    <w:name w:val="font16"/>
    <w:basedOn w:val="1"/>
    <w:autoRedefine/>
    <w:qFormat/>
    <w:uiPriority w:val="0"/>
    <w:pPr>
      <w:widowControl/>
      <w:adjustRightInd w:val="0"/>
      <w:spacing w:before="100" w:beforeAutospacing="1" w:after="100" w:afterAutospacing="1" w:line="400" w:lineRule="exact"/>
      <w:ind w:firstLine="601"/>
      <w:jc w:val="left"/>
      <w:textAlignment w:val="baseline"/>
    </w:pPr>
    <w:rPr>
      <w:rFonts w:ascii="Arial" w:hAnsi="Arial" w:eastAsia="PMingLiU" w:cs="Arial"/>
      <w:spacing w:val="30"/>
      <w:kern w:val="0"/>
      <w:sz w:val="22"/>
      <w:szCs w:val="22"/>
      <w:lang w:eastAsia="zh-TW"/>
    </w:rPr>
  </w:style>
  <w:style w:type="paragraph" w:customStyle="1" w:styleId="1589">
    <w:name w:val="报告题名"/>
    <w:basedOn w:val="1"/>
    <w:autoRedefine/>
    <w:qFormat/>
    <w:uiPriority w:val="0"/>
    <w:pPr>
      <w:adjustRightInd w:val="0"/>
      <w:snapToGrid w:val="0"/>
      <w:spacing w:before="468" w:beforeLines="150" w:after="312" w:afterLines="100" w:line="480" w:lineRule="auto"/>
      <w:jc w:val="center"/>
      <w:outlineLvl w:val="0"/>
    </w:pPr>
    <w:rPr>
      <w:rFonts w:ascii="宋体"/>
      <w:b/>
      <w:bCs/>
      <w:sz w:val="52"/>
      <w:szCs w:val="52"/>
    </w:rPr>
  </w:style>
  <w:style w:type="paragraph" w:customStyle="1" w:styleId="1590">
    <w:name w:val="xl59"/>
    <w:basedOn w:val="1"/>
    <w:autoRedefine/>
    <w:qFormat/>
    <w:uiPriority w:val="0"/>
    <w:pPr>
      <w:widowControl/>
      <w:shd w:val="clear" w:color="auto" w:fill="FFFFFF"/>
      <w:adjustRightInd w:val="0"/>
      <w:spacing w:before="100" w:beforeAutospacing="1" w:after="100" w:afterAutospacing="1" w:line="400" w:lineRule="exact"/>
      <w:ind w:firstLine="601"/>
      <w:jc w:val="left"/>
      <w:textAlignment w:val="baseline"/>
    </w:pPr>
    <w:rPr>
      <w:rFonts w:hint="eastAsia" w:ascii="宋体" w:hAnsi="宋体"/>
      <w:color w:val="000000"/>
      <w:spacing w:val="30"/>
      <w:kern w:val="0"/>
      <w:sz w:val="20"/>
      <w:szCs w:val="20"/>
    </w:rPr>
  </w:style>
  <w:style w:type="paragraph" w:customStyle="1" w:styleId="1591">
    <w:name w:val="样式 标题 3标题 3 Char Char条标题1.1.1Section头小标题小节标题Sottoparagraf..."/>
    <w:basedOn w:val="5"/>
    <w:autoRedefine/>
    <w:qFormat/>
    <w:uiPriority w:val="0"/>
    <w:pPr>
      <w:keepLines w:val="0"/>
      <w:tabs>
        <w:tab w:val="left" w:pos="360"/>
      </w:tabs>
      <w:spacing w:before="0" w:after="0" w:line="360" w:lineRule="auto"/>
    </w:pPr>
    <w:rPr>
      <w:rFonts w:ascii="Calibri" w:hAnsi="Calibri" w:eastAsia="宋体" w:cs="宋体"/>
      <w:b w:val="0"/>
      <w:bCs w:val="0"/>
      <w:kern w:val="0"/>
      <w:sz w:val="24"/>
      <w:szCs w:val="20"/>
    </w:rPr>
  </w:style>
  <w:style w:type="character" w:customStyle="1" w:styleId="1592">
    <w:name w:val="表内文字 Char"/>
    <w:link w:val="1593"/>
    <w:autoRedefine/>
    <w:qFormat/>
    <w:uiPriority w:val="0"/>
    <w:rPr>
      <w:spacing w:val="20"/>
      <w:sz w:val="24"/>
    </w:rPr>
  </w:style>
  <w:style w:type="paragraph" w:customStyle="1" w:styleId="1593">
    <w:name w:val="表内文字"/>
    <w:basedOn w:val="1"/>
    <w:link w:val="1592"/>
    <w:autoRedefine/>
    <w:qFormat/>
    <w:uiPriority w:val="0"/>
    <w:pPr>
      <w:spacing w:line="400" w:lineRule="exact"/>
      <w:ind w:firstLine="624"/>
    </w:pPr>
    <w:rPr>
      <w:rFonts w:asciiTheme="minorHAnsi" w:hAnsiTheme="minorHAnsi" w:eastAsiaTheme="minorEastAsia" w:cstheme="minorBidi"/>
      <w:spacing w:val="20"/>
      <w:sz w:val="24"/>
      <w:szCs w:val="22"/>
    </w:rPr>
  </w:style>
  <w:style w:type="paragraph" w:customStyle="1" w:styleId="1594">
    <w:name w:val="5级标题"/>
    <w:basedOn w:val="1"/>
    <w:autoRedefine/>
    <w:qFormat/>
    <w:uiPriority w:val="0"/>
    <w:pPr>
      <w:spacing w:line="360" w:lineRule="auto"/>
      <w:jc w:val="left"/>
    </w:pPr>
    <w:rPr>
      <w:sz w:val="24"/>
      <w:szCs w:val="22"/>
    </w:rPr>
  </w:style>
  <w:style w:type="character" w:customStyle="1" w:styleId="1595">
    <w:name w:val="fs9xgk5wc0a"/>
    <w:basedOn w:val="94"/>
    <w:autoRedefine/>
    <w:qFormat/>
    <w:uiPriority w:val="0"/>
  </w:style>
  <w:style w:type="character" w:styleId="1596">
    <w:name w:val="Placeholder Text"/>
    <w:basedOn w:val="94"/>
    <w:autoRedefine/>
    <w:semiHidden/>
    <w:qFormat/>
    <w:uiPriority w:val="99"/>
    <w:rPr>
      <w:color w:val="808080"/>
    </w:rPr>
  </w:style>
  <w:style w:type="character" w:customStyle="1" w:styleId="1597">
    <w:name w:val="正文缩进 Char1"/>
    <w:autoRedefine/>
    <w:qFormat/>
    <w:uiPriority w:val="0"/>
    <w:rPr>
      <w:rFonts w:ascii="Bookman Old Style" w:hAnsi="Bookman Old Style" w:eastAsia="宋体" w:cs="Times New Roman"/>
      <w:sz w:val="24"/>
      <w:szCs w:val="20"/>
    </w:rPr>
  </w:style>
  <w:style w:type="character" w:customStyle="1" w:styleId="1598">
    <w:name w:val="纯文本 Char1"/>
    <w:autoRedefine/>
    <w:qFormat/>
    <w:uiPriority w:val="99"/>
    <w:rPr>
      <w:rFonts w:ascii="宋体" w:hAnsi="Courier New" w:eastAsia="宋体" w:cs="Times New Roman"/>
      <w:szCs w:val="20"/>
      <w:lang w:val="zh-CN"/>
    </w:rPr>
  </w:style>
  <w:style w:type="character" w:customStyle="1" w:styleId="1599">
    <w:name w:val="font_text1"/>
    <w:autoRedefine/>
    <w:qFormat/>
    <w:uiPriority w:val="0"/>
    <w:rPr>
      <w:sz w:val="24"/>
      <w:szCs w:val="24"/>
    </w:rPr>
  </w:style>
  <w:style w:type="character" w:customStyle="1" w:styleId="1600">
    <w:name w:val="hhcwt正文 Char"/>
    <w:link w:val="1601"/>
    <w:autoRedefine/>
    <w:qFormat/>
    <w:uiPriority w:val="0"/>
    <w:rPr>
      <w:rFonts w:cs="宋体"/>
      <w:sz w:val="24"/>
    </w:rPr>
  </w:style>
  <w:style w:type="paragraph" w:customStyle="1" w:styleId="1601">
    <w:name w:val="hhcwt正文"/>
    <w:basedOn w:val="1"/>
    <w:link w:val="1600"/>
    <w:autoRedefine/>
    <w:qFormat/>
    <w:uiPriority w:val="0"/>
    <w:pPr>
      <w:spacing w:line="360" w:lineRule="auto"/>
      <w:ind w:firstLine="480" w:firstLineChars="200"/>
    </w:pPr>
    <w:rPr>
      <w:rFonts w:cs="宋体"/>
      <w:kern w:val="0"/>
      <w:sz w:val="24"/>
      <w:szCs w:val="20"/>
    </w:rPr>
  </w:style>
  <w:style w:type="character" w:customStyle="1" w:styleId="1602">
    <w:name w:val="谏壁正文chen Char"/>
    <w:link w:val="1603"/>
    <w:autoRedefine/>
    <w:qFormat/>
    <w:uiPriority w:val="0"/>
    <w:rPr>
      <w:sz w:val="24"/>
      <w:szCs w:val="24"/>
    </w:rPr>
  </w:style>
  <w:style w:type="paragraph" w:customStyle="1" w:styleId="1603">
    <w:name w:val="谏壁正文chen"/>
    <w:basedOn w:val="1"/>
    <w:link w:val="1602"/>
    <w:autoRedefine/>
    <w:qFormat/>
    <w:uiPriority w:val="0"/>
    <w:pPr>
      <w:spacing w:line="360" w:lineRule="auto"/>
      <w:ind w:firstLine="200" w:firstLineChars="200"/>
    </w:pPr>
    <w:rPr>
      <w:kern w:val="0"/>
      <w:sz w:val="24"/>
    </w:rPr>
  </w:style>
  <w:style w:type="character" w:customStyle="1" w:styleId="1604">
    <w:name w:val="文字 Char"/>
    <w:autoRedefine/>
    <w:qFormat/>
    <w:uiPriority w:val="0"/>
    <w:rPr>
      <w:rFonts w:eastAsia="宋体"/>
      <w:sz w:val="24"/>
      <w:szCs w:val="24"/>
    </w:rPr>
  </w:style>
  <w:style w:type="character" w:customStyle="1" w:styleId="1605">
    <w:name w:val="正文（首行缩进两字） Char1"/>
    <w:autoRedefine/>
    <w:qFormat/>
    <w:uiPriority w:val="0"/>
    <w:rPr>
      <w:rFonts w:eastAsia="宋体"/>
      <w:kern w:val="2"/>
      <w:sz w:val="28"/>
      <w:szCs w:val="24"/>
      <w:lang w:val="en-US" w:eastAsia="zh-CN" w:bidi="ar-SA"/>
    </w:rPr>
  </w:style>
  <w:style w:type="paragraph" w:customStyle="1" w:styleId="1606">
    <w:name w:val="Char Char Char Char Char Char Char Char Char1 Char Char Char Char Char Char"/>
    <w:basedOn w:val="1"/>
    <w:autoRedefine/>
    <w:qFormat/>
    <w:uiPriority w:val="0"/>
  </w:style>
  <w:style w:type="character" w:customStyle="1" w:styleId="1607">
    <w:name w:val="报告书表格 Char"/>
    <w:autoRedefine/>
    <w:qFormat/>
    <w:uiPriority w:val="99"/>
    <w:rPr>
      <w:rFonts w:ascii="Calibri" w:hAnsi="Calibri" w:eastAsia="仿宋_GB2312" w:cs="Times New Roman"/>
      <w:kern w:val="0"/>
      <w:sz w:val="24"/>
      <w:szCs w:val="20"/>
      <w:lang w:eastAsia="en-US" w:bidi="en-US"/>
    </w:rPr>
  </w:style>
  <w:style w:type="paragraph" w:customStyle="1" w:styleId="1608">
    <w:name w:val="Char2 Char Char1 Char"/>
    <w:basedOn w:val="1"/>
    <w:autoRedefine/>
    <w:qFormat/>
    <w:uiPriority w:val="0"/>
    <w:rPr>
      <w:sz w:val="24"/>
    </w:rPr>
  </w:style>
  <w:style w:type="paragraph" w:customStyle="1" w:styleId="1609">
    <w:name w:val="批注框文本 Char Char"/>
    <w:basedOn w:val="1"/>
    <w:autoRedefine/>
    <w:qFormat/>
    <w:uiPriority w:val="0"/>
    <w:rPr>
      <w:rFonts w:hint="eastAsia"/>
      <w:sz w:val="18"/>
      <w:szCs w:val="20"/>
    </w:rPr>
  </w:style>
  <w:style w:type="paragraph" w:customStyle="1" w:styleId="1610">
    <w:name w:val="样式 表格 + 黑色"/>
    <w:basedOn w:val="373"/>
    <w:autoRedefine/>
    <w:qFormat/>
    <w:uiPriority w:val="0"/>
    <w:pPr>
      <w:adjustRightInd w:val="0"/>
      <w:snapToGrid w:val="0"/>
    </w:pPr>
    <w:rPr>
      <w:rFonts w:hAnsi="Times New Roman" w:eastAsia="Courier New"/>
      <w:color w:val="000000"/>
      <w:spacing w:val="-4"/>
      <w:sz w:val="21"/>
      <w:szCs w:val="21"/>
    </w:rPr>
  </w:style>
  <w:style w:type="paragraph" w:customStyle="1" w:styleId="1611">
    <w:name w:val="zxz5"/>
    <w:next w:val="1"/>
    <w:autoRedefine/>
    <w:qFormat/>
    <w:uiPriority w:val="0"/>
    <w:pPr>
      <w:tabs>
        <w:tab w:val="left" w:pos="0"/>
      </w:tabs>
      <w:jc w:val="center"/>
    </w:pPr>
    <w:rPr>
      <w:rFonts w:ascii="宋体" w:hAnsi="宋体" w:eastAsia="Times New Roman" w:cs="宋体"/>
      <w:bCs/>
      <w:kern w:val="2"/>
      <w:sz w:val="18"/>
      <w:szCs w:val="18"/>
      <w:lang w:val="en-US" w:eastAsia="zh-CN" w:bidi="ar-SA"/>
    </w:rPr>
  </w:style>
  <w:style w:type="character" w:customStyle="1" w:styleId="1612">
    <w:name w:val="表头 Char"/>
    <w:autoRedefine/>
    <w:qFormat/>
    <w:locked/>
    <w:uiPriority w:val="0"/>
    <w:rPr>
      <w:rFonts w:ascii="Times New Roman" w:hAnsi="Times New Roman" w:eastAsia="黑体" w:cs="Times New Roman"/>
      <w:spacing w:val="-10"/>
      <w:kern w:val="0"/>
      <w:sz w:val="24"/>
      <w:szCs w:val="20"/>
    </w:rPr>
  </w:style>
  <w:style w:type="character" w:customStyle="1" w:styleId="1613">
    <w:name w:val="表格文字 Char"/>
    <w:autoRedefine/>
    <w:qFormat/>
    <w:locked/>
    <w:uiPriority w:val="0"/>
    <w:rPr>
      <w:rFonts w:ascii="仿宋_GB2312" w:hAnsi="Arial Black" w:eastAsia="仿宋_GB2312" w:cs="Times New Roman"/>
      <w:kern w:val="44"/>
      <w:sz w:val="24"/>
      <w:szCs w:val="20"/>
      <w:lang w:val="zh-CN"/>
    </w:rPr>
  </w:style>
  <w:style w:type="paragraph" w:customStyle="1" w:styleId="1614">
    <w:name w:val="T表格"/>
    <w:autoRedefine/>
    <w:qFormat/>
    <w:uiPriority w:val="0"/>
    <w:pPr>
      <w:jc w:val="center"/>
    </w:pPr>
    <w:rPr>
      <w:rFonts w:ascii="Times New Roman" w:hAnsi="Times New Roman" w:eastAsia="宋体" w:cs="Times New Roman"/>
      <w:sz w:val="21"/>
      <w:lang w:val="en-US" w:eastAsia="zh-CN" w:bidi="ar-SA"/>
    </w:rPr>
  </w:style>
  <w:style w:type="paragraph" w:customStyle="1" w:styleId="1615">
    <w:name w:val="Normal_1"/>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1616">
    <w:name w:val="表格 普通文字"/>
    <w:link w:val="1617"/>
    <w:autoRedefine/>
    <w:qFormat/>
    <w:uiPriority w:val="0"/>
    <w:pPr>
      <w:snapToGrid w:val="0"/>
      <w:jc w:val="center"/>
    </w:pPr>
    <w:rPr>
      <w:rFonts w:ascii="Times New Roman" w:hAnsi="Times New Roman" w:eastAsia="仿宋_GB2312" w:cs="Times New Roman"/>
      <w:kern w:val="2"/>
      <w:sz w:val="21"/>
      <w:szCs w:val="21"/>
      <w:lang w:val="en-US" w:eastAsia="zh-CN" w:bidi="ar-SA"/>
    </w:rPr>
  </w:style>
  <w:style w:type="character" w:customStyle="1" w:styleId="1617">
    <w:name w:val="表格 普通文字 Char"/>
    <w:link w:val="1616"/>
    <w:autoRedefine/>
    <w:qFormat/>
    <w:uiPriority w:val="0"/>
    <w:rPr>
      <w:rFonts w:eastAsia="仿宋_GB2312"/>
      <w:kern w:val="2"/>
      <w:sz w:val="21"/>
      <w:szCs w:val="21"/>
    </w:rPr>
  </w:style>
  <w:style w:type="character" w:customStyle="1" w:styleId="1618">
    <w:name w:val="ppx_h1"/>
    <w:autoRedefine/>
    <w:qFormat/>
    <w:uiPriority w:val="0"/>
    <w:rPr>
      <w:rFonts w:hint="default" w:ascii="ˎ̥" w:hAnsi="ˎ̥"/>
      <w:color w:val="000000"/>
      <w:sz w:val="22"/>
      <w:szCs w:val="22"/>
      <w:u w:val="none"/>
    </w:rPr>
  </w:style>
  <w:style w:type="character" w:customStyle="1" w:styleId="1619">
    <w:name w:val="blue1"/>
    <w:autoRedefine/>
    <w:qFormat/>
    <w:uiPriority w:val="0"/>
    <w:rPr>
      <w:color w:val="000066"/>
      <w:sz w:val="18"/>
      <w:szCs w:val="18"/>
      <w:u w:val="none"/>
    </w:rPr>
  </w:style>
  <w:style w:type="character" w:customStyle="1" w:styleId="1620">
    <w:name w:val="pp11"/>
    <w:autoRedefine/>
    <w:qFormat/>
    <w:uiPriority w:val="0"/>
    <w:rPr>
      <w:rFonts w:hint="eastAsia" w:ascii="宋体" w:hAnsi="宋体" w:eastAsia="宋体"/>
      <w:sz w:val="18"/>
      <w:szCs w:val="18"/>
    </w:rPr>
  </w:style>
  <w:style w:type="character" w:customStyle="1" w:styleId="1621">
    <w:name w:val="标题 2 Char Char Char Char Char"/>
    <w:autoRedefine/>
    <w:qFormat/>
    <w:uiPriority w:val="0"/>
    <w:rPr>
      <w:rFonts w:eastAsia="宋体"/>
      <w:bCs/>
      <w:kern w:val="2"/>
      <w:sz w:val="28"/>
      <w:szCs w:val="32"/>
      <w:lang w:val="en-US" w:eastAsia="zh-CN" w:bidi="ar-SA"/>
    </w:rPr>
  </w:style>
  <w:style w:type="character" w:customStyle="1" w:styleId="1622">
    <w:name w:val="zhou11"/>
    <w:autoRedefine/>
    <w:qFormat/>
    <w:uiPriority w:val="0"/>
    <w:rPr>
      <w:color w:val="000000"/>
      <w:sz w:val="21"/>
      <w:szCs w:val="21"/>
    </w:rPr>
  </w:style>
  <w:style w:type="character" w:customStyle="1" w:styleId="1623">
    <w:name w:val="s221"/>
    <w:autoRedefine/>
    <w:qFormat/>
    <w:uiPriority w:val="0"/>
    <w:rPr>
      <w:rFonts w:hint="default"/>
      <w:color w:val="000000"/>
      <w:sz w:val="18"/>
      <w:szCs w:val="18"/>
      <w:u w:val="none"/>
    </w:rPr>
  </w:style>
  <w:style w:type="character" w:customStyle="1" w:styleId="1624">
    <w:name w:val="样式 标题 4 + 黑色 Char Char"/>
    <w:autoRedefine/>
    <w:qFormat/>
    <w:uiPriority w:val="0"/>
    <w:rPr>
      <w:rFonts w:eastAsia="宋体"/>
      <w:bCs/>
      <w:color w:val="000000"/>
      <w:sz w:val="24"/>
      <w:lang w:val="en-US" w:eastAsia="zh-CN" w:bidi="ar-SA"/>
    </w:rPr>
  </w:style>
  <w:style w:type="character" w:customStyle="1" w:styleId="1625">
    <w:name w:val="m lh15"/>
    <w:autoRedefine/>
    <w:qFormat/>
    <w:uiPriority w:val="0"/>
    <w:rPr>
      <w:rFonts w:eastAsia="宋体"/>
      <w:kern w:val="2"/>
      <w:sz w:val="24"/>
      <w:szCs w:val="24"/>
      <w:lang w:val="en-US" w:eastAsia="zh-CN" w:bidi="ar-SA"/>
    </w:rPr>
  </w:style>
  <w:style w:type="character" w:customStyle="1" w:styleId="1626">
    <w:name w:val="dxkf1"/>
    <w:autoRedefine/>
    <w:qFormat/>
    <w:uiPriority w:val="0"/>
    <w:rPr>
      <w:rFonts w:hint="default" w:ascii="ˎ̥" w:hAnsi="ˎ̥"/>
      <w:color w:val="585858"/>
      <w:sz w:val="20"/>
      <w:szCs w:val="20"/>
    </w:rPr>
  </w:style>
  <w:style w:type="character" w:customStyle="1" w:styleId="1627">
    <w:name w:val="style201"/>
    <w:autoRedefine/>
    <w:qFormat/>
    <w:uiPriority w:val="0"/>
    <w:rPr>
      <w:color w:val="000000"/>
      <w:sz w:val="18"/>
      <w:szCs w:val="18"/>
    </w:rPr>
  </w:style>
  <w:style w:type="character" w:customStyle="1" w:styleId="1628">
    <w:name w:val="样式 标题 3标题 3 Char标题 3 Char Char Char Char Char Char Char Char C...6 Char Char"/>
    <w:link w:val="1629"/>
    <w:autoRedefine/>
    <w:qFormat/>
    <w:uiPriority w:val="0"/>
    <w:rPr>
      <w:color w:val="000000"/>
      <w:sz w:val="24"/>
      <w:szCs w:val="32"/>
    </w:rPr>
  </w:style>
  <w:style w:type="paragraph" w:customStyle="1" w:styleId="1629">
    <w:name w:val="样式 标题 3标题 3 Char标题 3 Char Char Char Char Char Char Char Char C...6"/>
    <w:basedOn w:val="5"/>
    <w:link w:val="1628"/>
    <w:autoRedefine/>
    <w:qFormat/>
    <w:uiPriority w:val="0"/>
    <w:pPr>
      <w:widowControl/>
      <w:tabs>
        <w:tab w:val="left" w:pos="720"/>
      </w:tabs>
      <w:spacing w:before="0" w:after="0" w:line="360" w:lineRule="auto"/>
      <w:ind w:left="720" w:hanging="720"/>
      <w:jc w:val="left"/>
    </w:pPr>
    <w:rPr>
      <w:rFonts w:ascii="Times New Roman" w:hAnsi="Times New Roman" w:eastAsia="宋体" w:cs="Times New Roman"/>
      <w:b w:val="0"/>
      <w:bCs w:val="0"/>
      <w:color w:val="000000"/>
      <w:kern w:val="0"/>
      <w:sz w:val="24"/>
    </w:rPr>
  </w:style>
  <w:style w:type="character" w:customStyle="1" w:styleId="1630">
    <w:name w:val="size9"/>
    <w:basedOn w:val="94"/>
    <w:autoRedefine/>
    <w:qFormat/>
    <w:uiPriority w:val="0"/>
  </w:style>
  <w:style w:type="character" w:customStyle="1" w:styleId="1631">
    <w:name w:val="样式 标题 3 + 仿宋_GB2312 四号 粉红 Char"/>
    <w:autoRedefine/>
    <w:qFormat/>
    <w:uiPriority w:val="0"/>
    <w:rPr>
      <w:rFonts w:ascii="仿宋_GB2312" w:hAnsi="仿宋_GB2312" w:eastAsia="仿宋_GB2312"/>
      <w:b/>
      <w:color w:val="FF00FF"/>
      <w:kern w:val="2"/>
      <w:sz w:val="28"/>
      <w:lang w:val="en-US" w:eastAsia="zh-CN" w:bidi="ar-SA"/>
    </w:rPr>
  </w:style>
  <w:style w:type="character" w:customStyle="1" w:styleId="1632">
    <w:name w:val="w231"/>
    <w:autoRedefine/>
    <w:qFormat/>
    <w:uiPriority w:val="0"/>
    <w:rPr>
      <w:sz w:val="18"/>
      <w:szCs w:val="18"/>
      <w:u w:val="none"/>
    </w:rPr>
  </w:style>
  <w:style w:type="character" w:customStyle="1" w:styleId="1633">
    <w:name w:val="ft11"/>
    <w:basedOn w:val="94"/>
    <w:autoRedefine/>
    <w:qFormat/>
    <w:uiPriority w:val="0"/>
  </w:style>
  <w:style w:type="character" w:customStyle="1" w:styleId="1634">
    <w:name w:val="table-xiayou"/>
    <w:basedOn w:val="94"/>
    <w:autoRedefine/>
    <w:qFormat/>
    <w:uiPriority w:val="0"/>
  </w:style>
  <w:style w:type="character" w:customStyle="1" w:styleId="1635">
    <w:name w:val="样式 标题 3 + 宋体 非加粗 Char"/>
    <w:autoRedefine/>
    <w:qFormat/>
    <w:uiPriority w:val="0"/>
    <w:rPr>
      <w:rFonts w:ascii="宋体" w:hAnsi="宋体" w:eastAsia="宋体"/>
      <w:b/>
      <w:bCs/>
      <w:kern w:val="2"/>
      <w:sz w:val="24"/>
      <w:szCs w:val="28"/>
      <w:lang w:val="en-US" w:eastAsia="zh-CN" w:bidi="ar-SA"/>
    </w:rPr>
  </w:style>
  <w:style w:type="character" w:customStyle="1" w:styleId="1636">
    <w:name w:val="样式 标题 3标题 3 Char Char条标题1.1.13h33rd levelH3l3CT + 黑色 Char Char"/>
    <w:autoRedefine/>
    <w:qFormat/>
    <w:uiPriority w:val="0"/>
    <w:rPr>
      <w:rFonts w:eastAsia="宋体"/>
      <w:bCs/>
      <w:color w:val="000000"/>
      <w:kern w:val="2"/>
      <w:sz w:val="24"/>
      <w:szCs w:val="24"/>
      <w:lang w:val="en-US" w:eastAsia="zh-CN" w:bidi="ar-SA"/>
    </w:rPr>
  </w:style>
  <w:style w:type="character" w:customStyle="1" w:styleId="1637">
    <w:name w:val="digest1"/>
    <w:autoRedefine/>
    <w:qFormat/>
    <w:uiPriority w:val="0"/>
    <w:rPr>
      <w:color w:val="393939"/>
      <w:sz w:val="20"/>
      <w:szCs w:val="20"/>
    </w:rPr>
  </w:style>
  <w:style w:type="character" w:customStyle="1" w:styleId="1638">
    <w:name w:val="fontb1"/>
    <w:autoRedefine/>
    <w:qFormat/>
    <w:uiPriority w:val="0"/>
    <w:rPr>
      <w:rFonts w:hint="default" w:ascii="Arial" w:hAnsi="Arial" w:cs="Arial"/>
      <w:sz w:val="18"/>
      <w:szCs w:val="18"/>
    </w:rPr>
  </w:style>
  <w:style w:type="character" w:customStyle="1" w:styleId="1639">
    <w:name w:val="Body Text 21 Char Char Char"/>
    <w:autoRedefine/>
    <w:qFormat/>
    <w:uiPriority w:val="0"/>
    <w:rPr>
      <w:rFonts w:ascii="仿宋_GB2312" w:eastAsia="仿宋体"/>
      <w:kern w:val="2"/>
      <w:sz w:val="24"/>
      <w:lang w:val="en-US" w:eastAsia="zh-CN" w:bidi="ar-SA"/>
    </w:rPr>
  </w:style>
  <w:style w:type="character" w:customStyle="1" w:styleId="1640">
    <w:name w:val="font101"/>
    <w:autoRedefine/>
    <w:qFormat/>
    <w:uiPriority w:val="0"/>
    <w:rPr>
      <w:color w:val="333333"/>
      <w:sz w:val="21"/>
      <w:szCs w:val="21"/>
    </w:rPr>
  </w:style>
  <w:style w:type="character" w:customStyle="1" w:styleId="1641">
    <w:name w:val="样式 标题 2标题 2 Char Char Char节节标题 1.1H2（一）Underrubrik1prop2...1 Char Char"/>
    <w:link w:val="1642"/>
    <w:autoRedefine/>
    <w:qFormat/>
    <w:uiPriority w:val="0"/>
    <w:rPr>
      <w:rFonts w:ascii="宋体" w:hAnsi="宋体"/>
      <w:sz w:val="28"/>
      <w:szCs w:val="32"/>
    </w:rPr>
  </w:style>
  <w:style w:type="paragraph" w:customStyle="1" w:styleId="1642">
    <w:name w:val="样式 标题 2标题 2 Char Char Char节节标题 1.1H2（一）Underrubrik1prop2...1"/>
    <w:basedOn w:val="4"/>
    <w:link w:val="1641"/>
    <w:autoRedefine/>
    <w:qFormat/>
    <w:uiPriority w:val="0"/>
    <w:pPr>
      <w:widowControl/>
      <w:tabs>
        <w:tab w:val="clear" w:pos="1276"/>
      </w:tabs>
      <w:adjustRightInd/>
      <w:spacing w:before="0" w:after="0"/>
      <w:ind w:left="578" w:hanging="578"/>
      <w:textAlignment w:val="auto"/>
    </w:pPr>
    <w:rPr>
      <w:rFonts w:ascii="宋体" w:hAnsi="宋体" w:eastAsia="宋体"/>
      <w:b w:val="0"/>
      <w:kern w:val="0"/>
      <w:szCs w:val="32"/>
    </w:rPr>
  </w:style>
  <w:style w:type="character" w:customStyle="1" w:styleId="1643">
    <w:name w:val="样式 标题 3标题 3 Char标题 3 Char Char Char Char Char Char Char Char C...5 Char Char"/>
    <w:link w:val="1644"/>
    <w:autoRedefine/>
    <w:qFormat/>
    <w:uiPriority w:val="0"/>
    <w:rPr>
      <w:sz w:val="24"/>
      <w:szCs w:val="32"/>
    </w:rPr>
  </w:style>
  <w:style w:type="paragraph" w:customStyle="1" w:styleId="1644">
    <w:name w:val="样式 标题 3标题 3 Char标题 3 Char Char Char Char Char Char Char Char C...5"/>
    <w:basedOn w:val="5"/>
    <w:link w:val="1643"/>
    <w:autoRedefine/>
    <w:qFormat/>
    <w:uiPriority w:val="0"/>
    <w:pPr>
      <w:widowControl/>
      <w:tabs>
        <w:tab w:val="left" w:pos="720"/>
      </w:tabs>
      <w:spacing w:before="0" w:after="0" w:line="360" w:lineRule="auto"/>
      <w:ind w:left="720" w:hanging="720"/>
      <w:jc w:val="left"/>
    </w:pPr>
    <w:rPr>
      <w:rFonts w:ascii="Times New Roman" w:hAnsi="Times New Roman" w:eastAsia="宋体" w:cs="Times New Roman"/>
      <w:b w:val="0"/>
      <w:bCs w:val="0"/>
      <w:kern w:val="0"/>
      <w:sz w:val="24"/>
    </w:rPr>
  </w:style>
  <w:style w:type="character" w:customStyle="1" w:styleId="1645">
    <w:name w:val="z41"/>
    <w:autoRedefine/>
    <w:qFormat/>
    <w:uiPriority w:val="0"/>
    <w:rPr>
      <w:color w:val="000000"/>
      <w:sz w:val="18"/>
      <w:szCs w:val="18"/>
    </w:rPr>
  </w:style>
  <w:style w:type="character" w:customStyle="1" w:styleId="1646">
    <w:name w:val="lh131"/>
    <w:basedOn w:val="94"/>
    <w:autoRedefine/>
    <w:qFormat/>
    <w:uiPriority w:val="0"/>
  </w:style>
  <w:style w:type="paragraph" w:customStyle="1" w:styleId="1647">
    <w:name w:val="样式 标题 3标题 3 Char Char条标题1.1.13h33rd levelH3l3CT + 黑色"/>
    <w:basedOn w:val="5"/>
    <w:autoRedefine/>
    <w:qFormat/>
    <w:uiPriority w:val="0"/>
    <w:pPr>
      <w:widowControl/>
      <w:tabs>
        <w:tab w:val="left" w:pos="870"/>
        <w:tab w:val="left" w:pos="1335"/>
        <w:tab w:val="left" w:pos="1456"/>
      </w:tabs>
      <w:snapToGrid w:val="0"/>
      <w:spacing w:before="0" w:after="0" w:line="360" w:lineRule="auto"/>
      <w:ind w:left="717" w:hanging="567"/>
      <w:jc w:val="left"/>
    </w:pPr>
    <w:rPr>
      <w:rFonts w:ascii="Times New Roman" w:hAnsi="Times New Roman" w:eastAsia="宋体" w:cs="Times New Roman"/>
      <w:b w:val="0"/>
      <w:color w:val="000000"/>
      <w:sz w:val="28"/>
      <w:szCs w:val="20"/>
    </w:rPr>
  </w:style>
  <w:style w:type="paragraph" w:customStyle="1" w:styleId="1648">
    <w:name w:val="样式 标题 4 + 黑色 行距: 固定值 25 磅"/>
    <w:basedOn w:val="6"/>
    <w:autoRedefine/>
    <w:qFormat/>
    <w:uiPriority w:val="0"/>
    <w:pPr>
      <w:widowControl/>
      <w:tabs>
        <w:tab w:val="clear" w:pos="2976"/>
      </w:tabs>
      <w:adjustRightInd w:val="0"/>
      <w:snapToGrid w:val="0"/>
      <w:spacing w:before="0" w:after="0" w:line="500" w:lineRule="exact"/>
      <w:ind w:left="709" w:hanging="709"/>
      <w:jc w:val="left"/>
      <w:textAlignment w:val="baseline"/>
    </w:pPr>
    <w:rPr>
      <w:rFonts w:ascii="Times New Roman" w:hAnsi="Times New Roman" w:eastAsia="宋体" w:cs="宋体"/>
      <w:color w:val="000000"/>
      <w:kern w:val="0"/>
      <w:sz w:val="24"/>
      <w:szCs w:val="20"/>
    </w:rPr>
  </w:style>
  <w:style w:type="paragraph" w:customStyle="1" w:styleId="1649">
    <w:name w:val="样式 样式 左侧:  2 字符 + 首行缩进:  2 字符"/>
    <w:basedOn w:val="1"/>
    <w:autoRedefine/>
    <w:qFormat/>
    <w:uiPriority w:val="0"/>
    <w:pPr>
      <w:widowControl/>
      <w:spacing w:line="360" w:lineRule="auto"/>
      <w:ind w:firstLine="560" w:firstLineChars="200"/>
      <w:jc w:val="left"/>
    </w:pPr>
    <w:rPr>
      <w:rFonts w:ascii="宋体" w:hAnsi="宋体" w:cs="宋体"/>
      <w:kern w:val="0"/>
      <w:sz w:val="28"/>
      <w:szCs w:val="28"/>
    </w:rPr>
  </w:style>
  <w:style w:type="paragraph" w:customStyle="1" w:styleId="1650">
    <w:name w:val="样式 标题 1章标题 1H1Section HeadHeader1h11st levell1Heading 0...2"/>
    <w:basedOn w:val="3"/>
    <w:autoRedefine/>
    <w:qFormat/>
    <w:uiPriority w:val="0"/>
    <w:pPr>
      <w:keepLines w:val="0"/>
      <w:widowControl/>
      <w:tabs>
        <w:tab w:val="left" w:pos="425"/>
      </w:tabs>
      <w:spacing w:before="0" w:after="0" w:line="500" w:lineRule="exact"/>
      <w:ind w:left="425" w:hanging="425"/>
      <w:jc w:val="left"/>
    </w:pPr>
    <w:rPr>
      <w:b w:val="0"/>
      <w:color w:val="000000"/>
      <w:kern w:val="0"/>
      <w:sz w:val="28"/>
    </w:rPr>
  </w:style>
  <w:style w:type="paragraph" w:customStyle="1" w:styleId="1651">
    <w:name w:val="样式 标题 3标题 3 Char标题 3 Char Char Char Char Char Char Char Char C...3"/>
    <w:basedOn w:val="5"/>
    <w:autoRedefine/>
    <w:qFormat/>
    <w:uiPriority w:val="0"/>
    <w:pPr>
      <w:widowControl/>
      <w:tabs>
        <w:tab w:val="left" w:pos="1260"/>
      </w:tabs>
      <w:spacing w:before="0" w:after="0" w:line="360" w:lineRule="auto"/>
      <w:ind w:left="1260" w:hanging="420" w:firstLineChars="200"/>
      <w:jc w:val="left"/>
    </w:pPr>
    <w:rPr>
      <w:rFonts w:ascii="宋体" w:hAnsi="宋体" w:eastAsia="宋体" w:cs="Times New Roman"/>
      <w:color w:val="000000"/>
      <w:sz w:val="24"/>
      <w:szCs w:val="20"/>
    </w:rPr>
  </w:style>
  <w:style w:type="paragraph" w:customStyle="1" w:styleId="1652">
    <w:name w:val="样式 标题 3标题 3 Char标题 3 Char Char Char Char Char Char Char Char C...4"/>
    <w:basedOn w:val="5"/>
    <w:autoRedefine/>
    <w:qFormat/>
    <w:uiPriority w:val="0"/>
    <w:pPr>
      <w:widowControl/>
      <w:tabs>
        <w:tab w:val="left" w:pos="720"/>
      </w:tabs>
      <w:spacing w:before="0" w:after="0" w:line="360" w:lineRule="auto"/>
      <w:ind w:left="720" w:hanging="720"/>
      <w:jc w:val="left"/>
    </w:pPr>
    <w:rPr>
      <w:rFonts w:ascii="宋体" w:hAnsi="宋体" w:eastAsia="宋体" w:cs="Times New Roman"/>
      <w:b w:val="0"/>
      <w:bCs w:val="0"/>
      <w:sz w:val="24"/>
    </w:rPr>
  </w:style>
  <w:style w:type="paragraph" w:customStyle="1" w:styleId="1653">
    <w:name w:val="样式 样式 标题 4 + 加粗 + 黑色"/>
    <w:basedOn w:val="1"/>
    <w:autoRedefine/>
    <w:qFormat/>
    <w:uiPriority w:val="0"/>
    <w:pPr>
      <w:keepNext/>
      <w:keepLines/>
      <w:widowControl/>
      <w:spacing w:line="360" w:lineRule="auto"/>
      <w:ind w:left="709" w:hanging="709"/>
      <w:jc w:val="left"/>
      <w:outlineLvl w:val="3"/>
    </w:pPr>
    <w:rPr>
      <w:rFonts w:ascii="宋体" w:hAnsi="宋体" w:cs="宋体"/>
      <w:color w:val="000000"/>
      <w:kern w:val="0"/>
      <w:sz w:val="24"/>
      <w:szCs w:val="28"/>
    </w:rPr>
  </w:style>
  <w:style w:type="paragraph" w:customStyle="1" w:styleId="1654">
    <w:name w:val="样式 标题 4 + 黑色 左侧:  1.52 厘米"/>
    <w:basedOn w:val="6"/>
    <w:autoRedefine/>
    <w:qFormat/>
    <w:uiPriority w:val="0"/>
    <w:pPr>
      <w:widowControl/>
      <w:tabs>
        <w:tab w:val="left" w:pos="4660"/>
        <w:tab w:val="clear" w:pos="2976"/>
      </w:tabs>
      <w:spacing w:before="0" w:after="0" w:line="360" w:lineRule="auto"/>
      <w:ind w:left="2848" w:hanging="708"/>
      <w:jc w:val="left"/>
    </w:pPr>
    <w:rPr>
      <w:rFonts w:ascii="Times New Roman" w:hAnsi="Times New Roman" w:eastAsia="宋体" w:cs="宋体"/>
      <w:b w:val="0"/>
      <w:bCs w:val="0"/>
      <w:color w:val="000000"/>
      <w:kern w:val="0"/>
      <w:sz w:val="24"/>
      <w:szCs w:val="20"/>
    </w:rPr>
  </w:style>
  <w:style w:type="paragraph" w:customStyle="1" w:styleId="1655">
    <w:name w:val="样式 标题 3标题 3 Char Char条标题1.1.13h33rd levelH3l3CT标题 3 Cha...2"/>
    <w:basedOn w:val="5"/>
    <w:autoRedefine/>
    <w:qFormat/>
    <w:uiPriority w:val="0"/>
    <w:pPr>
      <w:widowControl/>
      <w:tabs>
        <w:tab w:val="left" w:pos="870"/>
        <w:tab w:val="left" w:pos="1335"/>
        <w:tab w:val="left" w:pos="1456"/>
      </w:tabs>
      <w:snapToGrid w:val="0"/>
      <w:spacing w:before="0" w:after="0" w:line="360" w:lineRule="auto"/>
      <w:ind w:left="717" w:hanging="567"/>
      <w:jc w:val="left"/>
    </w:pPr>
    <w:rPr>
      <w:rFonts w:ascii="Times New Roman" w:hAnsi="Times New Roman" w:eastAsia="宋体" w:cs="Times New Roman"/>
      <w:b w:val="0"/>
      <w:bCs w:val="0"/>
      <w:sz w:val="28"/>
      <w:szCs w:val="20"/>
    </w:rPr>
  </w:style>
  <w:style w:type="paragraph" w:customStyle="1" w:styleId="1656">
    <w:name w:val="样式 标题 5标题 5 Char CharH5标题1.1.1.1.1 + (西文) 宋体 左侧:  0 厘米 悬挂缩进..."/>
    <w:basedOn w:val="7"/>
    <w:autoRedefine/>
    <w:qFormat/>
    <w:uiPriority w:val="0"/>
    <w:pPr>
      <w:widowControl/>
      <w:tabs>
        <w:tab w:val="left" w:pos="2284"/>
        <w:tab w:val="clear" w:pos="3827"/>
      </w:tabs>
      <w:autoSpaceDE w:val="0"/>
      <w:autoSpaceDN w:val="0"/>
      <w:adjustRightInd w:val="0"/>
      <w:spacing w:before="0" w:after="0" w:line="360" w:lineRule="auto"/>
      <w:ind w:left="1008" w:hanging="1008"/>
      <w:jc w:val="left"/>
    </w:pPr>
    <w:rPr>
      <w:b w:val="0"/>
      <w:color w:val="000000"/>
      <w:sz w:val="24"/>
      <w:szCs w:val="20"/>
    </w:rPr>
  </w:style>
  <w:style w:type="paragraph" w:customStyle="1" w:styleId="1657">
    <w:name w:val="样式 标题 3标题 3 Char标题 3 Char Char Char Char Char Char Char Char C...1"/>
    <w:basedOn w:val="5"/>
    <w:autoRedefine/>
    <w:qFormat/>
    <w:uiPriority w:val="0"/>
    <w:pPr>
      <w:widowControl/>
      <w:tabs>
        <w:tab w:val="left" w:pos="576"/>
      </w:tabs>
      <w:spacing w:before="0" w:after="0" w:line="360" w:lineRule="auto"/>
      <w:ind w:left="576" w:hanging="360" w:firstLineChars="200"/>
      <w:jc w:val="left"/>
    </w:pPr>
    <w:rPr>
      <w:rFonts w:ascii="宋体" w:hAnsi="宋体" w:eastAsia="宋体" w:cs="Times New Roman"/>
      <w:sz w:val="24"/>
      <w:szCs w:val="20"/>
    </w:rPr>
  </w:style>
  <w:style w:type="paragraph" w:customStyle="1" w:styleId="1658">
    <w:name w:val="样式 标题 2标题 2 Char节节标题 1.1H2（一）Underrubrik1prop2Heading 2 ..."/>
    <w:basedOn w:val="4"/>
    <w:autoRedefine/>
    <w:qFormat/>
    <w:uiPriority w:val="0"/>
    <w:pPr>
      <w:widowControl/>
      <w:tabs>
        <w:tab w:val="left" w:pos="576"/>
        <w:tab w:val="clear" w:pos="1276"/>
      </w:tabs>
      <w:adjustRightInd/>
      <w:spacing w:before="0" w:after="0"/>
      <w:ind w:left="567" w:hanging="567"/>
      <w:textAlignment w:val="auto"/>
    </w:pPr>
    <w:rPr>
      <w:rFonts w:ascii="Times New Roman" w:hAnsi="Times New Roman" w:eastAsia="宋体"/>
      <w:szCs w:val="30"/>
    </w:rPr>
  </w:style>
  <w:style w:type="paragraph" w:customStyle="1" w:styleId="1659">
    <w:name w:val="样式 标题 3标题 3 Char Char条标题1.1.13h33rd levelH3l3CT + 左 行距:..."/>
    <w:basedOn w:val="5"/>
    <w:autoRedefine/>
    <w:qFormat/>
    <w:uiPriority w:val="0"/>
    <w:pPr>
      <w:widowControl/>
      <w:tabs>
        <w:tab w:val="left" w:pos="870"/>
        <w:tab w:val="left" w:pos="1335"/>
        <w:tab w:val="left" w:pos="1456"/>
      </w:tabs>
      <w:snapToGrid w:val="0"/>
      <w:spacing w:before="0" w:after="0" w:line="500" w:lineRule="exact"/>
      <w:ind w:left="717" w:hanging="567"/>
      <w:jc w:val="left"/>
    </w:pPr>
    <w:rPr>
      <w:rFonts w:ascii="Times New Roman" w:hAnsi="Times New Roman" w:eastAsia="宋体" w:cs="Times New Roman"/>
      <w:sz w:val="24"/>
      <w:szCs w:val="20"/>
    </w:rPr>
  </w:style>
  <w:style w:type="paragraph" w:customStyle="1" w:styleId="1660">
    <w:name w:val="样式 标题 1章标题 1H1Section HeadHeader1h11st levell1Heading 0...3"/>
    <w:basedOn w:val="3"/>
    <w:autoRedefine/>
    <w:qFormat/>
    <w:uiPriority w:val="0"/>
    <w:pPr>
      <w:keepLines w:val="0"/>
      <w:widowControl/>
      <w:spacing w:before="0" w:after="0" w:line="360" w:lineRule="auto"/>
      <w:ind w:left="425" w:hanging="425"/>
      <w:jc w:val="left"/>
    </w:pPr>
    <w:rPr>
      <w:b w:val="0"/>
      <w:bCs/>
      <w:color w:val="000000"/>
      <w:kern w:val="0"/>
      <w:sz w:val="32"/>
    </w:rPr>
  </w:style>
  <w:style w:type="paragraph" w:customStyle="1" w:styleId="1661">
    <w:name w:val="样式 标题 4 + 黑色"/>
    <w:basedOn w:val="6"/>
    <w:autoRedefine/>
    <w:qFormat/>
    <w:uiPriority w:val="0"/>
    <w:pPr>
      <w:widowControl/>
      <w:tabs>
        <w:tab w:val="clear" w:pos="2976"/>
      </w:tabs>
      <w:adjustRightInd w:val="0"/>
      <w:snapToGrid w:val="0"/>
      <w:spacing w:before="0" w:after="0" w:line="360" w:lineRule="auto"/>
      <w:ind w:left="709" w:hanging="709"/>
      <w:jc w:val="left"/>
      <w:textAlignment w:val="baseline"/>
    </w:pPr>
    <w:rPr>
      <w:rFonts w:ascii="Times New Roman" w:hAnsi="Times New Roman" w:eastAsia="宋体" w:cs="宋体"/>
      <w:color w:val="000000"/>
      <w:kern w:val="0"/>
      <w:sz w:val="24"/>
      <w:szCs w:val="20"/>
    </w:rPr>
  </w:style>
  <w:style w:type="paragraph" w:customStyle="1" w:styleId="1662">
    <w:name w:val="样式 标题 5标题 5 Char CharH5标题1.1.1.1.1 + 粉红"/>
    <w:basedOn w:val="7"/>
    <w:autoRedefine/>
    <w:qFormat/>
    <w:uiPriority w:val="0"/>
    <w:pPr>
      <w:widowControl/>
      <w:tabs>
        <w:tab w:val="clear" w:pos="3827"/>
      </w:tabs>
      <w:autoSpaceDE w:val="0"/>
      <w:autoSpaceDN w:val="0"/>
      <w:adjustRightInd w:val="0"/>
      <w:spacing w:before="0" w:after="0" w:line="360" w:lineRule="auto"/>
      <w:ind w:left="1008" w:hanging="1008"/>
      <w:jc w:val="left"/>
    </w:pPr>
    <w:rPr>
      <w:b w:val="0"/>
      <w:color w:val="000000"/>
      <w:sz w:val="24"/>
      <w:szCs w:val="20"/>
    </w:rPr>
  </w:style>
  <w:style w:type="paragraph" w:customStyle="1" w:styleId="1663">
    <w:name w:val="样式 标题 1章标题 1H1Section HeadHeader1h11st levell1Heading 0...1"/>
    <w:basedOn w:val="3"/>
    <w:autoRedefine/>
    <w:qFormat/>
    <w:uiPriority w:val="0"/>
    <w:pPr>
      <w:keepLines w:val="0"/>
      <w:widowControl/>
      <w:tabs>
        <w:tab w:val="left" w:pos="425"/>
      </w:tabs>
      <w:spacing w:before="0" w:after="0" w:line="500" w:lineRule="exact"/>
      <w:ind w:left="425" w:hanging="425"/>
      <w:jc w:val="left"/>
    </w:pPr>
    <w:rPr>
      <w:b w:val="0"/>
      <w:color w:val="000000"/>
      <w:kern w:val="0"/>
      <w:sz w:val="28"/>
    </w:rPr>
  </w:style>
  <w:style w:type="paragraph" w:customStyle="1" w:styleId="1664">
    <w:name w:val="t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65">
    <w:name w:val="样式 标题 3标题 3 Char标题 3 Char Char Char Char Char Char Char Char C..."/>
    <w:basedOn w:val="5"/>
    <w:autoRedefine/>
    <w:qFormat/>
    <w:uiPriority w:val="0"/>
    <w:pPr>
      <w:widowControl/>
      <w:tabs>
        <w:tab w:val="left" w:pos="840"/>
      </w:tabs>
      <w:spacing w:before="0" w:after="0" w:line="360" w:lineRule="auto"/>
      <w:ind w:left="840" w:hanging="360" w:firstLineChars="200"/>
      <w:jc w:val="left"/>
    </w:pPr>
    <w:rPr>
      <w:rFonts w:ascii="宋体" w:hAnsi="宋体" w:eastAsia="宋体" w:cs="Times New Roman"/>
      <w:bCs w:val="0"/>
      <w:sz w:val="24"/>
      <w:szCs w:val="20"/>
    </w:rPr>
  </w:style>
  <w:style w:type="paragraph" w:customStyle="1" w:styleId="1666">
    <w:name w:val="样式 标题 3标题 3 Char Char条标题1.1.13h33rd levelH3l3CT标题 3 Cha...1"/>
    <w:basedOn w:val="5"/>
    <w:autoRedefine/>
    <w:qFormat/>
    <w:uiPriority w:val="0"/>
    <w:pPr>
      <w:widowControl/>
      <w:tabs>
        <w:tab w:val="left" w:pos="870"/>
        <w:tab w:val="left" w:pos="1335"/>
        <w:tab w:val="left" w:pos="1456"/>
      </w:tabs>
      <w:snapToGrid w:val="0"/>
      <w:spacing w:before="0" w:after="0" w:line="360" w:lineRule="auto"/>
      <w:ind w:left="717" w:hanging="567"/>
      <w:jc w:val="left"/>
    </w:pPr>
    <w:rPr>
      <w:rFonts w:ascii="Times New Roman" w:hAnsi="Times New Roman" w:eastAsia="宋体" w:cs="Times New Roman"/>
      <w:b w:val="0"/>
      <w:bCs w:val="0"/>
      <w:color w:val="000000"/>
      <w:sz w:val="28"/>
      <w:szCs w:val="20"/>
    </w:rPr>
  </w:style>
  <w:style w:type="paragraph" w:customStyle="1" w:styleId="1667">
    <w:name w:val="样式 标题 1章标题 1H1Section HeadHeader1h11st levell1Heading 0..."/>
    <w:basedOn w:val="3"/>
    <w:autoRedefine/>
    <w:qFormat/>
    <w:uiPriority w:val="0"/>
    <w:pPr>
      <w:keepLines w:val="0"/>
      <w:widowControl/>
      <w:tabs>
        <w:tab w:val="left" w:pos="425"/>
      </w:tabs>
      <w:spacing w:before="0" w:after="0" w:line="500" w:lineRule="exact"/>
      <w:ind w:left="425" w:hanging="425"/>
      <w:jc w:val="left"/>
    </w:pPr>
    <w:rPr>
      <w:b w:val="0"/>
      <w:color w:val="000000"/>
      <w:kern w:val="0"/>
      <w:sz w:val="28"/>
    </w:rPr>
  </w:style>
  <w:style w:type="paragraph" w:customStyle="1" w:styleId="1668">
    <w:name w:val="样式 标题 3标题 3 Char Char条标题1.1.13h33rd levelH3l3CT标题 3 Cha..."/>
    <w:basedOn w:val="5"/>
    <w:autoRedefine/>
    <w:qFormat/>
    <w:uiPriority w:val="0"/>
    <w:pPr>
      <w:widowControl/>
      <w:tabs>
        <w:tab w:val="left" w:pos="870"/>
        <w:tab w:val="left" w:pos="1335"/>
        <w:tab w:val="left" w:pos="1456"/>
      </w:tabs>
      <w:snapToGrid w:val="0"/>
      <w:spacing w:before="120" w:after="120" w:line="360" w:lineRule="auto"/>
      <w:ind w:left="717" w:hanging="567"/>
      <w:jc w:val="left"/>
    </w:pPr>
    <w:rPr>
      <w:rFonts w:ascii="Times New Roman" w:hAnsi="Times New Roman" w:eastAsia="宋体" w:cs="Times New Roman"/>
      <w:b w:val="0"/>
      <w:sz w:val="28"/>
      <w:szCs w:val="20"/>
    </w:rPr>
  </w:style>
  <w:style w:type="paragraph" w:customStyle="1" w:styleId="1669">
    <w:name w:val="Char Char1 Char Char Char Char Char Char Char Char Char Char Char Char Char Char Char Char Char Char Char Char1 Char"/>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670">
    <w:name w:val="样式 标题 5标题 5 Char CharH5标题1.1.1.1.1 + 黑色 左侧:  0 厘米 悬挂缩进: 10...."/>
    <w:basedOn w:val="7"/>
    <w:autoRedefine/>
    <w:qFormat/>
    <w:uiPriority w:val="0"/>
    <w:pPr>
      <w:widowControl/>
      <w:tabs>
        <w:tab w:val="left" w:pos="2284"/>
        <w:tab w:val="clear" w:pos="3827"/>
      </w:tabs>
      <w:autoSpaceDE w:val="0"/>
      <w:autoSpaceDN w:val="0"/>
      <w:adjustRightInd w:val="0"/>
      <w:spacing w:before="0" w:after="0" w:line="360" w:lineRule="auto"/>
      <w:ind w:left="1008" w:hanging="1008"/>
      <w:jc w:val="left"/>
    </w:pPr>
    <w:rPr>
      <w:b w:val="0"/>
      <w:color w:val="000000"/>
      <w:sz w:val="24"/>
      <w:szCs w:val="20"/>
    </w:rPr>
  </w:style>
  <w:style w:type="paragraph" w:customStyle="1" w:styleId="1671">
    <w:name w:val="样式 标题 2标题 2 Char标题 2 Char Char Char节节标题 1.1H2（一）Underrubr...1"/>
    <w:basedOn w:val="4"/>
    <w:autoRedefine/>
    <w:qFormat/>
    <w:uiPriority w:val="0"/>
    <w:pPr>
      <w:widowControl/>
      <w:tabs>
        <w:tab w:val="left" w:pos="741"/>
        <w:tab w:val="clear" w:pos="1276"/>
      </w:tabs>
      <w:adjustRightInd/>
      <w:spacing w:before="0" w:after="0"/>
      <w:ind w:left="741" w:hanging="576"/>
      <w:textAlignment w:val="auto"/>
    </w:pPr>
    <w:rPr>
      <w:rFonts w:ascii="Times New Roman" w:hAnsi="Times New Roman" w:eastAsia="宋体"/>
      <w:b w:val="0"/>
      <w:color w:val="000000"/>
      <w:sz w:val="30"/>
      <w:szCs w:val="28"/>
    </w:rPr>
  </w:style>
  <w:style w:type="paragraph" w:customStyle="1" w:styleId="1672">
    <w:name w:val="样式 标题 4 + 黑色 行距: 1.5 倍行距"/>
    <w:basedOn w:val="6"/>
    <w:autoRedefine/>
    <w:qFormat/>
    <w:uiPriority w:val="0"/>
    <w:pPr>
      <w:widowControl/>
      <w:tabs>
        <w:tab w:val="clear" w:pos="2976"/>
      </w:tabs>
      <w:adjustRightInd w:val="0"/>
      <w:snapToGrid w:val="0"/>
      <w:spacing w:before="0" w:after="0" w:line="360" w:lineRule="auto"/>
      <w:ind w:left="709" w:hanging="709"/>
      <w:jc w:val="left"/>
      <w:textAlignment w:val="baseline"/>
    </w:pPr>
    <w:rPr>
      <w:rFonts w:ascii="Times New Roman" w:hAnsi="Times New Roman" w:eastAsia="宋体" w:cs="宋体"/>
      <w:color w:val="000000"/>
      <w:kern w:val="0"/>
      <w:sz w:val="24"/>
      <w:szCs w:val="20"/>
    </w:rPr>
  </w:style>
  <w:style w:type="paragraph" w:customStyle="1" w:styleId="1673">
    <w:name w:val="样式 标题 2标题 2 Char标题 2 Char Char Char节节标题 1.1H2（一）Underrubr...2"/>
    <w:basedOn w:val="4"/>
    <w:autoRedefine/>
    <w:qFormat/>
    <w:uiPriority w:val="0"/>
    <w:pPr>
      <w:widowControl/>
      <w:tabs>
        <w:tab w:val="left" w:pos="741"/>
        <w:tab w:val="clear" w:pos="1276"/>
      </w:tabs>
      <w:adjustRightInd/>
      <w:spacing w:before="0" w:after="0"/>
      <w:ind w:left="741" w:hanging="576"/>
      <w:textAlignment w:val="auto"/>
    </w:pPr>
    <w:rPr>
      <w:rFonts w:ascii="宋体" w:hAnsi="宋体" w:eastAsia="宋体"/>
      <w:b w:val="0"/>
      <w:bCs/>
      <w:color w:val="000000"/>
      <w:sz w:val="30"/>
      <w:szCs w:val="28"/>
    </w:rPr>
  </w:style>
  <w:style w:type="paragraph" w:customStyle="1" w:styleId="1674">
    <w:name w:val="四级无标题条"/>
    <w:basedOn w:val="1"/>
    <w:autoRedefine/>
    <w:qFormat/>
    <w:uiPriority w:val="0"/>
    <w:pPr>
      <w:widowControl/>
      <w:jc w:val="left"/>
    </w:pPr>
    <w:rPr>
      <w:rFonts w:ascii="宋体" w:hAnsi="宋体" w:cs="宋体"/>
      <w:kern w:val="0"/>
      <w:sz w:val="24"/>
    </w:rPr>
  </w:style>
  <w:style w:type="paragraph" w:customStyle="1" w:styleId="1675">
    <w:name w:val="样式 标题 3标题 3 Char标题 3 Char Char Char Char Char Char Char Char C...2"/>
    <w:basedOn w:val="5"/>
    <w:autoRedefine/>
    <w:qFormat/>
    <w:uiPriority w:val="0"/>
    <w:pPr>
      <w:widowControl/>
      <w:tabs>
        <w:tab w:val="left" w:pos="1260"/>
      </w:tabs>
      <w:spacing w:before="0" w:after="0" w:line="360" w:lineRule="auto"/>
      <w:ind w:left="1260" w:hanging="420" w:firstLineChars="200"/>
      <w:jc w:val="left"/>
    </w:pPr>
    <w:rPr>
      <w:rFonts w:ascii="宋体" w:hAnsi="宋体" w:eastAsia="宋体" w:cs="Times New Roman"/>
      <w:bCs w:val="0"/>
      <w:sz w:val="28"/>
      <w:szCs w:val="20"/>
    </w:rPr>
  </w:style>
  <w:style w:type="paragraph" w:customStyle="1" w:styleId="1676">
    <w:name w:val="样式 标题 2标题 2 Char Char Char节节标题 1.1H2（一）Underrubrik1prop2..."/>
    <w:basedOn w:val="4"/>
    <w:autoRedefine/>
    <w:qFormat/>
    <w:uiPriority w:val="0"/>
    <w:pPr>
      <w:widowControl/>
      <w:tabs>
        <w:tab w:val="clear" w:pos="1276"/>
      </w:tabs>
      <w:adjustRightInd/>
      <w:spacing w:before="0" w:after="0"/>
      <w:ind w:left="576" w:hanging="576"/>
      <w:textAlignment w:val="auto"/>
    </w:pPr>
    <w:rPr>
      <w:rFonts w:ascii="Times New Roman" w:hAnsi="Times New Roman" w:eastAsia="宋体"/>
      <w:b w:val="0"/>
      <w:color w:val="000000"/>
    </w:rPr>
  </w:style>
  <w:style w:type="paragraph" w:customStyle="1" w:styleId="1677">
    <w:name w:val="图框"/>
    <w:basedOn w:val="1"/>
    <w:autoRedefine/>
    <w:qFormat/>
    <w:uiPriority w:val="0"/>
    <w:pPr>
      <w:widowControl/>
      <w:adjustRightInd w:val="0"/>
      <w:snapToGrid w:val="0"/>
      <w:spacing w:line="240" w:lineRule="atLeast"/>
      <w:jc w:val="center"/>
    </w:pPr>
    <w:rPr>
      <w:rFonts w:ascii="宋体" w:hAnsi="宋体" w:cs="宋体"/>
      <w:bCs/>
      <w:kern w:val="0"/>
      <w:sz w:val="24"/>
    </w:rPr>
  </w:style>
  <w:style w:type="paragraph" w:customStyle="1" w:styleId="1678">
    <w:name w:val="一级无标题条"/>
    <w:basedOn w:val="1"/>
    <w:autoRedefine/>
    <w:qFormat/>
    <w:uiPriority w:val="0"/>
    <w:pPr>
      <w:widowControl/>
      <w:jc w:val="left"/>
    </w:pPr>
    <w:rPr>
      <w:rFonts w:ascii="宋体" w:hAnsi="宋体" w:cs="宋体"/>
      <w:kern w:val="0"/>
      <w:sz w:val="24"/>
    </w:rPr>
  </w:style>
  <w:style w:type="paragraph" w:customStyle="1" w:styleId="1679">
    <w:name w:val="五级无标题条"/>
    <w:basedOn w:val="1"/>
    <w:autoRedefine/>
    <w:qFormat/>
    <w:uiPriority w:val="0"/>
    <w:pPr>
      <w:widowControl/>
      <w:jc w:val="left"/>
    </w:pPr>
    <w:rPr>
      <w:rFonts w:ascii="宋体" w:hAnsi="宋体" w:cs="宋体"/>
      <w:kern w:val="0"/>
      <w:sz w:val="24"/>
    </w:rPr>
  </w:style>
  <w:style w:type="paragraph" w:customStyle="1" w:styleId="1680">
    <w:name w:val="样式 标题 2标题 2 Char标题 2 Char Char Char节节标题 1.1H2（一）Underrubr...3"/>
    <w:basedOn w:val="4"/>
    <w:autoRedefine/>
    <w:qFormat/>
    <w:uiPriority w:val="0"/>
    <w:pPr>
      <w:widowControl/>
      <w:tabs>
        <w:tab w:val="left" w:pos="741"/>
        <w:tab w:val="clear" w:pos="1276"/>
      </w:tabs>
      <w:adjustRightInd/>
      <w:spacing w:before="0" w:after="0"/>
      <w:ind w:left="741" w:hanging="576"/>
      <w:textAlignment w:val="auto"/>
    </w:pPr>
    <w:rPr>
      <w:rFonts w:ascii="Times New Roman" w:hAnsi="Times New Roman" w:eastAsia="宋体"/>
      <w:b w:val="0"/>
      <w:bCs/>
      <w:color w:val="000000"/>
      <w:sz w:val="30"/>
      <w:szCs w:val="28"/>
    </w:rPr>
  </w:style>
  <w:style w:type="paragraph" w:customStyle="1" w:styleId="1681">
    <w:name w:val="样式 样式 样式 标题 4 + 加粗 + 黑色 + 宋体"/>
    <w:basedOn w:val="1653"/>
    <w:autoRedefine/>
    <w:qFormat/>
    <w:uiPriority w:val="0"/>
    <w:pPr>
      <w:tabs>
        <w:tab w:val="left" w:pos="3796"/>
      </w:tabs>
      <w:ind w:left="1984" w:hanging="708"/>
    </w:pPr>
  </w:style>
  <w:style w:type="paragraph" w:customStyle="1" w:styleId="1682">
    <w:name w:val="样式 标题 3标题 3 Char Char条标题1.1.13h33rd levelH3l3CT + 黑色 行距..."/>
    <w:basedOn w:val="5"/>
    <w:autoRedefine/>
    <w:qFormat/>
    <w:uiPriority w:val="0"/>
    <w:pPr>
      <w:widowControl/>
      <w:tabs>
        <w:tab w:val="left" w:pos="870"/>
        <w:tab w:val="left" w:pos="1335"/>
        <w:tab w:val="left" w:pos="1456"/>
      </w:tabs>
      <w:snapToGrid w:val="0"/>
      <w:spacing w:before="0" w:after="0" w:line="500" w:lineRule="exact"/>
      <w:ind w:left="717" w:hanging="567"/>
      <w:jc w:val="left"/>
    </w:pPr>
    <w:rPr>
      <w:rFonts w:ascii="Times New Roman" w:hAnsi="Times New Roman" w:eastAsia="宋体" w:cs="Times New Roman"/>
      <w:color w:val="000000"/>
      <w:sz w:val="24"/>
      <w:szCs w:val="20"/>
    </w:rPr>
  </w:style>
  <w:style w:type="paragraph" w:customStyle="1" w:styleId="1683">
    <w:name w:val="样式 标题 11.标题 1章标题 1H1Section HeadHeader1h11st levell1Hea..."/>
    <w:basedOn w:val="3"/>
    <w:autoRedefine/>
    <w:qFormat/>
    <w:uiPriority w:val="0"/>
    <w:pPr>
      <w:widowControl/>
      <w:tabs>
        <w:tab w:val="left" w:pos="425"/>
      </w:tabs>
      <w:spacing w:before="0" w:after="0" w:line="360" w:lineRule="auto"/>
      <w:ind w:left="425" w:hanging="425"/>
      <w:jc w:val="left"/>
    </w:pPr>
    <w:rPr>
      <w:b w:val="0"/>
      <w:sz w:val="30"/>
    </w:rPr>
  </w:style>
  <w:style w:type="paragraph" w:customStyle="1" w:styleId="1684">
    <w:name w:val="三级无标题条"/>
    <w:basedOn w:val="1"/>
    <w:autoRedefine/>
    <w:qFormat/>
    <w:uiPriority w:val="0"/>
    <w:pPr>
      <w:widowControl/>
      <w:ind w:left="435"/>
      <w:jc w:val="left"/>
    </w:pPr>
    <w:rPr>
      <w:rFonts w:ascii="宋体" w:hAnsi="宋体" w:cs="宋体"/>
      <w:kern w:val="0"/>
      <w:sz w:val="24"/>
    </w:rPr>
  </w:style>
  <w:style w:type="paragraph" w:customStyle="1" w:styleId="1685">
    <w:name w:val="样式 标题 2标题 2 Char标题 2 Char Char Char节节标题 1.1H2（一）Underrubr..."/>
    <w:basedOn w:val="4"/>
    <w:autoRedefine/>
    <w:qFormat/>
    <w:uiPriority w:val="0"/>
    <w:pPr>
      <w:widowControl/>
      <w:tabs>
        <w:tab w:val="left" w:pos="576"/>
        <w:tab w:val="clear" w:pos="1276"/>
      </w:tabs>
      <w:adjustRightInd/>
      <w:spacing w:before="0" w:after="0"/>
      <w:ind w:left="576" w:hanging="576"/>
      <w:textAlignment w:val="auto"/>
    </w:pPr>
    <w:rPr>
      <w:rFonts w:ascii="Times New Roman" w:hAnsi="Times New Roman" w:eastAsia="宋体"/>
      <w:b w:val="0"/>
      <w:bCs/>
      <w:sz w:val="30"/>
    </w:rPr>
  </w:style>
  <w:style w:type="paragraph" w:customStyle="1" w:styleId="1686">
    <w:name w:val="样式 标题 2标题 2 Char Char Char节节标题 1.1H2（一）Underrubrik1prop2...3"/>
    <w:basedOn w:val="1"/>
    <w:autoRedefine/>
    <w:qFormat/>
    <w:uiPriority w:val="0"/>
    <w:pPr>
      <w:widowControl/>
      <w:jc w:val="left"/>
    </w:pPr>
    <w:rPr>
      <w:rFonts w:ascii="宋体" w:hAnsi="宋体" w:cs="宋体"/>
      <w:kern w:val="0"/>
      <w:sz w:val="28"/>
      <w:szCs w:val="20"/>
    </w:rPr>
  </w:style>
  <w:style w:type="paragraph" w:customStyle="1" w:styleId="1687">
    <w:name w:val="样式 标题 4标题 4 Char + 宋体 黑色"/>
    <w:basedOn w:val="6"/>
    <w:autoRedefine/>
    <w:qFormat/>
    <w:uiPriority w:val="0"/>
    <w:pPr>
      <w:widowControl/>
      <w:tabs>
        <w:tab w:val="clear" w:pos="2976"/>
      </w:tabs>
      <w:adjustRightInd w:val="0"/>
      <w:snapToGrid w:val="0"/>
      <w:spacing w:before="0" w:after="0" w:line="360" w:lineRule="auto"/>
      <w:ind w:left="709" w:hanging="709"/>
      <w:jc w:val="left"/>
      <w:textAlignment w:val="baseline"/>
    </w:pPr>
    <w:rPr>
      <w:rFonts w:ascii="宋体" w:hAnsi="宋体" w:eastAsia="宋体" w:cs="宋体"/>
      <w:b w:val="0"/>
      <w:bCs w:val="0"/>
      <w:color w:val="000000"/>
      <w:kern w:val="0"/>
      <w:sz w:val="24"/>
      <w:szCs w:val="20"/>
    </w:rPr>
  </w:style>
  <w:style w:type="paragraph" w:customStyle="1" w:styleId="1688">
    <w:name w:val="标题11"/>
    <w:basedOn w:val="1"/>
    <w:next w:val="1"/>
    <w:autoRedefine/>
    <w:qFormat/>
    <w:uiPriority w:val="0"/>
    <w:pPr>
      <w:widowControl/>
      <w:tabs>
        <w:tab w:val="left" w:pos="425"/>
      </w:tabs>
      <w:ind w:left="425" w:hanging="425"/>
      <w:jc w:val="left"/>
    </w:pPr>
    <w:rPr>
      <w:rFonts w:ascii="宋体" w:hAnsi="宋体" w:cs="宋体"/>
      <w:kern w:val="0"/>
      <w:sz w:val="32"/>
      <w:szCs w:val="20"/>
    </w:rPr>
  </w:style>
  <w:style w:type="paragraph" w:customStyle="1" w:styleId="1689">
    <w:name w:val="fonts01-jianjv"/>
    <w:basedOn w:val="1"/>
    <w:autoRedefine/>
    <w:qFormat/>
    <w:uiPriority w:val="0"/>
    <w:pPr>
      <w:widowControl/>
      <w:spacing w:before="100" w:beforeAutospacing="1" w:after="100" w:afterAutospacing="1" w:line="240" w:lineRule="atLeast"/>
      <w:jc w:val="left"/>
    </w:pPr>
    <w:rPr>
      <w:rFonts w:ascii="ˎ̥" w:hAnsi="ˎ̥" w:cs="宋体"/>
      <w:kern w:val="0"/>
      <w:sz w:val="18"/>
      <w:szCs w:val="18"/>
    </w:rPr>
  </w:style>
  <w:style w:type="paragraph" w:customStyle="1" w:styleId="1690">
    <w:name w:val="封面正文"/>
    <w:autoRedefine/>
    <w:qFormat/>
    <w:uiPriority w:val="0"/>
    <w:pPr>
      <w:jc w:val="both"/>
    </w:pPr>
    <w:rPr>
      <w:rFonts w:ascii="Times New Roman" w:hAnsi="Times New Roman" w:eastAsia="宋体" w:cs="Times New Roman"/>
      <w:lang w:val="en-US" w:eastAsia="zh-CN" w:bidi="ar-SA"/>
    </w:rPr>
  </w:style>
  <w:style w:type="paragraph" w:customStyle="1" w:styleId="1691">
    <w:name w:val="样式 标题 4 + 宋体 非加粗 行距: 1.5 倍行距"/>
    <w:basedOn w:val="6"/>
    <w:autoRedefine/>
    <w:qFormat/>
    <w:uiPriority w:val="0"/>
    <w:pPr>
      <w:widowControl/>
      <w:tabs>
        <w:tab w:val="left" w:pos="1120"/>
        <w:tab w:val="left" w:pos="2484"/>
        <w:tab w:val="clear" w:pos="2976"/>
      </w:tabs>
      <w:adjustRightInd w:val="0"/>
      <w:snapToGrid w:val="0"/>
      <w:spacing w:before="0" w:after="0" w:line="360" w:lineRule="auto"/>
      <w:ind w:left="2484" w:hanging="1674"/>
      <w:jc w:val="left"/>
      <w:textAlignment w:val="baseline"/>
    </w:pPr>
    <w:rPr>
      <w:rFonts w:ascii="宋体" w:hAnsi="宋体" w:eastAsia="宋体" w:cs="宋体"/>
      <w:b w:val="0"/>
      <w:bCs w:val="0"/>
      <w:kern w:val="0"/>
      <w:sz w:val="24"/>
      <w:szCs w:val="20"/>
    </w:rPr>
  </w:style>
  <w:style w:type="paragraph" w:customStyle="1" w:styleId="1692">
    <w:name w:val="样式 标题 2 + Times New Roman"/>
    <w:basedOn w:val="4"/>
    <w:autoRedefine/>
    <w:qFormat/>
    <w:uiPriority w:val="0"/>
    <w:pPr>
      <w:widowControl/>
      <w:tabs>
        <w:tab w:val="clear" w:pos="1276"/>
      </w:tabs>
      <w:adjustRightInd/>
      <w:spacing w:before="120" w:after="120" w:line="300" w:lineRule="auto"/>
      <w:ind w:left="576" w:hanging="576"/>
      <w:textAlignment w:val="auto"/>
    </w:pPr>
    <w:rPr>
      <w:rFonts w:ascii="Times New Roman" w:hAnsi="Times New Roman" w:eastAsia="仿宋_GB2312"/>
      <w:b w:val="0"/>
      <w:bCs/>
      <w:sz w:val="32"/>
      <w:szCs w:val="32"/>
    </w:rPr>
  </w:style>
  <w:style w:type="paragraph" w:customStyle="1" w:styleId="1693">
    <w:name w:val="二级无标题条"/>
    <w:basedOn w:val="1"/>
    <w:autoRedefine/>
    <w:qFormat/>
    <w:uiPriority w:val="0"/>
    <w:pPr>
      <w:widowControl/>
      <w:jc w:val="left"/>
    </w:pPr>
    <w:rPr>
      <w:rFonts w:ascii="宋体" w:hAnsi="宋体" w:cs="宋体"/>
      <w:kern w:val="0"/>
      <w:sz w:val="24"/>
    </w:rPr>
  </w:style>
  <w:style w:type="paragraph" w:customStyle="1" w:styleId="1694">
    <w:name w:val="样式 标题 3条标题1.1.13h33rd levelH3l3CT + 加粗"/>
    <w:basedOn w:val="5"/>
    <w:autoRedefine/>
    <w:qFormat/>
    <w:uiPriority w:val="0"/>
    <w:pPr>
      <w:widowControl/>
      <w:tabs>
        <w:tab w:val="left" w:pos="720"/>
      </w:tabs>
      <w:spacing w:before="0" w:after="0" w:line="360" w:lineRule="auto"/>
      <w:ind w:left="567" w:hanging="567"/>
      <w:jc w:val="left"/>
    </w:pPr>
    <w:rPr>
      <w:rFonts w:ascii="Times New Roman" w:hAnsi="Times New Roman" w:eastAsia="宋体" w:cs="Times New Roman"/>
      <w:sz w:val="24"/>
    </w:rPr>
  </w:style>
  <w:style w:type="paragraph" w:customStyle="1" w:styleId="1695">
    <w:name w:val="样式 正文文字 + 楷体_GB2312 四号 首行缩进:  0.93 厘米"/>
    <w:basedOn w:val="34"/>
    <w:autoRedefine/>
    <w:qFormat/>
    <w:uiPriority w:val="0"/>
    <w:pPr>
      <w:widowControl/>
      <w:spacing w:after="0" w:line="360" w:lineRule="auto"/>
      <w:ind w:firstLine="480" w:firstLineChars="200"/>
      <w:jc w:val="left"/>
    </w:pPr>
    <w:rPr>
      <w:sz w:val="24"/>
    </w:rPr>
  </w:style>
  <w:style w:type="paragraph" w:customStyle="1" w:styleId="1696">
    <w:name w:val="样式 标题 4 + 加粗"/>
    <w:basedOn w:val="6"/>
    <w:autoRedefine/>
    <w:qFormat/>
    <w:uiPriority w:val="0"/>
    <w:pPr>
      <w:widowControl/>
      <w:tabs>
        <w:tab w:val="left" w:pos="864"/>
        <w:tab w:val="clear" w:pos="2976"/>
      </w:tabs>
      <w:spacing w:before="0" w:after="0" w:line="360" w:lineRule="auto"/>
      <w:ind w:left="864" w:hanging="864"/>
      <w:jc w:val="left"/>
    </w:pPr>
    <w:rPr>
      <w:rFonts w:ascii="Times New Roman" w:hAnsi="Times New Roman" w:eastAsia="宋体" w:cs="宋体"/>
      <w:b w:val="0"/>
      <w:kern w:val="0"/>
      <w:sz w:val="24"/>
    </w:rPr>
  </w:style>
  <w:style w:type="paragraph" w:customStyle="1" w:styleId="1697">
    <w:name w:val="样式 标题 1 + 左侧:  0 厘米 首行缩进:  0 厘米"/>
    <w:basedOn w:val="3"/>
    <w:autoRedefine/>
    <w:qFormat/>
    <w:uiPriority w:val="0"/>
    <w:pPr>
      <w:keepLines w:val="0"/>
      <w:widowControl/>
      <w:tabs>
        <w:tab w:val="left" w:pos="425"/>
      </w:tabs>
      <w:spacing w:before="0" w:after="0" w:line="360" w:lineRule="auto"/>
      <w:jc w:val="left"/>
    </w:pPr>
    <w:rPr>
      <w:b w:val="0"/>
      <w:kern w:val="0"/>
      <w:sz w:val="32"/>
    </w:rPr>
  </w:style>
  <w:style w:type="paragraph" w:customStyle="1" w:styleId="1698">
    <w:name w:val="样式 标题 4 + 宋体 加粗 左侧:  0 厘米 悬挂缩进: 8.64 字符"/>
    <w:basedOn w:val="6"/>
    <w:autoRedefine/>
    <w:qFormat/>
    <w:uiPriority w:val="0"/>
    <w:pPr>
      <w:widowControl/>
      <w:tabs>
        <w:tab w:val="left" w:pos="2484"/>
        <w:tab w:val="clear" w:pos="2976"/>
      </w:tabs>
      <w:spacing w:before="0" w:after="0" w:line="360" w:lineRule="auto"/>
      <w:ind w:left="864" w:hanging="864"/>
      <w:jc w:val="left"/>
    </w:pPr>
    <w:rPr>
      <w:rFonts w:ascii="宋体" w:hAnsi="宋体" w:eastAsia="宋体" w:cs="宋体"/>
      <w:b w:val="0"/>
      <w:kern w:val="0"/>
      <w:sz w:val="24"/>
      <w:szCs w:val="20"/>
    </w:rPr>
  </w:style>
  <w:style w:type="character" w:customStyle="1" w:styleId="1699">
    <w:name w:val="新正文 Char"/>
    <w:autoRedefine/>
    <w:qFormat/>
    <w:uiPriority w:val="0"/>
    <w:rPr>
      <w:rFonts w:ascii="宋体" w:hAnsi="宋体" w:eastAsia="宋体" w:cs="Times New Roman"/>
      <w:kern w:val="2"/>
      <w:sz w:val="24"/>
      <w:szCs w:val="24"/>
    </w:rPr>
  </w:style>
  <w:style w:type="character" w:customStyle="1" w:styleId="1700">
    <w:name w:val="Body Text 21 Char"/>
    <w:autoRedefine/>
    <w:qFormat/>
    <w:uiPriority w:val="0"/>
    <w:rPr>
      <w:rFonts w:ascii="仿宋_GB2312" w:eastAsia="仿宋体"/>
      <w:kern w:val="2"/>
      <w:sz w:val="24"/>
      <w:lang w:val="en-US" w:eastAsia="zh-CN" w:bidi="ar-SA"/>
    </w:rPr>
  </w:style>
  <w:style w:type="paragraph" w:customStyle="1" w:styleId="1701">
    <w:name w:val="样式 标题 1H1 + 段后: 1 行"/>
    <w:basedOn w:val="3"/>
    <w:autoRedefine/>
    <w:qFormat/>
    <w:uiPriority w:val="0"/>
    <w:pPr>
      <w:keepLines w:val="0"/>
      <w:adjustRightInd w:val="0"/>
      <w:snapToGrid w:val="0"/>
      <w:spacing w:before="360" w:after="0" w:afterLines="100" w:line="360" w:lineRule="auto"/>
      <w:jc w:val="left"/>
      <w:textAlignment w:val="baseline"/>
    </w:pPr>
    <w:rPr>
      <w:rFonts w:ascii="Arial" w:hAnsi="Arial" w:eastAsia="黑体" w:cs="宋体"/>
      <w:b w:val="0"/>
      <w:kern w:val="2"/>
      <w:sz w:val="32"/>
    </w:rPr>
  </w:style>
  <w:style w:type="paragraph" w:customStyle="1" w:styleId="1702">
    <w:name w:val="表体"/>
    <w:basedOn w:val="1"/>
    <w:autoRedefine/>
    <w:qFormat/>
    <w:uiPriority w:val="0"/>
    <w:pPr>
      <w:overflowPunct w:val="0"/>
      <w:adjustRightInd w:val="0"/>
      <w:spacing w:line="300" w:lineRule="atLeast"/>
      <w:jc w:val="center"/>
      <w:textAlignment w:val="baseline"/>
    </w:pPr>
    <w:rPr>
      <w:color w:val="000000"/>
      <w:kern w:val="24"/>
      <w:sz w:val="18"/>
      <w:szCs w:val="20"/>
    </w:rPr>
  </w:style>
  <w:style w:type="paragraph" w:customStyle="1" w:styleId="1703">
    <w:name w:val="样式 表格标题新 + (西文) Times New Roman (中文) 仿宋_GB2312 黑色"/>
    <w:basedOn w:val="1"/>
    <w:autoRedefine/>
    <w:qFormat/>
    <w:uiPriority w:val="0"/>
    <w:pPr>
      <w:tabs>
        <w:tab w:val="left" w:pos="0"/>
      </w:tabs>
      <w:adjustRightInd w:val="0"/>
      <w:snapToGrid w:val="0"/>
      <w:jc w:val="center"/>
    </w:pPr>
    <w:rPr>
      <w:rFonts w:eastAsia="仿宋_GB2312"/>
      <w:bCs/>
      <w:snapToGrid w:val="0"/>
      <w:spacing w:val="4"/>
      <w:kern w:val="0"/>
      <w:szCs w:val="21"/>
    </w:rPr>
  </w:style>
  <w:style w:type="paragraph" w:customStyle="1" w:styleId="1704">
    <w:name w:val="表格 首行文字"/>
    <w:link w:val="1705"/>
    <w:autoRedefine/>
    <w:qFormat/>
    <w:uiPriority w:val="99"/>
    <w:pPr>
      <w:snapToGrid w:val="0"/>
      <w:jc w:val="center"/>
    </w:pPr>
    <w:rPr>
      <w:rFonts w:ascii="Times New Roman" w:hAnsi="Times New Roman" w:eastAsia="仿宋_GB2312" w:cs="Times New Roman"/>
      <w:b/>
      <w:kern w:val="2"/>
      <w:sz w:val="21"/>
      <w:szCs w:val="21"/>
      <w:lang w:val="en-US" w:eastAsia="zh-CN" w:bidi="ar-SA"/>
    </w:rPr>
  </w:style>
  <w:style w:type="character" w:customStyle="1" w:styleId="1705">
    <w:name w:val="表格 首行文字 Char"/>
    <w:link w:val="1704"/>
    <w:autoRedefine/>
    <w:qFormat/>
    <w:uiPriority w:val="99"/>
    <w:rPr>
      <w:rFonts w:eastAsia="仿宋_GB2312"/>
      <w:b/>
      <w:kern w:val="2"/>
      <w:sz w:val="21"/>
      <w:szCs w:val="21"/>
    </w:rPr>
  </w:style>
  <w:style w:type="paragraph" w:customStyle="1" w:styleId="1706">
    <w:name w:val="报告书 正文"/>
    <w:link w:val="1707"/>
    <w:autoRedefine/>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1707">
    <w:name w:val="报告书 正文 Char"/>
    <w:link w:val="1706"/>
    <w:autoRedefine/>
    <w:qFormat/>
    <w:uiPriority w:val="0"/>
    <w:rPr>
      <w:rFonts w:eastAsia="仿宋_GB2312"/>
      <w:kern w:val="2"/>
      <w:sz w:val="28"/>
      <w:szCs w:val="24"/>
    </w:rPr>
  </w:style>
  <w:style w:type="paragraph" w:customStyle="1" w:styleId="1708">
    <w:name w:val="中文报告书样式"/>
    <w:basedOn w:val="1"/>
    <w:autoRedefine/>
    <w:qFormat/>
    <w:uiPriority w:val="0"/>
    <w:pPr>
      <w:adjustRightInd w:val="0"/>
      <w:spacing w:line="480" w:lineRule="atLeast"/>
      <w:ind w:firstLine="482"/>
      <w:textAlignment w:val="baseline"/>
    </w:pPr>
    <w:rPr>
      <w:kern w:val="24"/>
      <w:sz w:val="24"/>
      <w:szCs w:val="20"/>
    </w:rPr>
  </w:style>
  <w:style w:type="character" w:customStyle="1" w:styleId="1709">
    <w:name w:val="font51"/>
    <w:basedOn w:val="94"/>
    <w:autoRedefine/>
    <w:qFormat/>
    <w:uiPriority w:val="0"/>
    <w:rPr>
      <w:rFonts w:hint="default" w:ascii="Times New Roman" w:hAnsi="Times New Roman" w:cs="Times New Roman"/>
      <w:color w:val="000000"/>
      <w:sz w:val="21"/>
      <w:szCs w:val="21"/>
      <w:u w:val="none"/>
    </w:rPr>
  </w:style>
  <w:style w:type="character" w:customStyle="1" w:styleId="1710">
    <w:name w:val="font61"/>
    <w:basedOn w:val="94"/>
    <w:autoRedefine/>
    <w:qFormat/>
    <w:uiPriority w:val="0"/>
    <w:rPr>
      <w:rFonts w:hint="eastAsia" w:ascii="仿宋_GB2312" w:eastAsia="仿宋_GB2312"/>
      <w:b/>
      <w:bCs/>
      <w:color w:val="000000"/>
      <w:sz w:val="21"/>
      <w:szCs w:val="21"/>
      <w:u w:val="none"/>
    </w:rPr>
  </w:style>
  <w:style w:type="character" w:customStyle="1" w:styleId="1711">
    <w:name w:val="font71"/>
    <w:basedOn w:val="94"/>
    <w:autoRedefine/>
    <w:qFormat/>
    <w:uiPriority w:val="0"/>
    <w:rPr>
      <w:rFonts w:hint="default" w:ascii="Times New Roman" w:hAnsi="Times New Roman" w:cs="Times New Roman"/>
      <w:color w:val="000000"/>
      <w:sz w:val="21"/>
      <w:szCs w:val="21"/>
      <w:u w:val="none"/>
    </w:rPr>
  </w:style>
  <w:style w:type="character" w:customStyle="1" w:styleId="1712">
    <w:name w:val="font01"/>
    <w:basedOn w:val="94"/>
    <w:autoRedefine/>
    <w:qFormat/>
    <w:uiPriority w:val="0"/>
    <w:rPr>
      <w:rFonts w:hint="eastAsia" w:ascii="宋体" w:hAnsi="宋体" w:eastAsia="宋体"/>
      <w:color w:val="000000"/>
      <w:sz w:val="21"/>
      <w:szCs w:val="21"/>
      <w:u w:val="none"/>
    </w:rPr>
  </w:style>
  <w:style w:type="character" w:customStyle="1" w:styleId="1713">
    <w:name w:val="正文(首行缩进) Char"/>
    <w:link w:val="1714"/>
    <w:autoRedefine/>
    <w:qFormat/>
    <w:uiPriority w:val="0"/>
    <w:rPr>
      <w:rFonts w:ascii="Calibri" w:hAnsi="Calibri"/>
      <w:snapToGrid w:val="0"/>
      <w:sz w:val="24"/>
      <w:szCs w:val="24"/>
    </w:rPr>
  </w:style>
  <w:style w:type="paragraph" w:customStyle="1" w:styleId="1714">
    <w:name w:val="正文(首行缩进)"/>
    <w:basedOn w:val="1"/>
    <w:link w:val="1713"/>
    <w:autoRedefine/>
    <w:qFormat/>
    <w:uiPriority w:val="0"/>
    <w:pPr>
      <w:adjustRightInd w:val="0"/>
      <w:snapToGrid w:val="0"/>
      <w:spacing w:line="360" w:lineRule="auto"/>
      <w:ind w:firstLine="200" w:firstLineChars="200"/>
    </w:pPr>
    <w:rPr>
      <w:rFonts w:ascii="Calibri" w:hAnsi="Calibri"/>
      <w:snapToGrid w:val="0"/>
      <w:kern w:val="0"/>
      <w:sz w:val="24"/>
    </w:rPr>
  </w:style>
  <w:style w:type="character" w:customStyle="1" w:styleId="1715">
    <w:name w:val="font81"/>
    <w:basedOn w:val="94"/>
    <w:autoRedefine/>
    <w:qFormat/>
    <w:uiPriority w:val="0"/>
    <w:rPr>
      <w:rFonts w:hint="eastAsia" w:ascii="宋体" w:hAnsi="宋体" w:eastAsia="宋体"/>
      <w:b/>
      <w:bCs/>
      <w:color w:val="000000"/>
      <w:sz w:val="22"/>
      <w:szCs w:val="22"/>
      <w:u w:val="none"/>
    </w:rPr>
  </w:style>
  <w:style w:type="character" w:customStyle="1" w:styleId="1716">
    <w:name w:val="font91"/>
    <w:basedOn w:val="94"/>
    <w:autoRedefine/>
    <w:qFormat/>
    <w:uiPriority w:val="0"/>
    <w:rPr>
      <w:rFonts w:hint="default" w:ascii="Times New Roman" w:hAnsi="Times New Roman" w:cs="Times New Roman"/>
      <w:b/>
      <w:bCs/>
      <w:color w:val="000000"/>
      <w:sz w:val="22"/>
      <w:szCs w:val="22"/>
      <w:u w:val="none"/>
      <w:vertAlign w:val="superscript"/>
    </w:rPr>
  </w:style>
  <w:style w:type="character" w:customStyle="1" w:styleId="1717">
    <w:name w:val="font121"/>
    <w:basedOn w:val="94"/>
    <w:autoRedefine/>
    <w:qFormat/>
    <w:uiPriority w:val="0"/>
    <w:rPr>
      <w:rFonts w:hint="default" w:ascii="Times New Roman" w:hAnsi="Times New Roman" w:cs="Times New Roman"/>
      <w:color w:val="000000"/>
      <w:sz w:val="21"/>
      <w:szCs w:val="21"/>
      <w:u w:val="none"/>
    </w:rPr>
  </w:style>
  <w:style w:type="character" w:customStyle="1" w:styleId="1718">
    <w:name w:val="font111"/>
    <w:basedOn w:val="94"/>
    <w:autoRedefine/>
    <w:qFormat/>
    <w:uiPriority w:val="0"/>
    <w:rPr>
      <w:rFonts w:hint="eastAsia" w:ascii="宋体" w:hAnsi="宋体" w:eastAsia="宋体"/>
      <w:b/>
      <w:bCs/>
      <w:color w:val="000000"/>
      <w:sz w:val="22"/>
      <w:szCs w:val="22"/>
      <w:u w:val="none"/>
    </w:rPr>
  </w:style>
  <w:style w:type="paragraph" w:customStyle="1" w:styleId="1719">
    <w:name w:val="样式 正文 首行缩进:  2 字符 + 首行缩进:  2 字符"/>
    <w:basedOn w:val="1"/>
    <w:autoRedefine/>
    <w:qFormat/>
    <w:uiPriority w:val="0"/>
    <w:pPr>
      <w:adjustRightInd w:val="0"/>
      <w:snapToGrid w:val="0"/>
      <w:ind w:firstLine="562" w:firstLineChars="200"/>
      <w:jc w:val="center"/>
    </w:pPr>
    <w:rPr>
      <w:rFonts w:ascii="仿宋_GB2312" w:eastAsiaTheme="minorEastAsia"/>
      <w:b/>
      <w:color w:val="000000"/>
      <w:sz w:val="28"/>
      <w:szCs w:val="28"/>
    </w:rPr>
  </w:style>
  <w:style w:type="paragraph" w:customStyle="1" w:styleId="1720">
    <w:name w:val="表号"/>
    <w:basedOn w:val="1"/>
    <w:autoRedefine/>
    <w:qFormat/>
    <w:uiPriority w:val="0"/>
    <w:rPr>
      <w:szCs w:val="20"/>
    </w:rPr>
  </w:style>
  <w:style w:type="paragraph" w:customStyle="1" w:styleId="1721">
    <w:name w:val="2"/>
    <w:basedOn w:val="1"/>
    <w:next w:val="71"/>
    <w:autoRedefine/>
    <w:qFormat/>
    <w:uiPriority w:val="0"/>
    <w:pPr>
      <w:tabs>
        <w:tab w:val="left" w:pos="604"/>
      </w:tabs>
      <w:spacing w:line="360" w:lineRule="auto"/>
      <w:ind w:firstLine="600"/>
    </w:pPr>
    <w:rPr>
      <w:sz w:val="24"/>
    </w:rPr>
  </w:style>
  <w:style w:type="paragraph" w:customStyle="1" w:styleId="1722">
    <w:name w:val="Char22"/>
    <w:basedOn w:val="1"/>
    <w:autoRedefine/>
    <w:qFormat/>
    <w:uiPriority w:val="0"/>
    <w:rPr>
      <w:sz w:val="24"/>
    </w:rPr>
  </w:style>
  <w:style w:type="paragraph" w:customStyle="1" w:styleId="1723">
    <w:name w:val="LD正文"/>
    <w:basedOn w:val="1"/>
    <w:autoRedefine/>
    <w:qFormat/>
    <w:uiPriority w:val="0"/>
    <w:pPr>
      <w:snapToGrid w:val="0"/>
      <w:spacing w:line="360" w:lineRule="auto"/>
      <w:ind w:firstLine="480"/>
    </w:pPr>
    <w:rPr>
      <w:kern w:val="0"/>
      <w:sz w:val="24"/>
    </w:rPr>
  </w:style>
  <w:style w:type="paragraph" w:customStyle="1" w:styleId="1724">
    <w:name w:val="1 Char Char Char Char"/>
    <w:basedOn w:val="1"/>
    <w:autoRedefine/>
    <w:qFormat/>
    <w:uiPriority w:val="0"/>
    <w:pPr>
      <w:spacing w:line="360" w:lineRule="auto"/>
      <w:ind w:firstLine="200" w:firstLineChars="200"/>
    </w:pPr>
  </w:style>
  <w:style w:type="character" w:customStyle="1" w:styleId="1725">
    <w:name w:val="表格/图表标题 Char"/>
    <w:link w:val="1726"/>
    <w:autoRedefine/>
    <w:qFormat/>
    <w:locked/>
    <w:uiPriority w:val="0"/>
    <w:rPr>
      <w:b/>
      <w:bCs/>
      <w:sz w:val="24"/>
      <w:szCs w:val="24"/>
    </w:rPr>
  </w:style>
  <w:style w:type="paragraph" w:customStyle="1" w:styleId="1726">
    <w:name w:val="表格/图表标题"/>
    <w:basedOn w:val="1"/>
    <w:next w:val="1"/>
    <w:link w:val="1725"/>
    <w:autoRedefine/>
    <w:qFormat/>
    <w:uiPriority w:val="0"/>
    <w:pPr>
      <w:widowControl/>
      <w:spacing w:beforeLines="50"/>
      <w:jc w:val="center"/>
    </w:pPr>
    <w:rPr>
      <w:b/>
      <w:bCs/>
      <w:kern w:val="0"/>
      <w:sz w:val="24"/>
    </w:rPr>
  </w:style>
  <w:style w:type="character" w:customStyle="1" w:styleId="1727">
    <w:name w:val="批注文字 字符"/>
    <w:autoRedefine/>
    <w:qFormat/>
    <w:uiPriority w:val="0"/>
    <w:rPr>
      <w:kern w:val="2"/>
      <w:sz w:val="21"/>
      <w:szCs w:val="24"/>
    </w:rPr>
  </w:style>
  <w:style w:type="character" w:customStyle="1" w:styleId="1728">
    <w:name w:val="表格内文字 Char1"/>
    <w:autoRedefine/>
    <w:qFormat/>
    <w:uiPriority w:val="0"/>
    <w:rPr>
      <w:spacing w:val="4"/>
      <w:kern w:val="18"/>
      <w:sz w:val="24"/>
    </w:rPr>
  </w:style>
  <w:style w:type="paragraph" w:customStyle="1" w:styleId="1729">
    <w:name w:val="样式 样式 样式 宋体 小四 首行缩进:  2 字符 行距: 固定值 22 磅 + 首行缩进:  2 字符 + 首行缩进:  2..."/>
    <w:basedOn w:val="1"/>
    <w:autoRedefine/>
    <w:qFormat/>
    <w:uiPriority w:val="0"/>
    <w:pPr>
      <w:spacing w:line="400" w:lineRule="exact"/>
      <w:ind w:firstLine="480" w:firstLineChars="200"/>
    </w:pPr>
    <w:rPr>
      <w:rFonts w:ascii="宋体" w:hAnsi="宋体" w:cs="宋体"/>
      <w:szCs w:val="20"/>
    </w:rPr>
  </w:style>
  <w:style w:type="paragraph" w:customStyle="1" w:styleId="1730">
    <w:name w:val="_Style 320"/>
    <w:basedOn w:val="1"/>
    <w:next w:val="157"/>
    <w:autoRedefine/>
    <w:qFormat/>
    <w:uiPriority w:val="0"/>
    <w:pPr>
      <w:ind w:firstLine="420" w:firstLineChars="200"/>
    </w:pPr>
    <w:rPr>
      <w:rFonts w:ascii="Calibri" w:hAnsi="Calibri"/>
      <w:szCs w:val="22"/>
    </w:rPr>
  </w:style>
  <w:style w:type="character" w:customStyle="1" w:styleId="1731">
    <w:name w:val="at_13"/>
    <w:autoRedefine/>
    <w:qFormat/>
    <w:uiPriority w:val="0"/>
  </w:style>
  <w:style w:type="character" w:customStyle="1" w:styleId="1732">
    <w:name w:val="z1"/>
    <w:autoRedefine/>
    <w:qFormat/>
    <w:uiPriority w:val="0"/>
    <w:rPr>
      <w:sz w:val="18"/>
      <w:szCs w:val="18"/>
    </w:rPr>
  </w:style>
  <w:style w:type="character" w:customStyle="1" w:styleId="1733">
    <w:name w:val="z7"/>
    <w:autoRedefine/>
    <w:qFormat/>
    <w:uiPriority w:val="0"/>
  </w:style>
  <w:style w:type="character" w:customStyle="1" w:styleId="1734">
    <w:name w:val="font201"/>
    <w:autoRedefine/>
    <w:qFormat/>
    <w:uiPriority w:val="0"/>
  </w:style>
  <w:style w:type="character" w:customStyle="1" w:styleId="1735">
    <w:name w:val="oshms1"/>
    <w:autoRedefine/>
    <w:qFormat/>
    <w:uiPriority w:val="0"/>
    <w:rPr>
      <w:rFonts w:ascii="Arial" w:hAnsi="Arial" w:cs="Arial"/>
      <w:color w:val="000000"/>
      <w:sz w:val="20"/>
      <w:szCs w:val="20"/>
      <w:u w:val="none"/>
    </w:rPr>
  </w:style>
  <w:style w:type="character" w:customStyle="1" w:styleId="1736">
    <w:name w:val="hhcwt标题3 Char Char"/>
    <w:autoRedefine/>
    <w:qFormat/>
    <w:uiPriority w:val="0"/>
    <w:rPr>
      <w:rFonts w:ascii="Times New Roman" w:hAnsi="Times New Roman" w:eastAsia="楷体_GB2312" w:cs="宋体"/>
      <w:bCs/>
      <w:sz w:val="28"/>
      <w:szCs w:val="20"/>
    </w:rPr>
  </w:style>
  <w:style w:type="character" w:customStyle="1" w:styleId="1737">
    <w:name w:val="f14bb style2"/>
    <w:autoRedefine/>
    <w:qFormat/>
    <w:uiPriority w:val="0"/>
  </w:style>
  <w:style w:type="character" w:customStyle="1" w:styleId="1738">
    <w:name w:val="样式 标题 3 + 仿宋_GB23121 Char Char"/>
    <w:autoRedefine/>
    <w:qFormat/>
    <w:uiPriority w:val="0"/>
    <w:rPr>
      <w:rFonts w:ascii="仿宋_GB2312" w:eastAsia="仿宋_GB2312" w:cs="Times New Roman"/>
      <w:b/>
      <w:bCs/>
      <w:color w:val="000000"/>
      <w:sz w:val="28"/>
      <w:szCs w:val="24"/>
    </w:rPr>
  </w:style>
  <w:style w:type="character" w:customStyle="1" w:styleId="1739">
    <w:name w:val="chen表头1 Char Char"/>
    <w:autoRedefine/>
    <w:qFormat/>
    <w:uiPriority w:val="0"/>
    <w:rPr>
      <w:rFonts w:ascii="Times New Roman" w:hAnsi="Times New Roman" w:eastAsia="楷体_GB2312" w:cs="宋体"/>
      <w:b/>
      <w:kern w:val="0"/>
      <w:sz w:val="24"/>
      <w:szCs w:val="20"/>
    </w:rPr>
  </w:style>
  <w:style w:type="character" w:customStyle="1" w:styleId="1740">
    <w:name w:val="lan1"/>
    <w:autoRedefine/>
    <w:qFormat/>
    <w:uiPriority w:val="0"/>
    <w:rPr>
      <w:color w:val="0000FF"/>
      <w:sz w:val="18"/>
      <w:u w:val="none"/>
    </w:rPr>
  </w:style>
  <w:style w:type="character" w:customStyle="1" w:styleId="1741">
    <w:name w:val="章标题1 Char Char"/>
    <w:autoRedefine/>
    <w:qFormat/>
    <w:uiPriority w:val="0"/>
    <w:rPr>
      <w:rFonts w:ascii="宋体"/>
      <w:b/>
      <w:bCs/>
      <w:kern w:val="44"/>
      <w:sz w:val="30"/>
      <w:szCs w:val="30"/>
    </w:rPr>
  </w:style>
  <w:style w:type="character" w:customStyle="1" w:styleId="1742">
    <w:name w:val="表格1 Char Char"/>
    <w:autoRedefine/>
    <w:qFormat/>
    <w:uiPriority w:val="0"/>
    <w:rPr>
      <w:rFonts w:ascii="Arial" w:hAnsi="Arial" w:eastAsia="宋体" w:cs="Arial"/>
      <w:kern w:val="0"/>
      <w:sz w:val="24"/>
      <w:szCs w:val="24"/>
    </w:rPr>
  </w:style>
  <w:style w:type="character" w:customStyle="1" w:styleId="1743">
    <w:name w:val="tit2"/>
    <w:autoRedefine/>
    <w:qFormat/>
    <w:uiPriority w:val="0"/>
    <w:rPr>
      <w:b/>
      <w:bCs/>
      <w:sz w:val="48"/>
      <w:szCs w:val="48"/>
    </w:rPr>
  </w:style>
  <w:style w:type="character" w:customStyle="1" w:styleId="1744">
    <w:name w:val="Footer1 Char1"/>
    <w:autoRedefine/>
    <w:qFormat/>
    <w:uiPriority w:val="0"/>
    <w:rPr>
      <w:rFonts w:ascii="Times New Roman" w:hAnsi="Times New Roman" w:eastAsia="仿宋_GB2312" w:cs="Times New Roman"/>
      <w:sz w:val="18"/>
      <w:szCs w:val="18"/>
    </w:rPr>
  </w:style>
  <w:style w:type="character" w:customStyle="1" w:styleId="1745">
    <w:name w:val="1正文段落 Char Char"/>
    <w:autoRedefine/>
    <w:qFormat/>
    <w:uiPriority w:val="0"/>
    <w:rPr>
      <w:rFonts w:ascii="Times New Roman" w:hAnsi="Times New Roman" w:eastAsia="宋体" w:cs="Times New Roman"/>
      <w:snapToGrid/>
      <w:kern w:val="0"/>
      <w:sz w:val="24"/>
      <w:szCs w:val="24"/>
    </w:rPr>
  </w:style>
  <w:style w:type="character" w:customStyle="1" w:styleId="1746">
    <w:name w:val="hei131"/>
    <w:autoRedefine/>
    <w:qFormat/>
    <w:uiPriority w:val="0"/>
    <w:rPr>
      <w:rFonts w:ascii="新宋体" w:eastAsia="新宋体"/>
      <w:color w:val="000000"/>
      <w:sz w:val="20"/>
      <w:szCs w:val="20"/>
    </w:rPr>
  </w:style>
  <w:style w:type="character" w:customStyle="1" w:styleId="1747">
    <w:name w:val="HTML 缩写1"/>
    <w:autoRedefine/>
    <w:qFormat/>
    <w:uiPriority w:val="0"/>
    <w:rPr>
      <w:rFonts w:ascii="宋体" w:eastAsia="宋体" w:cs="Courier New"/>
      <w:kern w:val="2"/>
      <w:sz w:val="32"/>
      <w:szCs w:val="32"/>
      <w:lang w:val="en-US" w:eastAsia="zh-CN"/>
    </w:rPr>
  </w:style>
  <w:style w:type="character" w:customStyle="1" w:styleId="1748">
    <w:name w:val="hottext1"/>
    <w:autoRedefine/>
    <w:qFormat/>
    <w:uiPriority w:val="0"/>
    <w:rPr>
      <w:rFonts w:ascii="宋体" w:eastAsia="宋体"/>
      <w:strike/>
      <w:sz w:val="22"/>
    </w:rPr>
  </w:style>
  <w:style w:type="character" w:customStyle="1" w:styleId="1749">
    <w:name w:val="f915"/>
    <w:autoRedefine/>
    <w:qFormat/>
    <w:uiPriority w:val="0"/>
  </w:style>
  <w:style w:type="character" w:customStyle="1" w:styleId="1750">
    <w:name w:val="l12"/>
    <w:autoRedefine/>
    <w:qFormat/>
    <w:uiPriority w:val="0"/>
  </w:style>
  <w:style w:type="character" w:customStyle="1" w:styleId="1751">
    <w:name w:val="表格内文字 Char Char"/>
    <w:autoRedefine/>
    <w:qFormat/>
    <w:uiPriority w:val="0"/>
    <w:rPr>
      <w:rFonts w:eastAsia="宋体"/>
      <w:snapToGrid/>
      <w:szCs w:val="21"/>
      <w:lang w:val="en-US"/>
    </w:rPr>
  </w:style>
  <w:style w:type="character" w:customStyle="1" w:styleId="1752">
    <w:name w:val="word131"/>
    <w:autoRedefine/>
    <w:qFormat/>
    <w:uiPriority w:val="0"/>
    <w:rPr>
      <w:rFonts w:ascii="ˎ̥" w:hAnsi="ˎ̥"/>
      <w:color w:val="000000"/>
      <w:sz w:val="20"/>
      <w:szCs w:val="20"/>
      <w:u w:val="none"/>
    </w:rPr>
  </w:style>
  <w:style w:type="character" w:customStyle="1" w:styleId="1753">
    <w:name w:val="样式 样式 样式 宋体 小四 行距: 多倍行距 1.4 字行2 + 黑色 + Times New Roman2 Char Char"/>
    <w:autoRedefine/>
    <w:qFormat/>
    <w:uiPriority w:val="0"/>
    <w:rPr>
      <w:rFonts w:ascii="Times New Roman" w:hAnsi="Times New Roman" w:cs="宋体"/>
      <w:color w:val="000000"/>
      <w:sz w:val="24"/>
      <w:szCs w:val="24"/>
    </w:rPr>
  </w:style>
  <w:style w:type="character" w:customStyle="1" w:styleId="1754">
    <w:name w:val="a141"/>
    <w:autoRedefine/>
    <w:qFormat/>
    <w:uiPriority w:val="0"/>
    <w:rPr>
      <w:color w:val="000000"/>
      <w:spacing w:val="0"/>
      <w:sz w:val="23"/>
      <w:szCs w:val="23"/>
      <w:bdr w:val="dashed" w:color="auto" w:sz="24" w:space="0"/>
    </w:rPr>
  </w:style>
  <w:style w:type="character" w:customStyle="1" w:styleId="1755">
    <w:name w:val="style301"/>
    <w:autoRedefine/>
    <w:qFormat/>
    <w:uiPriority w:val="0"/>
    <w:rPr>
      <w:rFonts w:ascii="黑体" w:eastAsia="黑体"/>
      <w:sz w:val="24"/>
      <w:szCs w:val="24"/>
    </w:rPr>
  </w:style>
  <w:style w:type="character" w:customStyle="1" w:styleId="1756">
    <w:name w:val="正文样式 Char Char"/>
    <w:autoRedefine/>
    <w:qFormat/>
    <w:uiPriority w:val="0"/>
    <w:rPr>
      <w:rFonts w:ascii="Times New Roman" w:hAnsi="Times New Roman" w:eastAsia="宋体" w:cs="Times New Roman"/>
      <w:spacing w:val="10"/>
      <w:sz w:val="24"/>
      <w:szCs w:val="20"/>
    </w:rPr>
  </w:style>
  <w:style w:type="character" w:customStyle="1" w:styleId="1757">
    <w:name w:val="text25"/>
    <w:autoRedefine/>
    <w:qFormat/>
    <w:uiPriority w:val="0"/>
  </w:style>
  <w:style w:type="character" w:customStyle="1" w:styleId="1758">
    <w:name w:val="25char"/>
    <w:autoRedefine/>
    <w:qFormat/>
    <w:uiPriority w:val="0"/>
  </w:style>
  <w:style w:type="character" w:customStyle="1" w:styleId="1759">
    <w:name w:val="HTML 打字机1"/>
    <w:autoRedefine/>
    <w:qFormat/>
    <w:uiPriority w:val="0"/>
    <w:rPr>
      <w:rFonts w:ascii="宋体" w:eastAsia="宋体" w:cs="宋体"/>
      <w:sz w:val="24"/>
      <w:szCs w:val="24"/>
    </w:rPr>
  </w:style>
  <w:style w:type="character" w:customStyle="1" w:styleId="1760">
    <w:name w:val="detail_style"/>
    <w:autoRedefine/>
    <w:qFormat/>
    <w:uiPriority w:val="0"/>
  </w:style>
  <w:style w:type="character" w:customStyle="1" w:styleId="1761">
    <w:name w:val="单学凯环表头 Char Char"/>
    <w:autoRedefine/>
    <w:qFormat/>
    <w:uiPriority w:val="0"/>
    <w:rPr>
      <w:rFonts w:ascii="宋体" w:eastAsia="宋体" w:cs="Times New Roman"/>
      <w:b/>
      <w:bCs/>
      <w:color w:val="000000"/>
      <w:kern w:val="0"/>
      <w:sz w:val="24"/>
      <w:szCs w:val="24"/>
    </w:rPr>
  </w:style>
  <w:style w:type="character" w:customStyle="1" w:styleId="1762">
    <w:name w:val="hhcwt正文 Char Char Char"/>
    <w:autoRedefine/>
    <w:qFormat/>
    <w:uiPriority w:val="0"/>
    <w:rPr>
      <w:rFonts w:ascii="Times New Roman" w:hAnsi="Times New Roman" w:eastAsia="宋体" w:cs="宋体"/>
      <w:sz w:val="24"/>
      <w:szCs w:val="20"/>
    </w:rPr>
  </w:style>
  <w:style w:type="character" w:customStyle="1" w:styleId="1763">
    <w:name w:val="表蕊居中 Char Char"/>
    <w:autoRedefine/>
    <w:qFormat/>
    <w:uiPriority w:val="0"/>
    <w:rPr>
      <w:rFonts w:ascii="Times New Roman" w:hAnsi="Times New Roman" w:eastAsia="宋体" w:cs="Times New Roman"/>
      <w:color w:val="000000"/>
      <w:szCs w:val="21"/>
    </w:rPr>
  </w:style>
  <w:style w:type="character" w:customStyle="1" w:styleId="1764">
    <w:name w:val="标题 2节 Char Char1"/>
    <w:autoRedefine/>
    <w:qFormat/>
    <w:uiPriority w:val="0"/>
    <w:rPr>
      <w:rFonts w:ascii="Arial" w:hAnsi="Arial" w:eastAsia="黑体" w:cs="Arial"/>
      <w:b/>
      <w:bCs/>
      <w:kern w:val="2"/>
      <w:sz w:val="32"/>
      <w:szCs w:val="32"/>
      <w:lang w:val="en-US" w:eastAsia="zh-CN" w:bidi="ar-SA"/>
    </w:rPr>
  </w:style>
  <w:style w:type="character" w:customStyle="1" w:styleId="1765">
    <w:name w:val="图例 Char1"/>
    <w:autoRedefine/>
    <w:qFormat/>
    <w:uiPriority w:val="0"/>
    <w:rPr>
      <w:rFonts w:ascii="Arial" w:hAnsi="Arial" w:eastAsia="黑体" w:cs="Times New Roman"/>
      <w:kern w:val="0"/>
      <w:sz w:val="20"/>
      <w:szCs w:val="20"/>
      <w:lang w:val="en-US" w:eastAsia="zh-CN"/>
    </w:rPr>
  </w:style>
  <w:style w:type="character" w:customStyle="1" w:styleId="1766">
    <w:name w:val="zhengwen1"/>
    <w:autoRedefine/>
    <w:qFormat/>
    <w:uiPriority w:val="0"/>
    <w:rPr>
      <w:color w:val="000000"/>
      <w:sz w:val="20"/>
      <w:szCs w:val="20"/>
      <w:u w:val="none"/>
    </w:rPr>
  </w:style>
  <w:style w:type="character" w:customStyle="1" w:styleId="1767">
    <w:name w:val="正文样式10 Char Char"/>
    <w:autoRedefine/>
    <w:qFormat/>
    <w:uiPriority w:val="0"/>
    <w:rPr>
      <w:rFonts w:ascii="宋体" w:eastAsia="宋体" w:cs="Times New Roman"/>
      <w:bCs/>
      <w:kern w:val="0"/>
      <w:sz w:val="24"/>
      <w:szCs w:val="24"/>
      <w:lang w:val="zh-CN"/>
    </w:rPr>
  </w:style>
  <w:style w:type="character" w:customStyle="1" w:styleId="1768">
    <w:name w:val="font_141"/>
    <w:autoRedefine/>
    <w:qFormat/>
    <w:uiPriority w:val="0"/>
    <w:rPr>
      <w:rFonts w:ascii="ˎ̥" w:hAnsi="ˎ̥"/>
      <w:sz w:val="21"/>
      <w:szCs w:val="21"/>
    </w:rPr>
  </w:style>
  <w:style w:type="character" w:customStyle="1" w:styleId="1769">
    <w:name w:val="批注引用 Char"/>
    <w:autoRedefine/>
    <w:qFormat/>
    <w:uiPriority w:val="0"/>
    <w:rPr>
      <w:color w:val="000000"/>
      <w:sz w:val="21"/>
      <w:u w:color="000000"/>
      <w:lang w:val="en-US" w:eastAsia="zh-CN"/>
    </w:rPr>
  </w:style>
  <w:style w:type="character" w:customStyle="1" w:styleId="1770">
    <w:name w:val="at_7"/>
    <w:autoRedefine/>
    <w:qFormat/>
    <w:uiPriority w:val="0"/>
  </w:style>
  <w:style w:type="character" w:customStyle="1" w:styleId="1771">
    <w:name w:val="bt5"/>
    <w:autoRedefine/>
    <w:qFormat/>
    <w:uiPriority w:val="0"/>
  </w:style>
  <w:style w:type="character" w:customStyle="1" w:styleId="1772">
    <w:name w:val="text_edit editable-title"/>
    <w:autoRedefine/>
    <w:qFormat/>
    <w:uiPriority w:val="0"/>
  </w:style>
  <w:style w:type="character" w:customStyle="1" w:styleId="1773">
    <w:name w:val="环表头 Char Char"/>
    <w:autoRedefine/>
    <w:qFormat/>
    <w:uiPriority w:val="0"/>
    <w:rPr>
      <w:rFonts w:ascii="宋体" w:eastAsia="宋体" w:cs="Times New Roman"/>
      <w:bCs/>
      <w:sz w:val="28"/>
      <w:szCs w:val="28"/>
    </w:rPr>
  </w:style>
  <w:style w:type="character" w:customStyle="1" w:styleId="1774">
    <w:name w:val="text251"/>
    <w:autoRedefine/>
    <w:qFormat/>
    <w:uiPriority w:val="0"/>
    <w:rPr>
      <w:sz w:val="20"/>
      <w:szCs w:val="20"/>
    </w:rPr>
  </w:style>
  <w:style w:type="character" w:customStyle="1" w:styleId="1775">
    <w:name w:val="题注 + 居中 Char Char"/>
    <w:autoRedefine/>
    <w:qFormat/>
    <w:uiPriority w:val="0"/>
    <w:rPr>
      <w:rFonts w:ascii="Arial" w:hAnsi="Arial" w:eastAsia="黑体" w:cs="宋体"/>
      <w:kern w:val="0"/>
      <w:sz w:val="24"/>
      <w:szCs w:val="20"/>
      <w:lang w:val="en-US" w:eastAsia="zh-CN"/>
    </w:rPr>
  </w:style>
  <w:style w:type="character" w:customStyle="1" w:styleId="1776">
    <w:name w:val="样式 标题 3 + 仿宋_GB2312 Char Char"/>
    <w:autoRedefine/>
    <w:qFormat/>
    <w:uiPriority w:val="0"/>
    <w:rPr>
      <w:rFonts w:ascii="仿宋_GB2312" w:eastAsia="仿宋_GB2312" w:cs="Times New Roman"/>
      <w:b/>
      <w:bCs/>
      <w:color w:val="000000"/>
      <w:sz w:val="28"/>
      <w:szCs w:val="24"/>
    </w:rPr>
  </w:style>
  <w:style w:type="character" w:customStyle="1" w:styleId="1777">
    <w:name w:val="项标题(1) Char Char"/>
    <w:autoRedefine/>
    <w:qFormat/>
    <w:uiPriority w:val="0"/>
    <w:rPr>
      <w:rFonts w:ascii="宋体" w:eastAsia="宋体"/>
      <w:b/>
      <w:kern w:val="2"/>
      <w:sz w:val="21"/>
      <w:lang w:val="en-US" w:eastAsia="zh-CN" w:bidi="ar-SA"/>
    </w:rPr>
  </w:style>
  <w:style w:type="character" w:customStyle="1" w:styleId="1778">
    <w:name w:val="表格标题 Char Char"/>
    <w:autoRedefine/>
    <w:qFormat/>
    <w:uiPriority w:val="0"/>
    <w:rPr>
      <w:rFonts w:ascii="Arial" w:hAnsi="Arial" w:eastAsia="黑体"/>
      <w:sz w:val="24"/>
      <w:lang w:val="en-US" w:eastAsia="zh-CN"/>
    </w:rPr>
  </w:style>
  <w:style w:type="character" w:customStyle="1" w:styleId="1779">
    <w:name w:val="doc_title1"/>
    <w:autoRedefine/>
    <w:qFormat/>
    <w:uiPriority w:val="0"/>
    <w:rPr>
      <w:sz w:val="30"/>
    </w:rPr>
  </w:style>
  <w:style w:type="character" w:customStyle="1" w:styleId="1780">
    <w:name w:val="和桥报告正文 Char Char"/>
    <w:autoRedefine/>
    <w:qFormat/>
    <w:uiPriority w:val="0"/>
    <w:rPr>
      <w:rFonts w:ascii="Times New Roman" w:hAnsi="Times New Roman" w:eastAsia="宋体" w:cs="宋体"/>
      <w:snapToGrid/>
      <w:kern w:val="24"/>
      <w:sz w:val="24"/>
      <w:szCs w:val="21"/>
    </w:rPr>
  </w:style>
  <w:style w:type="character" w:customStyle="1" w:styleId="1781">
    <w:name w:val="表蕊左对齐 Char Char"/>
    <w:autoRedefine/>
    <w:qFormat/>
    <w:uiPriority w:val="0"/>
    <w:rPr>
      <w:rFonts w:ascii="Times New Roman" w:hAnsi="Times New Roman" w:eastAsia="宋体" w:cs="Times New Roman"/>
      <w:color w:val="000000"/>
      <w:szCs w:val="21"/>
    </w:rPr>
  </w:style>
  <w:style w:type="character" w:customStyle="1" w:styleId="1782">
    <w:name w:val="热电厂正文 Char Char Char Char Char Char"/>
    <w:autoRedefine/>
    <w:qFormat/>
    <w:uiPriority w:val="0"/>
    <w:rPr>
      <w:rFonts w:ascii="Times New Roman" w:hAnsi="Times New Roman" w:eastAsia="宋体" w:cs="Times New Roman"/>
      <w:sz w:val="24"/>
      <w:szCs w:val="24"/>
    </w:rPr>
  </w:style>
  <w:style w:type="character" w:customStyle="1" w:styleId="1783">
    <w:name w:val="报告书正文 Char Char"/>
    <w:autoRedefine/>
    <w:qFormat/>
    <w:uiPriority w:val="0"/>
    <w:rPr>
      <w:rFonts w:ascii="Times New Roman" w:hAnsi="Times New Roman" w:eastAsia="宋体" w:cs="Times New Roman"/>
      <w:sz w:val="24"/>
      <w:szCs w:val="24"/>
    </w:rPr>
  </w:style>
  <w:style w:type="character" w:customStyle="1" w:styleId="1784">
    <w:name w:val="干标题(a) Char Char"/>
    <w:autoRedefine/>
    <w:qFormat/>
    <w:uiPriority w:val="0"/>
    <w:rPr>
      <w:rFonts w:ascii="Arial" w:hAnsi="Arial" w:eastAsia="黑体" w:cs="Arial"/>
      <w:kern w:val="2"/>
      <w:sz w:val="28"/>
      <w:szCs w:val="21"/>
      <w:lang w:val="en-US" w:eastAsia="zh-CN" w:bidi="ar-SA"/>
    </w:rPr>
  </w:style>
  <w:style w:type="character" w:customStyle="1" w:styleId="1785">
    <w:name w:val="HTML 变量1"/>
    <w:autoRedefine/>
    <w:qFormat/>
    <w:uiPriority w:val="0"/>
    <w:rPr>
      <w:rFonts w:ascii="宋体" w:eastAsia="宋体" w:cs="Courier New"/>
      <w:i/>
      <w:iCs/>
      <w:kern w:val="2"/>
      <w:sz w:val="32"/>
      <w:szCs w:val="32"/>
      <w:lang w:val="en-US" w:eastAsia="zh-CN"/>
    </w:rPr>
  </w:style>
  <w:style w:type="character" w:customStyle="1" w:styleId="1786">
    <w:name w:val="样式 标题 1h1H1PIM 1标书11.标题 1Section HeadHeader11st levell1...1 Char"/>
    <w:autoRedefine/>
    <w:qFormat/>
    <w:uiPriority w:val="0"/>
    <w:rPr>
      <w:rFonts w:ascii="楷体_GB2312" w:hAnsi="楷体_GB2312" w:eastAsia="黑体"/>
      <w:b/>
      <w:bCs/>
      <w:kern w:val="44"/>
      <w:sz w:val="30"/>
      <w:szCs w:val="44"/>
      <w:lang w:val="en-US" w:eastAsia="zh-CN" w:bidi="ar-SA"/>
    </w:rPr>
  </w:style>
  <w:style w:type="character" w:customStyle="1" w:styleId="1787">
    <w:name w:val="nw1"/>
    <w:autoRedefine/>
    <w:qFormat/>
    <w:uiPriority w:val="0"/>
  </w:style>
  <w:style w:type="character" w:customStyle="1" w:styleId="1788">
    <w:name w:val="article1"/>
    <w:autoRedefine/>
    <w:qFormat/>
    <w:uiPriority w:val="0"/>
    <w:rPr>
      <w:color w:val="000000"/>
      <w:spacing w:val="600"/>
      <w:sz w:val="18"/>
      <w:szCs w:val="18"/>
    </w:rPr>
  </w:style>
  <w:style w:type="character" w:customStyle="1" w:styleId="1789">
    <w:name w:val="A2 Char Char"/>
    <w:autoRedefine/>
    <w:qFormat/>
    <w:uiPriority w:val="0"/>
    <w:rPr>
      <w:rFonts w:ascii="Times New Roman" w:hAnsi="Times New Roman" w:eastAsia="宋体" w:cs="Times New Roman"/>
      <w:kern w:val="0"/>
      <w:sz w:val="30"/>
      <w:szCs w:val="24"/>
      <w:lang w:val="en-US" w:eastAsia="zh-CN"/>
    </w:rPr>
  </w:style>
  <w:style w:type="character" w:customStyle="1" w:styleId="1790">
    <w:name w:val="liuqiao"/>
    <w:autoRedefine/>
    <w:qFormat/>
    <w:uiPriority w:val="0"/>
  </w:style>
  <w:style w:type="character" w:customStyle="1" w:styleId="1791">
    <w:name w:val="样式 样式 样式 宋体 小四 行距: 多倍行距 1.4 字行2 + 黑色 + Times New Roman1 Char Char"/>
    <w:autoRedefine/>
    <w:qFormat/>
    <w:uiPriority w:val="0"/>
    <w:rPr>
      <w:rFonts w:ascii="Times New Roman" w:hAnsi="Times New Roman" w:eastAsia="宋体" w:cs="宋体"/>
      <w:color w:val="000000"/>
      <w:sz w:val="24"/>
      <w:szCs w:val="20"/>
    </w:rPr>
  </w:style>
  <w:style w:type="character" w:customStyle="1" w:styleId="1792">
    <w:name w:val="标题 4 Char Char Char Char Char Char Char Char Char Char Char Char Char Char Char Char Char Char Char"/>
    <w:autoRedefine/>
    <w:qFormat/>
    <w:uiPriority w:val="0"/>
    <w:rPr>
      <w:rFonts w:ascii="Arial" w:hAnsi="Arial" w:eastAsia="宋体"/>
      <w:b/>
      <w:bCs/>
      <w:snapToGrid/>
      <w:sz w:val="24"/>
      <w:szCs w:val="28"/>
      <w:lang w:val="en-US" w:eastAsia="zh-CN"/>
    </w:rPr>
  </w:style>
  <w:style w:type="character" w:customStyle="1" w:styleId="1793">
    <w:name w:val="hei9pt1"/>
    <w:autoRedefine/>
    <w:qFormat/>
    <w:uiPriority w:val="0"/>
    <w:rPr>
      <w:color w:val="000000"/>
      <w:sz w:val="18"/>
      <w:szCs w:val="18"/>
      <w:u w:val="none"/>
    </w:rPr>
  </w:style>
  <w:style w:type="character" w:customStyle="1" w:styleId="1794">
    <w:name w:val="环标3 Char Char"/>
    <w:autoRedefine/>
    <w:qFormat/>
    <w:uiPriority w:val="0"/>
    <w:rPr>
      <w:rFonts w:ascii="宋体" w:eastAsia="宋体" w:cs="Times New Roman"/>
      <w:kern w:val="0"/>
      <w:sz w:val="24"/>
      <w:szCs w:val="20"/>
    </w:rPr>
  </w:style>
  <w:style w:type="character" w:customStyle="1" w:styleId="1795">
    <w:name w:val="样式 小四 行距: 固定值 25 磅 Char"/>
    <w:autoRedefine/>
    <w:qFormat/>
    <w:uiPriority w:val="0"/>
    <w:rPr>
      <w:rFonts w:ascii="宋体" w:eastAsia="宋体" w:cs="宋体"/>
      <w:kern w:val="2"/>
      <w:sz w:val="24"/>
      <w:szCs w:val="24"/>
      <w:lang w:val="en-US" w:eastAsia="zh-CN" w:bidi="ar-SA"/>
    </w:rPr>
  </w:style>
  <w:style w:type="character" w:customStyle="1" w:styleId="1796">
    <w:name w:val="样式 标题 2标题 2节第一章 标题 2Heading 2 HiddenHeading 2 CCBSheading 2...2 Char Char"/>
    <w:autoRedefine/>
    <w:qFormat/>
    <w:uiPriority w:val="0"/>
    <w:rPr>
      <w:rFonts w:ascii="楷体_GB2312" w:eastAsia="楷体_GB2312"/>
      <w:b/>
      <w:kern w:val="2"/>
      <w:sz w:val="32"/>
      <w:szCs w:val="32"/>
    </w:rPr>
  </w:style>
  <w:style w:type="character" w:customStyle="1" w:styleId="1797">
    <w:name w:val="Char Char211"/>
    <w:autoRedefine/>
    <w:qFormat/>
    <w:uiPriority w:val="0"/>
    <w:rPr>
      <w:rFonts w:ascii="Arial" w:hAnsi="Arial" w:eastAsia="黑体" w:cs="Times New Roman"/>
      <w:kern w:val="0"/>
      <w:sz w:val="44"/>
      <w:szCs w:val="20"/>
    </w:rPr>
  </w:style>
  <w:style w:type="character" w:customStyle="1" w:styleId="1798">
    <w:name w:val="标题 2+ 行距: 固定值 24 磅 Char Char Char Char"/>
    <w:autoRedefine/>
    <w:qFormat/>
    <w:uiPriority w:val="0"/>
    <w:rPr>
      <w:rFonts w:ascii="Arial" w:hAnsi="Arial" w:eastAsia="黑体"/>
      <w:b/>
      <w:bCs/>
      <w:kern w:val="2"/>
      <w:sz w:val="32"/>
      <w:szCs w:val="32"/>
    </w:rPr>
  </w:style>
  <w:style w:type="character" w:customStyle="1" w:styleId="1799">
    <w:name w:val="z51"/>
    <w:autoRedefine/>
    <w:qFormat/>
    <w:uiPriority w:val="0"/>
    <w:rPr>
      <w:color w:val="2D88B5"/>
      <w:sz w:val="18"/>
      <w:szCs w:val="18"/>
    </w:rPr>
  </w:style>
  <w:style w:type="character" w:customStyle="1" w:styleId="1800">
    <w:name w:val="注释 Char Char"/>
    <w:autoRedefine/>
    <w:qFormat/>
    <w:uiPriority w:val="0"/>
    <w:rPr>
      <w:rFonts w:ascii="宋体" w:hAnsi="宋体" w:eastAsia="仿宋_GB2312" w:cs="宋体"/>
      <w:snapToGrid/>
      <w:spacing w:val="4"/>
      <w:sz w:val="24"/>
    </w:rPr>
  </w:style>
  <w:style w:type="character" w:customStyle="1" w:styleId="1801">
    <w:name w:val="正文首行缩进 2 Char2"/>
    <w:autoRedefine/>
    <w:qFormat/>
    <w:uiPriority w:val="0"/>
    <w:rPr>
      <w:rFonts w:ascii="Times New Roman" w:hAnsi="Times New Roman" w:eastAsia="宋体" w:cs="Times New Roman"/>
      <w:sz w:val="28"/>
      <w:szCs w:val="24"/>
    </w:rPr>
  </w:style>
  <w:style w:type="character" w:customStyle="1" w:styleId="1802">
    <w:name w:val="项标题(1) Char2"/>
    <w:autoRedefine/>
    <w:qFormat/>
    <w:uiPriority w:val="0"/>
    <w:rPr>
      <w:rFonts w:ascii="宋体"/>
      <w:b/>
      <w:sz w:val="24"/>
      <w:szCs w:val="24"/>
    </w:rPr>
  </w:style>
  <w:style w:type="character" w:customStyle="1" w:styleId="1803">
    <w:name w:val="行号1"/>
    <w:autoRedefine/>
    <w:qFormat/>
    <w:uiPriority w:val="0"/>
    <w:rPr>
      <w:rFonts w:ascii="宋体" w:eastAsia="宋体" w:cs="Courier New"/>
      <w:kern w:val="2"/>
      <w:sz w:val="32"/>
      <w:szCs w:val="32"/>
      <w:lang w:val="en-US" w:eastAsia="zh-CN"/>
    </w:rPr>
  </w:style>
  <w:style w:type="character" w:customStyle="1" w:styleId="1804">
    <w:name w:val="正文缩进 Char Char Char Char Char Char Char1"/>
    <w:autoRedefine/>
    <w:qFormat/>
    <w:uiPriority w:val="0"/>
    <w:rPr>
      <w:rFonts w:ascii="宋体" w:eastAsia="宋体"/>
      <w:kern w:val="2"/>
      <w:sz w:val="24"/>
      <w:lang w:val="en-US" w:eastAsia="zh-CN" w:bidi="ar-SA"/>
    </w:rPr>
  </w:style>
  <w:style w:type="character" w:customStyle="1" w:styleId="1805">
    <w:name w:val="表格编号 Char Char"/>
    <w:autoRedefine/>
    <w:qFormat/>
    <w:uiPriority w:val="0"/>
    <w:rPr>
      <w:rFonts w:ascii="Times New Roman" w:hAnsi="Times New Roman" w:eastAsia="宋体" w:cs="Times New Roman"/>
      <w:sz w:val="24"/>
      <w:szCs w:val="20"/>
    </w:rPr>
  </w:style>
  <w:style w:type="character" w:customStyle="1" w:styleId="1806">
    <w:name w:val="sinostyle"/>
    <w:autoRedefine/>
    <w:qFormat/>
    <w:uiPriority w:val="0"/>
  </w:style>
  <w:style w:type="character" w:customStyle="1" w:styleId="1807">
    <w:name w:val="默认段落字体 Char"/>
    <w:autoRedefine/>
    <w:qFormat/>
    <w:uiPriority w:val="0"/>
    <w:rPr>
      <w:color w:val="000000"/>
      <w:sz w:val="21"/>
      <w:u w:color="000000"/>
      <w:lang w:val="en-US" w:eastAsia="zh-CN"/>
    </w:rPr>
  </w:style>
  <w:style w:type="character" w:customStyle="1" w:styleId="1808">
    <w:name w:val="d1"/>
    <w:autoRedefine/>
    <w:qFormat/>
    <w:uiPriority w:val="0"/>
    <w:rPr>
      <w:color w:val="333333"/>
    </w:rPr>
  </w:style>
  <w:style w:type="character" w:customStyle="1" w:styleId="1809">
    <w:name w:val="网格型1 Char"/>
    <w:autoRedefine/>
    <w:qFormat/>
    <w:uiPriority w:val="0"/>
    <w:rPr>
      <w:rFonts w:eastAsia="宋体"/>
      <w:kern w:val="2"/>
      <w:sz w:val="21"/>
      <w:szCs w:val="21"/>
      <w:lang w:val="en-US" w:eastAsia="zh-CN" w:bidi="ar-SA"/>
    </w:rPr>
  </w:style>
  <w:style w:type="character" w:customStyle="1" w:styleId="1810">
    <w:name w:val="l00000w00000"/>
    <w:autoRedefine/>
    <w:qFormat/>
    <w:uiPriority w:val="0"/>
  </w:style>
  <w:style w:type="character" w:customStyle="1" w:styleId="1811">
    <w:name w:val="fs"/>
    <w:autoRedefine/>
    <w:qFormat/>
    <w:uiPriority w:val="0"/>
  </w:style>
  <w:style w:type="character" w:customStyle="1" w:styleId="1812">
    <w:name w:val="font9a1"/>
    <w:autoRedefine/>
    <w:qFormat/>
    <w:uiPriority w:val="0"/>
    <w:rPr>
      <w:sz w:val="18"/>
      <w:szCs w:val="18"/>
    </w:rPr>
  </w:style>
  <w:style w:type="character" w:customStyle="1" w:styleId="1813">
    <w:name w:val="题3 Char"/>
    <w:autoRedefine/>
    <w:qFormat/>
    <w:uiPriority w:val="0"/>
    <w:rPr>
      <w:b/>
      <w:sz w:val="28"/>
      <w:szCs w:val="24"/>
    </w:rPr>
  </w:style>
  <w:style w:type="character" w:customStyle="1" w:styleId="1814">
    <w:name w:val="页码 Char"/>
    <w:autoRedefine/>
    <w:qFormat/>
    <w:uiPriority w:val="0"/>
    <w:rPr>
      <w:color w:val="000000"/>
      <w:sz w:val="21"/>
      <w:u w:color="000000"/>
      <w:lang w:val="en-US" w:eastAsia="zh-CN"/>
    </w:rPr>
  </w:style>
  <w:style w:type="character" w:customStyle="1" w:styleId="1815">
    <w:name w:val="条标题1.1.1 Char4"/>
    <w:autoRedefine/>
    <w:qFormat/>
    <w:uiPriority w:val="0"/>
    <w:rPr>
      <w:rFonts w:eastAsia="仿宋_GB2312"/>
      <w:b/>
      <w:bCs/>
      <w:kern w:val="2"/>
      <w:sz w:val="28"/>
      <w:szCs w:val="32"/>
      <w:lang w:val="en-US" w:eastAsia="zh-CN" w:bidi="ar-SA"/>
    </w:rPr>
  </w:style>
  <w:style w:type="character" w:customStyle="1" w:styleId="1816">
    <w:name w:val="正文首行缩进 Char1 Char Char3"/>
    <w:autoRedefine/>
    <w:qFormat/>
    <w:uiPriority w:val="0"/>
    <w:rPr>
      <w:rFonts w:eastAsia="宋体"/>
      <w:kern w:val="2"/>
      <w:sz w:val="21"/>
      <w:szCs w:val="24"/>
      <w:lang w:val="en-US" w:eastAsia="zh-CN" w:bidi="ar-SA"/>
    </w:rPr>
  </w:style>
  <w:style w:type="character" w:customStyle="1" w:styleId="1817">
    <w:name w:val="aaa2"/>
    <w:autoRedefine/>
    <w:qFormat/>
    <w:uiPriority w:val="0"/>
    <w:rPr>
      <w:sz w:val="18"/>
      <w:szCs w:val="18"/>
    </w:rPr>
  </w:style>
  <w:style w:type="character" w:customStyle="1" w:styleId="1818">
    <w:name w:val="正文文字 3 Char Char4"/>
    <w:autoRedefine/>
    <w:qFormat/>
    <w:uiPriority w:val="0"/>
    <w:rPr>
      <w:rFonts w:eastAsia="仿宋_GB2312"/>
      <w:kern w:val="2"/>
      <w:sz w:val="28"/>
      <w:szCs w:val="24"/>
      <w:lang w:val="en-US" w:eastAsia="zh-CN" w:bidi="ar-SA"/>
    </w:rPr>
  </w:style>
  <w:style w:type="character" w:customStyle="1" w:styleId="1819">
    <w:name w:val="样式 小四 行距: 固定值 24 磅 Char"/>
    <w:autoRedefine/>
    <w:qFormat/>
    <w:uiPriority w:val="0"/>
    <w:rPr>
      <w:rFonts w:ascii="宋体" w:eastAsia="宋体" w:cs="宋体"/>
      <w:kern w:val="2"/>
      <w:sz w:val="24"/>
      <w:szCs w:val="24"/>
      <w:lang w:val="en-US" w:eastAsia="zh-CN" w:bidi="ar-SA"/>
    </w:rPr>
  </w:style>
  <w:style w:type="character" w:customStyle="1" w:styleId="1820">
    <w:name w:val="条标题1.1.1 Char5"/>
    <w:autoRedefine/>
    <w:qFormat/>
    <w:uiPriority w:val="0"/>
    <w:rPr>
      <w:rFonts w:eastAsia="仿宋_GB2312"/>
      <w:b/>
      <w:bCs/>
      <w:kern w:val="2"/>
      <w:sz w:val="28"/>
      <w:szCs w:val="32"/>
      <w:lang w:val="en-US" w:eastAsia="zh-CN" w:bidi="ar-SA"/>
    </w:rPr>
  </w:style>
  <w:style w:type="character" w:customStyle="1" w:styleId="1821">
    <w:name w:val="style401"/>
    <w:autoRedefine/>
    <w:qFormat/>
    <w:uiPriority w:val="0"/>
    <w:rPr>
      <w:color w:val="000000"/>
    </w:rPr>
  </w:style>
  <w:style w:type="character" w:customStyle="1" w:styleId="1822">
    <w:name w:val="9p1"/>
    <w:autoRedefine/>
    <w:qFormat/>
    <w:uiPriority w:val="0"/>
    <w:rPr>
      <w:sz w:val="18"/>
      <w:szCs w:val="18"/>
    </w:rPr>
  </w:style>
  <w:style w:type="character" w:customStyle="1" w:styleId="1823">
    <w:name w:val="lanmu_word11"/>
    <w:autoRedefine/>
    <w:qFormat/>
    <w:uiPriority w:val="0"/>
    <w:rPr>
      <w:color w:val="0060A4"/>
      <w:sz w:val="18"/>
      <w:szCs w:val="18"/>
    </w:rPr>
  </w:style>
  <w:style w:type="character" w:customStyle="1" w:styleId="1824">
    <w:name w:val="页眉2 Char Char1"/>
    <w:autoRedefine/>
    <w:qFormat/>
    <w:uiPriority w:val="0"/>
    <w:rPr>
      <w:sz w:val="18"/>
      <w:szCs w:val="18"/>
    </w:rPr>
  </w:style>
  <w:style w:type="character" w:customStyle="1" w:styleId="1825">
    <w:name w:val="标题 7 表 Char1"/>
    <w:autoRedefine/>
    <w:qFormat/>
    <w:uiPriority w:val="0"/>
    <w:rPr>
      <w:rFonts w:eastAsia="宋体"/>
      <w:b/>
      <w:bCs/>
      <w:kern w:val="2"/>
      <w:sz w:val="24"/>
      <w:szCs w:val="24"/>
      <w:lang w:val="en-US" w:eastAsia="zh-CN" w:bidi="ar-SA"/>
    </w:rPr>
  </w:style>
  <w:style w:type="character" w:customStyle="1" w:styleId="1826">
    <w:name w:val="Char Char261"/>
    <w:autoRedefine/>
    <w:qFormat/>
    <w:uiPriority w:val="0"/>
    <w:rPr>
      <w:rFonts w:ascii="仿宋_GB2312" w:eastAsia="仿宋_GB2312"/>
      <w:kern w:val="2"/>
      <w:sz w:val="28"/>
      <w:lang w:val="en-US" w:eastAsia="zh-CN" w:bidi="ar-SA"/>
    </w:rPr>
  </w:style>
  <w:style w:type="character" w:customStyle="1" w:styleId="1827">
    <w:name w:val="干标题(a) Char2"/>
    <w:autoRedefine/>
    <w:qFormat/>
    <w:uiPriority w:val="0"/>
    <w:rPr>
      <w:rFonts w:ascii="Arial" w:hAnsi="Arial" w:eastAsia="黑体" w:cs="Arial"/>
      <w:kern w:val="2"/>
      <w:sz w:val="24"/>
      <w:szCs w:val="24"/>
      <w:lang w:val="en-US" w:eastAsia="zh-CN" w:bidi="ar-SA"/>
    </w:rPr>
  </w:style>
  <w:style w:type="character" w:customStyle="1" w:styleId="1828">
    <w:name w:val="危险品事故应急救援预案"/>
    <w:autoRedefine/>
    <w:qFormat/>
    <w:uiPriority w:val="0"/>
    <w:rPr>
      <w:rFonts w:ascii="黑体" w:eastAsia="黑体"/>
      <w:b/>
      <w:bCs/>
      <w:kern w:val="2"/>
      <w:sz w:val="30"/>
      <w:szCs w:val="44"/>
      <w:lang w:val="en-US" w:eastAsia="zh-CN" w:bidi="ar-SA"/>
    </w:rPr>
  </w:style>
  <w:style w:type="character" w:customStyle="1" w:styleId="1829">
    <w:name w:val="title41"/>
    <w:autoRedefine/>
    <w:qFormat/>
    <w:uiPriority w:val="0"/>
    <w:rPr>
      <w:rFonts w:ascii="宋体" w:eastAsia="宋体"/>
      <w:color w:val="194F95"/>
      <w:sz w:val="23"/>
      <w:szCs w:val="23"/>
    </w:rPr>
  </w:style>
  <w:style w:type="character" w:customStyle="1" w:styleId="1830">
    <w:name w:val="链接"/>
    <w:autoRedefine/>
    <w:qFormat/>
    <w:uiPriority w:val="0"/>
    <w:rPr>
      <w:rFonts w:ascii="Times New Roman" w:hAnsi="Times New Roman" w:eastAsia="宋体"/>
      <w:color w:val="0000FF"/>
      <w:sz w:val="21"/>
      <w:u w:val="single" w:color="0000FF"/>
      <w:vertAlign w:val="baseline"/>
      <w:lang w:val="en-US" w:eastAsia="zh-CN"/>
    </w:rPr>
  </w:style>
  <w:style w:type="character" w:customStyle="1" w:styleId="1831">
    <w:name w:val="main-select main-select"/>
    <w:autoRedefine/>
    <w:qFormat/>
    <w:uiPriority w:val="0"/>
  </w:style>
  <w:style w:type="character" w:customStyle="1" w:styleId="1832">
    <w:name w:val="Char4 Char Char1"/>
    <w:autoRedefine/>
    <w:qFormat/>
    <w:uiPriority w:val="0"/>
    <w:rPr>
      <w:rFonts w:eastAsia="宋体"/>
      <w:kern w:val="2"/>
      <w:sz w:val="24"/>
      <w:szCs w:val="24"/>
      <w:lang w:val="en-US" w:eastAsia="zh-CN" w:bidi="ar-SA"/>
    </w:rPr>
  </w:style>
  <w:style w:type="character" w:customStyle="1" w:styleId="1833">
    <w:name w:val="big14"/>
    <w:autoRedefine/>
    <w:qFormat/>
    <w:uiPriority w:val="0"/>
  </w:style>
  <w:style w:type="character" w:customStyle="1" w:styleId="1834">
    <w:name w:val="song241"/>
    <w:autoRedefine/>
    <w:qFormat/>
    <w:uiPriority w:val="0"/>
    <w:rPr>
      <w:b/>
      <w:bCs/>
      <w:color w:val="000066"/>
      <w:sz w:val="36"/>
      <w:szCs w:val="36"/>
    </w:rPr>
  </w:style>
  <w:style w:type="character" w:customStyle="1" w:styleId="1835">
    <w:name w:val="fl1"/>
    <w:autoRedefine/>
    <w:qFormat/>
    <w:uiPriority w:val="0"/>
    <w:rPr>
      <w:color w:val="000011"/>
    </w:rPr>
  </w:style>
  <w:style w:type="character" w:customStyle="1" w:styleId="1836">
    <w:name w:val="red1"/>
    <w:autoRedefine/>
    <w:qFormat/>
    <w:uiPriority w:val="0"/>
    <w:rPr>
      <w:b/>
      <w:bCs/>
      <w:color w:val="FF0000"/>
    </w:rPr>
  </w:style>
  <w:style w:type="character" w:customStyle="1" w:styleId="1837">
    <w:name w:val="scs62"/>
    <w:autoRedefine/>
    <w:qFormat/>
    <w:uiPriority w:val="0"/>
  </w:style>
  <w:style w:type="character" w:customStyle="1" w:styleId="1838">
    <w:name w:val="lc"/>
    <w:autoRedefine/>
    <w:qFormat/>
    <w:uiPriority w:val="0"/>
  </w:style>
  <w:style w:type="character" w:customStyle="1" w:styleId="1839">
    <w:name w:val="lineheight18"/>
    <w:autoRedefine/>
    <w:qFormat/>
    <w:uiPriority w:val="0"/>
  </w:style>
  <w:style w:type="character" w:customStyle="1" w:styleId="1840">
    <w:name w:val="at_6"/>
    <w:autoRedefine/>
    <w:qFormat/>
    <w:uiPriority w:val="0"/>
  </w:style>
  <w:style w:type="character" w:customStyle="1" w:styleId="1841">
    <w:name w:val="eng"/>
    <w:autoRedefine/>
    <w:qFormat/>
    <w:uiPriority w:val="0"/>
  </w:style>
  <w:style w:type="character" w:customStyle="1" w:styleId="1842">
    <w:name w:val="at_9"/>
    <w:autoRedefine/>
    <w:qFormat/>
    <w:uiPriority w:val="0"/>
  </w:style>
  <w:style w:type="character" w:customStyle="1" w:styleId="1843">
    <w:name w:val="Re Char"/>
    <w:autoRedefine/>
    <w:qFormat/>
    <w:uiPriority w:val="0"/>
    <w:rPr>
      <w:rFonts w:ascii="宋体" w:hAnsi="宋体" w:eastAsia="楷体_GB2312"/>
      <w:b/>
      <w:snapToGrid/>
      <w:sz w:val="30"/>
      <w:lang w:val="en-US" w:eastAsia="zh-CN" w:bidi="ar-SA"/>
    </w:rPr>
  </w:style>
  <w:style w:type="character" w:customStyle="1" w:styleId="1844">
    <w:name w:val="textsy"/>
    <w:autoRedefine/>
    <w:qFormat/>
    <w:uiPriority w:val="0"/>
  </w:style>
  <w:style w:type="character" w:customStyle="1" w:styleId="1845">
    <w:name w:val="单学凯小节标题 Char Char"/>
    <w:autoRedefine/>
    <w:qFormat/>
    <w:uiPriority w:val="0"/>
    <w:rPr>
      <w:rFonts w:ascii="宋体" w:eastAsia="宋体" w:cs="宋体"/>
      <w:bCs/>
      <w:color w:val="000000"/>
      <w:kern w:val="0"/>
      <w:sz w:val="24"/>
      <w:szCs w:val="24"/>
    </w:rPr>
  </w:style>
  <w:style w:type="character" w:customStyle="1" w:styleId="1846">
    <w:name w:val="sxwt2u"/>
    <w:autoRedefine/>
    <w:qFormat/>
    <w:uiPriority w:val="0"/>
  </w:style>
  <w:style w:type="character" w:customStyle="1" w:styleId="1847">
    <w:name w:val="环标2 Char Char"/>
    <w:autoRedefine/>
    <w:qFormat/>
    <w:uiPriority w:val="0"/>
    <w:rPr>
      <w:rFonts w:ascii="Arial" w:hAnsi="Arial" w:eastAsia="黑体"/>
      <w:sz w:val="32"/>
    </w:rPr>
  </w:style>
  <w:style w:type="character" w:customStyle="1" w:styleId="1848">
    <w:name w:val="HP3 Char Char"/>
    <w:autoRedefine/>
    <w:qFormat/>
    <w:uiPriority w:val="0"/>
    <w:rPr>
      <w:rFonts w:ascii="黑体" w:eastAsia="黑体" w:cs="Times New Roman"/>
      <w:sz w:val="28"/>
      <w:szCs w:val="28"/>
      <w:u w:color="000000"/>
    </w:rPr>
  </w:style>
  <w:style w:type="character" w:customStyle="1" w:styleId="1849">
    <w:name w:val="样式 标题 3标题 3 Char标题 3 Char Char Char Char Char Char Char Char C...5 Char Char Char"/>
    <w:autoRedefine/>
    <w:qFormat/>
    <w:uiPriority w:val="0"/>
    <w:rPr>
      <w:rFonts w:eastAsia="宋体"/>
      <w:kern w:val="2"/>
      <w:sz w:val="24"/>
      <w:szCs w:val="32"/>
      <w:lang w:val="en-US" w:eastAsia="zh-CN"/>
    </w:rPr>
  </w:style>
  <w:style w:type="character" w:customStyle="1" w:styleId="1850">
    <w:name w:val="环正文 Char Char"/>
    <w:autoRedefine/>
    <w:qFormat/>
    <w:uiPriority w:val="0"/>
    <w:rPr>
      <w:rFonts w:ascii="宋体" w:eastAsia="宋体"/>
      <w:sz w:val="24"/>
      <w:lang w:val="en-US" w:eastAsia="zh-CN"/>
    </w:rPr>
  </w:style>
  <w:style w:type="character" w:customStyle="1" w:styleId="1851">
    <w:name w:val="样式 样式 宋体 小四 行距: 多倍行距 1.4 字行2 + 黑色 Char Char"/>
    <w:autoRedefine/>
    <w:qFormat/>
    <w:uiPriority w:val="0"/>
    <w:rPr>
      <w:rFonts w:ascii="宋体" w:cs="宋体"/>
      <w:color w:val="000000"/>
      <w:sz w:val="24"/>
      <w:szCs w:val="24"/>
    </w:rPr>
  </w:style>
  <w:style w:type="character" w:customStyle="1" w:styleId="1852">
    <w:name w:val="参加人员 Char Char"/>
    <w:autoRedefine/>
    <w:qFormat/>
    <w:uiPriority w:val="0"/>
    <w:rPr>
      <w:rFonts w:ascii="Times New Roman" w:hAnsi="Times New Roman" w:eastAsia="宋体" w:cs="Times New Roman"/>
      <w:sz w:val="24"/>
      <w:szCs w:val="24"/>
    </w:rPr>
  </w:style>
  <w:style w:type="character" w:customStyle="1" w:styleId="1853">
    <w:name w:val="HTML 样本1"/>
    <w:autoRedefine/>
    <w:qFormat/>
    <w:uiPriority w:val="0"/>
    <w:rPr>
      <w:rFonts w:ascii="Courier New" w:hAnsi="Courier New" w:eastAsia="宋体" w:cs="Courier New"/>
      <w:kern w:val="2"/>
      <w:sz w:val="32"/>
      <w:szCs w:val="32"/>
      <w:lang w:val="en-US" w:eastAsia="zh-CN"/>
    </w:rPr>
  </w:style>
  <w:style w:type="character" w:customStyle="1" w:styleId="1854">
    <w:name w:val="HTML 引文1"/>
    <w:autoRedefine/>
    <w:qFormat/>
    <w:uiPriority w:val="0"/>
    <w:rPr>
      <w:rFonts w:ascii="宋体" w:eastAsia="宋体" w:cs="Courier New"/>
      <w:i/>
      <w:iCs/>
      <w:kern w:val="2"/>
      <w:sz w:val="32"/>
      <w:szCs w:val="32"/>
      <w:lang w:val="en-US" w:eastAsia="zh-CN"/>
    </w:rPr>
  </w:style>
  <w:style w:type="character" w:customStyle="1" w:styleId="1855">
    <w:name w:val="表、图名 Char Char"/>
    <w:autoRedefine/>
    <w:qFormat/>
    <w:uiPriority w:val="0"/>
    <w:rPr>
      <w:rFonts w:ascii="Times New Roman" w:hAnsi="Times New Roman" w:eastAsia="仿宋_GB2312" w:cs="Times New Roman"/>
      <w:kern w:val="0"/>
      <w:sz w:val="24"/>
      <w:szCs w:val="24"/>
    </w:rPr>
  </w:style>
  <w:style w:type="character" w:customStyle="1" w:styleId="1856">
    <w:name w:val="标题 9 Char2"/>
    <w:autoRedefine/>
    <w:qFormat/>
    <w:uiPriority w:val="0"/>
    <w:rPr>
      <w:rFonts w:ascii="Arial" w:hAnsi="Arial" w:eastAsia="黑体"/>
      <w:sz w:val="24"/>
      <w:szCs w:val="24"/>
      <w:lang w:val="en-US" w:eastAsia="zh-CN"/>
    </w:rPr>
  </w:style>
  <w:style w:type="character" w:customStyle="1" w:styleId="1857">
    <w:name w:val="样式 标题 3标题 3 Char Char Char标题 3 Char Charh3H3level_3PIM 3L...1 Char Char"/>
    <w:autoRedefine/>
    <w:qFormat/>
    <w:uiPriority w:val="0"/>
    <w:rPr>
      <w:rFonts w:ascii="宋体" w:hAnsi="宋体" w:eastAsia="黑体"/>
      <w:b/>
      <w:sz w:val="28"/>
    </w:rPr>
  </w:style>
  <w:style w:type="character" w:customStyle="1" w:styleId="1858">
    <w:name w:val="书籍标题11"/>
    <w:autoRedefine/>
    <w:qFormat/>
    <w:uiPriority w:val="0"/>
    <w:rPr>
      <w:b/>
      <w:bCs/>
      <w:smallCaps/>
      <w:spacing w:val="5"/>
    </w:rPr>
  </w:style>
  <w:style w:type="character" w:customStyle="1" w:styleId="1859">
    <w:name w:val="s4y5"/>
    <w:autoRedefine/>
    <w:qFormat/>
    <w:uiPriority w:val="0"/>
  </w:style>
  <w:style w:type="character" w:customStyle="1" w:styleId="1860">
    <w:name w:val="yyy1"/>
    <w:autoRedefine/>
    <w:qFormat/>
    <w:uiPriority w:val="0"/>
    <w:rPr>
      <w:color w:val="FFFFFF"/>
      <w:sz w:val="21"/>
      <w:szCs w:val="21"/>
    </w:rPr>
  </w:style>
  <w:style w:type="character" w:customStyle="1" w:styleId="1861">
    <w:name w:val="标题3 Char"/>
    <w:autoRedefine/>
    <w:qFormat/>
    <w:uiPriority w:val="0"/>
    <w:rPr>
      <w:rFonts w:eastAsia="黑体"/>
      <w:kern w:val="2"/>
      <w:sz w:val="24"/>
      <w:szCs w:val="24"/>
      <w:lang w:val="en-US" w:eastAsia="zh-CN"/>
    </w:rPr>
  </w:style>
  <w:style w:type="character" w:customStyle="1" w:styleId="1862">
    <w:name w:val="中远正文 Char"/>
    <w:autoRedefine/>
    <w:qFormat/>
    <w:uiPriority w:val="0"/>
    <w:rPr>
      <w:rFonts w:eastAsia="宋体" w:cs="宋体"/>
      <w:snapToGrid/>
      <w:color w:val="000000"/>
      <w:kern w:val="24"/>
      <w:sz w:val="24"/>
      <w:lang w:val="en-US" w:eastAsia="zh-CN" w:bidi="ar-SA"/>
    </w:rPr>
  </w:style>
  <w:style w:type="character" w:customStyle="1" w:styleId="1863">
    <w:name w:val="11dpi1"/>
    <w:autoRedefine/>
    <w:qFormat/>
    <w:uiPriority w:val="0"/>
    <w:rPr>
      <w:sz w:val="22"/>
      <w:szCs w:val="22"/>
    </w:rPr>
  </w:style>
  <w:style w:type="character" w:customStyle="1" w:styleId="1864">
    <w:name w:val="sub_title1"/>
    <w:autoRedefine/>
    <w:qFormat/>
    <w:uiPriority w:val="0"/>
    <w:rPr>
      <w:color w:val="FF6600"/>
      <w:sz w:val="21"/>
      <w:szCs w:val="21"/>
    </w:rPr>
  </w:style>
  <w:style w:type="character" w:customStyle="1" w:styleId="1865">
    <w:name w:val="c1                    a"/>
    <w:autoRedefine/>
    <w:qFormat/>
    <w:uiPriority w:val="0"/>
  </w:style>
  <w:style w:type="character" w:customStyle="1" w:styleId="1866">
    <w:name w:val="9n1"/>
    <w:autoRedefine/>
    <w:qFormat/>
    <w:uiPriority w:val="0"/>
    <w:rPr>
      <w:color w:val="000000"/>
      <w:sz w:val="18"/>
      <w:szCs w:val="18"/>
      <w:u w:val="none"/>
    </w:rPr>
  </w:style>
  <w:style w:type="character" w:customStyle="1" w:styleId="1867">
    <w:name w:val="subtitle1"/>
    <w:autoRedefine/>
    <w:qFormat/>
    <w:uiPriority w:val="0"/>
    <w:rPr>
      <w:color w:val="FF0000"/>
      <w:sz w:val="21"/>
      <w:szCs w:val="21"/>
    </w:rPr>
  </w:style>
  <w:style w:type="character" w:customStyle="1" w:styleId="1868">
    <w:name w:val="标题1.1.1.1.1.1 Char Char"/>
    <w:autoRedefine/>
    <w:qFormat/>
    <w:uiPriority w:val="0"/>
    <w:rPr>
      <w:rFonts w:ascii="Arial" w:hAnsi="Arial" w:eastAsia="黑体"/>
      <w:b/>
      <w:bCs/>
      <w:kern w:val="2"/>
      <w:sz w:val="24"/>
      <w:szCs w:val="24"/>
      <w:lang w:val="en-US" w:eastAsia="zh-CN" w:bidi="ar-SA"/>
    </w:rPr>
  </w:style>
  <w:style w:type="character" w:customStyle="1" w:styleId="1869">
    <w:name w:val="Char Char181"/>
    <w:autoRedefine/>
    <w:qFormat/>
    <w:uiPriority w:val="0"/>
    <w:rPr>
      <w:rFonts w:ascii="宋体" w:eastAsia="宋体" w:cs="Times New Roman"/>
      <w:sz w:val="24"/>
      <w:szCs w:val="24"/>
    </w:rPr>
  </w:style>
  <w:style w:type="character" w:customStyle="1" w:styleId="1870">
    <w:name w:val="f21"/>
    <w:autoRedefine/>
    <w:qFormat/>
    <w:uiPriority w:val="0"/>
    <w:rPr>
      <w:rFonts w:ascii="宋体" w:eastAsia="宋体"/>
      <w:sz w:val="21"/>
      <w:szCs w:val="21"/>
    </w:rPr>
  </w:style>
  <w:style w:type="character" w:customStyle="1" w:styleId="1871">
    <w:name w:val="sv1hyw"/>
    <w:autoRedefine/>
    <w:qFormat/>
    <w:uiPriority w:val="0"/>
  </w:style>
  <w:style w:type="character" w:customStyle="1" w:styleId="1872">
    <w:name w:val="123YJ Char2"/>
    <w:autoRedefine/>
    <w:qFormat/>
    <w:uiPriority w:val="0"/>
    <w:rPr>
      <w:kern w:val="2"/>
      <w:sz w:val="18"/>
      <w:szCs w:val="18"/>
    </w:rPr>
  </w:style>
  <w:style w:type="character" w:customStyle="1" w:styleId="1873">
    <w:name w:val="s8xye"/>
    <w:autoRedefine/>
    <w:qFormat/>
    <w:uiPriority w:val="0"/>
  </w:style>
  <w:style w:type="character" w:customStyle="1" w:styleId="1874">
    <w:name w:val="soqzabs"/>
    <w:autoRedefine/>
    <w:qFormat/>
    <w:uiPriority w:val="0"/>
  </w:style>
  <w:style w:type="character" w:customStyle="1" w:styleId="1875">
    <w:name w:val="题注 Char Char Char Char"/>
    <w:autoRedefine/>
    <w:qFormat/>
    <w:uiPriority w:val="0"/>
    <w:rPr>
      <w:rFonts w:ascii="Arial" w:hAnsi="Arial" w:eastAsia="黑体" w:cs="Arial"/>
      <w:kern w:val="2"/>
      <w:lang w:val="en-US" w:eastAsia="zh-CN" w:bidi="ar-SA"/>
    </w:rPr>
  </w:style>
  <w:style w:type="character" w:customStyle="1" w:styleId="1876">
    <w:name w:val="sub42"/>
    <w:autoRedefine/>
    <w:qFormat/>
    <w:uiPriority w:val="0"/>
  </w:style>
  <w:style w:type="character" w:customStyle="1" w:styleId="1877">
    <w:name w:val="正文首行缩进 Char2 Char1"/>
    <w:autoRedefine/>
    <w:qFormat/>
    <w:uiPriority w:val="0"/>
    <w:rPr>
      <w:rFonts w:ascii="仿宋_GB2312" w:hAnsi="仿宋_GB2312" w:eastAsia="宋体"/>
      <w:kern w:val="2"/>
      <w:sz w:val="21"/>
      <w:szCs w:val="24"/>
      <w:lang w:val="en-US" w:eastAsia="zh-CN" w:bidi="ar-SA"/>
    </w:rPr>
  </w:style>
  <w:style w:type="character" w:customStyle="1" w:styleId="1878">
    <w:name w:val="sgiivq"/>
    <w:autoRedefine/>
    <w:qFormat/>
    <w:uiPriority w:val="0"/>
  </w:style>
  <w:style w:type="character" w:customStyle="1" w:styleId="1879">
    <w:name w:val="nota"/>
    <w:autoRedefine/>
    <w:qFormat/>
    <w:uiPriority w:val="0"/>
    <w:rPr>
      <w:i/>
      <w:iCs/>
      <w:sz w:val="20"/>
    </w:rPr>
  </w:style>
  <w:style w:type="character" w:customStyle="1" w:styleId="1880">
    <w:name w:val="sppkvsc"/>
    <w:autoRedefine/>
    <w:qFormat/>
    <w:uiPriority w:val="0"/>
  </w:style>
  <w:style w:type="character" w:customStyle="1" w:styleId="1881">
    <w:name w:val="scu4wkd"/>
    <w:autoRedefine/>
    <w:qFormat/>
    <w:uiPriority w:val="0"/>
  </w:style>
  <w:style w:type="character" w:customStyle="1" w:styleId="1882">
    <w:name w:val="s8h0t"/>
    <w:autoRedefine/>
    <w:qFormat/>
    <w:uiPriority w:val="0"/>
  </w:style>
  <w:style w:type="character" w:customStyle="1" w:styleId="1883">
    <w:name w:val="首行缩进 Char Char Char1"/>
    <w:autoRedefine/>
    <w:qFormat/>
    <w:uiPriority w:val="0"/>
    <w:rPr>
      <w:rFonts w:ascii="宋体" w:eastAsia="宋体"/>
      <w:kern w:val="2"/>
      <w:sz w:val="24"/>
      <w:lang w:val="en-US" w:eastAsia="zh-CN" w:bidi="ar-SA"/>
    </w:rPr>
  </w:style>
  <w:style w:type="character" w:customStyle="1" w:styleId="1884">
    <w:name w:val="sxuoj4"/>
    <w:autoRedefine/>
    <w:qFormat/>
    <w:uiPriority w:val="0"/>
  </w:style>
  <w:style w:type="character" w:customStyle="1" w:styleId="1885">
    <w:name w:val="bt11"/>
    <w:autoRedefine/>
    <w:qFormat/>
    <w:uiPriority w:val="0"/>
    <w:rPr>
      <w:rFonts w:ascii="黑体" w:eastAsia="黑体"/>
      <w:color w:val="000000"/>
      <w:sz w:val="28"/>
      <w:szCs w:val="28"/>
    </w:rPr>
  </w:style>
  <w:style w:type="character" w:customStyle="1" w:styleId="1886">
    <w:name w:val="soa7bda"/>
    <w:autoRedefine/>
    <w:qFormat/>
    <w:uiPriority w:val="0"/>
  </w:style>
  <w:style w:type="character" w:customStyle="1" w:styleId="1887">
    <w:name w:val="s19n338"/>
    <w:autoRedefine/>
    <w:qFormat/>
    <w:uiPriority w:val="0"/>
  </w:style>
  <w:style w:type="character" w:customStyle="1" w:styleId="1888">
    <w:name w:val="样式 黑色"/>
    <w:autoRedefine/>
    <w:qFormat/>
    <w:uiPriority w:val="0"/>
    <w:rPr>
      <w:color w:val="auto"/>
    </w:rPr>
  </w:style>
  <w:style w:type="character" w:customStyle="1" w:styleId="1889">
    <w:name w:val="s6wwf"/>
    <w:autoRedefine/>
    <w:qFormat/>
    <w:uiPriority w:val="0"/>
  </w:style>
  <w:style w:type="character" w:customStyle="1" w:styleId="1890">
    <w:name w:val="keyword"/>
    <w:autoRedefine/>
    <w:qFormat/>
    <w:uiPriority w:val="0"/>
  </w:style>
  <w:style w:type="character" w:customStyle="1" w:styleId="1891">
    <w:name w:val="s6lx"/>
    <w:autoRedefine/>
    <w:qFormat/>
    <w:uiPriority w:val="0"/>
  </w:style>
  <w:style w:type="character" w:customStyle="1" w:styleId="1892">
    <w:name w:val="mw-headline"/>
    <w:autoRedefine/>
    <w:qFormat/>
    <w:uiPriority w:val="0"/>
  </w:style>
  <w:style w:type="character" w:customStyle="1" w:styleId="1893">
    <w:name w:val="s9n1k0c"/>
    <w:autoRedefine/>
    <w:qFormat/>
    <w:uiPriority w:val="0"/>
  </w:style>
  <w:style w:type="character" w:customStyle="1" w:styleId="1894">
    <w:name w:val="fx1"/>
    <w:autoRedefine/>
    <w:qFormat/>
    <w:uiPriority w:val="0"/>
    <w:rPr>
      <w:rFonts w:ascii="ˎ̥" w:hAnsi="ˎ̥"/>
      <w:color w:val="999999"/>
      <w:sz w:val="18"/>
      <w:szCs w:val="18"/>
      <w:u w:val="none"/>
    </w:rPr>
  </w:style>
  <w:style w:type="character" w:customStyle="1" w:styleId="1895">
    <w:name w:val="sl0m"/>
    <w:autoRedefine/>
    <w:qFormat/>
    <w:uiPriority w:val="0"/>
  </w:style>
  <w:style w:type="character" w:customStyle="1" w:styleId="1896">
    <w:name w:val="bfont"/>
    <w:autoRedefine/>
    <w:qFormat/>
    <w:uiPriority w:val="0"/>
  </w:style>
  <w:style w:type="character" w:customStyle="1" w:styleId="1897">
    <w:name w:val="s5y7c"/>
    <w:autoRedefine/>
    <w:qFormat/>
    <w:uiPriority w:val="0"/>
  </w:style>
  <w:style w:type="character" w:customStyle="1" w:styleId="1898">
    <w:name w:val="aa1 l01 style8"/>
    <w:autoRedefine/>
    <w:qFormat/>
    <w:uiPriority w:val="0"/>
  </w:style>
  <w:style w:type="character" w:customStyle="1" w:styleId="1899">
    <w:name w:val="ss1"/>
    <w:autoRedefine/>
    <w:qFormat/>
    <w:uiPriority w:val="0"/>
    <w:rPr>
      <w:rFonts w:ascii="宋体" w:eastAsia="宋体"/>
      <w:sz w:val="18"/>
      <w:szCs w:val="18"/>
    </w:rPr>
  </w:style>
  <w:style w:type="character" w:customStyle="1" w:styleId="1900">
    <w:name w:val="sovnn"/>
    <w:autoRedefine/>
    <w:qFormat/>
    <w:uiPriority w:val="0"/>
  </w:style>
  <w:style w:type="character" w:customStyle="1" w:styleId="1901">
    <w:name w:val="正文 + 楷体_GB2312 Char"/>
    <w:autoRedefine/>
    <w:qFormat/>
    <w:uiPriority w:val="0"/>
    <w:rPr>
      <w:rFonts w:eastAsia="仿宋_GB2312"/>
      <w:b/>
      <w:bCs/>
      <w:kern w:val="2"/>
      <w:sz w:val="30"/>
      <w:szCs w:val="30"/>
      <w:lang w:val="en-US" w:eastAsia="zh-CN" w:bidi="ar-SA"/>
    </w:rPr>
  </w:style>
  <w:style w:type="character" w:customStyle="1" w:styleId="1902">
    <w:name w:val="Char Char81"/>
    <w:autoRedefine/>
    <w:qFormat/>
    <w:uiPriority w:val="0"/>
    <w:rPr>
      <w:rFonts w:ascii="仿宋_GB2312" w:eastAsia="仿宋_GB2312"/>
      <w:sz w:val="28"/>
      <w:lang w:val="en-US" w:eastAsia="zh-CN" w:bidi="ar-SA"/>
    </w:rPr>
  </w:style>
  <w:style w:type="character" w:customStyle="1" w:styleId="1903">
    <w:name w:val="he221"/>
    <w:autoRedefine/>
    <w:qFormat/>
    <w:uiPriority w:val="0"/>
  </w:style>
  <w:style w:type="character" w:customStyle="1" w:styleId="1904">
    <w:name w:val="Char Char6"/>
    <w:autoRedefine/>
    <w:qFormat/>
    <w:uiPriority w:val="0"/>
    <w:rPr>
      <w:rFonts w:ascii="宋体" w:eastAsia="宋体"/>
      <w:kern w:val="2"/>
      <w:sz w:val="21"/>
      <w:lang w:val="en-US" w:eastAsia="zh-CN" w:bidi="ar-SA"/>
    </w:rPr>
  </w:style>
  <w:style w:type="character" w:customStyle="1" w:styleId="1905">
    <w:name w:val="正文 首行缩进:  2 字符 Char Char1"/>
    <w:autoRedefine/>
    <w:qFormat/>
    <w:uiPriority w:val="0"/>
    <w:rPr>
      <w:rFonts w:eastAsia="宋体" w:cs="宋体"/>
      <w:kern w:val="44"/>
      <w:sz w:val="24"/>
      <w:lang w:val="en-US" w:eastAsia="zh-CN" w:bidi="ar-SA"/>
    </w:rPr>
  </w:style>
  <w:style w:type="character" w:customStyle="1" w:styleId="1906">
    <w:name w:val="Char Char111"/>
    <w:autoRedefine/>
    <w:qFormat/>
    <w:uiPriority w:val="0"/>
    <w:rPr>
      <w:rFonts w:ascii="宋体" w:eastAsia="宋体"/>
      <w:kern w:val="2"/>
      <w:sz w:val="21"/>
      <w:lang w:val="en-US" w:eastAsia="zh-CN" w:bidi="ar-SA"/>
    </w:rPr>
  </w:style>
  <w:style w:type="character" w:customStyle="1" w:styleId="1907">
    <w:name w:val="news1"/>
    <w:autoRedefine/>
    <w:qFormat/>
    <w:uiPriority w:val="0"/>
    <w:rPr>
      <w:rFonts w:ascii="ˎ̥" w:hAnsi="ˎ̥"/>
      <w:color w:val="666666"/>
      <w:sz w:val="16"/>
      <w:szCs w:val="16"/>
      <w:u w:val="none"/>
    </w:rPr>
  </w:style>
  <w:style w:type="character" w:customStyle="1" w:styleId="1908">
    <w:name w:val="ny_black2"/>
    <w:autoRedefine/>
    <w:qFormat/>
    <w:uiPriority w:val="0"/>
    <w:rPr>
      <w:color w:val="000000"/>
    </w:rPr>
  </w:style>
  <w:style w:type="character" w:customStyle="1" w:styleId="1909">
    <w:name w:val="z21"/>
    <w:autoRedefine/>
    <w:qFormat/>
    <w:uiPriority w:val="0"/>
    <w:rPr>
      <w:color w:val="000000"/>
      <w:spacing w:val="270"/>
      <w:sz w:val="18"/>
      <w:szCs w:val="18"/>
    </w:rPr>
  </w:style>
  <w:style w:type="character" w:customStyle="1" w:styleId="1910">
    <w:name w:val="z31"/>
    <w:autoRedefine/>
    <w:qFormat/>
    <w:uiPriority w:val="0"/>
    <w:rPr>
      <w:color w:val="FF0000"/>
      <w:spacing w:val="300"/>
      <w:sz w:val="18"/>
      <w:szCs w:val="18"/>
    </w:rPr>
  </w:style>
  <w:style w:type="character" w:customStyle="1" w:styleId="1911">
    <w:name w:val="cl1"/>
    <w:autoRedefine/>
    <w:qFormat/>
    <w:uiPriority w:val="0"/>
    <w:rPr>
      <w:color w:val="000000"/>
      <w:sz w:val="24"/>
      <w:szCs w:val="24"/>
    </w:rPr>
  </w:style>
  <w:style w:type="character" w:customStyle="1" w:styleId="1912">
    <w:name w:val="zuozhe1"/>
    <w:autoRedefine/>
    <w:qFormat/>
    <w:uiPriority w:val="0"/>
    <w:rPr>
      <w:rFonts w:ascii="̥_GB2312" w:hAnsi="̥_GB2312"/>
      <w:color w:val="183257"/>
      <w:sz w:val="22"/>
      <w:szCs w:val="22"/>
    </w:rPr>
  </w:style>
  <w:style w:type="character" w:customStyle="1" w:styleId="1913">
    <w:name w:val="正文（首行缩进两字） Char Char Char2"/>
    <w:autoRedefine/>
    <w:qFormat/>
    <w:uiPriority w:val="0"/>
    <w:rPr>
      <w:rFonts w:ascii="仿宋_GB2312" w:eastAsia="仿宋_GB2312"/>
      <w:color w:val="000000"/>
      <w:kern w:val="2"/>
      <w:sz w:val="28"/>
      <w:szCs w:val="24"/>
      <w:lang w:val="en-US" w:eastAsia="zh-CN" w:bidi="ar-SA"/>
    </w:rPr>
  </w:style>
  <w:style w:type="character" w:customStyle="1" w:styleId="1914">
    <w:name w:val="cc"/>
    <w:autoRedefine/>
    <w:qFormat/>
    <w:uiPriority w:val="0"/>
  </w:style>
  <w:style w:type="character" w:customStyle="1" w:styleId="1915">
    <w:name w:val="框图正文 Char Char1"/>
    <w:autoRedefine/>
    <w:qFormat/>
    <w:uiPriority w:val="0"/>
    <w:rPr>
      <w:rFonts w:eastAsia="宋体"/>
      <w:spacing w:val="-20"/>
      <w:kern w:val="2"/>
      <w:sz w:val="21"/>
      <w:szCs w:val="24"/>
      <w:lang w:val="en-US" w:eastAsia="zh-CN" w:bidi="ar-SA"/>
    </w:rPr>
  </w:style>
  <w:style w:type="character" w:customStyle="1" w:styleId="1916">
    <w:name w:val="description5"/>
    <w:autoRedefine/>
    <w:qFormat/>
    <w:uiPriority w:val="0"/>
  </w:style>
  <w:style w:type="character" w:customStyle="1" w:styleId="1917">
    <w:name w:val="sc2f7tt"/>
    <w:autoRedefine/>
    <w:qFormat/>
    <w:uiPriority w:val="0"/>
  </w:style>
  <w:style w:type="character" w:customStyle="1" w:styleId="1918">
    <w:name w:val="样式 居中 段前: 4 磅 段后: 4 磅 Char"/>
    <w:autoRedefine/>
    <w:qFormat/>
    <w:uiPriority w:val="0"/>
    <w:rPr>
      <w:rFonts w:eastAsia="宋体" w:cs="宋体"/>
      <w:kern w:val="2"/>
      <w:sz w:val="21"/>
      <w:lang w:val="en-US" w:eastAsia="zh-CN" w:bidi="ar-SA"/>
    </w:rPr>
  </w:style>
  <w:style w:type="character" w:customStyle="1" w:styleId="1919">
    <w:name w:val="ssqiaz"/>
    <w:autoRedefine/>
    <w:qFormat/>
    <w:uiPriority w:val="0"/>
  </w:style>
  <w:style w:type="character" w:customStyle="1" w:styleId="1920">
    <w:name w:val="正文文字缩进 Char Char"/>
    <w:autoRedefine/>
    <w:qFormat/>
    <w:uiPriority w:val="0"/>
    <w:rPr>
      <w:rFonts w:eastAsia="宋体"/>
      <w:kern w:val="2"/>
      <w:sz w:val="24"/>
      <w:lang w:val="en-US" w:eastAsia="zh-CN" w:bidi="ar-SA"/>
    </w:rPr>
  </w:style>
  <w:style w:type="character" w:customStyle="1" w:styleId="1921">
    <w:name w:val="time5"/>
    <w:autoRedefine/>
    <w:qFormat/>
    <w:uiPriority w:val="0"/>
    <w:rPr>
      <w:rFonts w:ascii="Arial" w:hAnsi="Arial" w:cs="Arial"/>
      <w:color w:val="595959"/>
      <w:sz w:val="15"/>
      <w:szCs w:val="15"/>
    </w:rPr>
  </w:style>
  <w:style w:type="character" w:customStyle="1" w:styleId="1922">
    <w:name w:val="zw"/>
    <w:autoRedefine/>
    <w:qFormat/>
    <w:uiPriority w:val="0"/>
  </w:style>
  <w:style w:type="character" w:customStyle="1" w:styleId="1923">
    <w:name w:val="font"/>
    <w:autoRedefine/>
    <w:qFormat/>
    <w:uiPriority w:val="0"/>
  </w:style>
  <w:style w:type="character" w:customStyle="1" w:styleId="1924">
    <w:name w:val="10f"/>
    <w:autoRedefine/>
    <w:qFormat/>
    <w:uiPriority w:val="0"/>
  </w:style>
  <w:style w:type="character" w:customStyle="1" w:styleId="1925">
    <w:name w:val="part"/>
    <w:autoRedefine/>
    <w:qFormat/>
    <w:uiPriority w:val="0"/>
  </w:style>
  <w:style w:type="character" w:customStyle="1" w:styleId="1926">
    <w:name w:val="tex-biaoti1"/>
    <w:autoRedefine/>
    <w:qFormat/>
    <w:uiPriority w:val="0"/>
  </w:style>
  <w:style w:type="character" w:customStyle="1" w:styleId="1927">
    <w:name w:val="tit"/>
    <w:autoRedefine/>
    <w:qFormat/>
    <w:uiPriority w:val="0"/>
  </w:style>
  <w:style w:type="character" w:customStyle="1" w:styleId="1928">
    <w:name w:val="p11"/>
    <w:autoRedefine/>
    <w:qFormat/>
    <w:uiPriority w:val="0"/>
    <w:rPr>
      <w:sz w:val="18"/>
    </w:rPr>
  </w:style>
  <w:style w:type="character" w:customStyle="1" w:styleId="1929">
    <w:name w:val="干标题(a) Char1"/>
    <w:autoRedefine/>
    <w:qFormat/>
    <w:uiPriority w:val="0"/>
    <w:rPr>
      <w:rFonts w:ascii="Arial" w:hAnsi="Arial" w:eastAsia="黑体"/>
      <w:bCs/>
      <w:sz w:val="24"/>
      <w:lang w:val="en-US" w:eastAsia="zh-CN" w:bidi="ar-SA"/>
    </w:rPr>
  </w:style>
  <w:style w:type="character" w:customStyle="1" w:styleId="1930">
    <w:name w:val="bbc1"/>
    <w:autoRedefine/>
    <w:qFormat/>
    <w:uiPriority w:val="0"/>
    <w:rPr>
      <w:b/>
      <w:color w:val="000000"/>
      <w:sz w:val="27"/>
      <w:u w:val="none"/>
    </w:rPr>
  </w:style>
  <w:style w:type="character" w:customStyle="1" w:styleId="1931">
    <w:name w:val="middle"/>
    <w:autoRedefine/>
    <w:qFormat/>
    <w:uiPriority w:val="0"/>
  </w:style>
  <w:style w:type="character" w:customStyle="1" w:styleId="1932">
    <w:name w:val="xxx1"/>
    <w:autoRedefine/>
    <w:qFormat/>
    <w:uiPriority w:val="0"/>
    <w:rPr>
      <w:sz w:val="14"/>
      <w:szCs w:val="14"/>
    </w:rPr>
  </w:style>
  <w:style w:type="character" w:customStyle="1" w:styleId="1933">
    <w:name w:val="p14b1"/>
    <w:autoRedefine/>
    <w:qFormat/>
    <w:uiPriority w:val="0"/>
    <w:rPr>
      <w:rFonts w:ascii="宋体" w:eastAsia="宋体"/>
      <w:color w:val="000000"/>
      <w:sz w:val="28"/>
      <w:szCs w:val="28"/>
    </w:rPr>
  </w:style>
  <w:style w:type="character" w:customStyle="1" w:styleId="1934">
    <w:name w:val="目录2 Char1"/>
    <w:autoRedefine/>
    <w:qFormat/>
    <w:uiPriority w:val="0"/>
    <w:rPr>
      <w:rFonts w:ascii="Calibri" w:hAnsi="Calibri" w:eastAsia="仿宋_GB2312" w:cs="Calibri"/>
      <w:b/>
      <w:bCs/>
      <w:caps/>
      <w:kern w:val="2"/>
      <w:sz w:val="24"/>
    </w:rPr>
  </w:style>
  <w:style w:type="character" w:customStyle="1" w:styleId="1935">
    <w:name w:val="谏壁正文chen Char Char"/>
    <w:autoRedefine/>
    <w:qFormat/>
    <w:uiPriority w:val="0"/>
    <w:rPr>
      <w:rFonts w:ascii="Times New Roman" w:hAnsi="Times New Roman" w:eastAsia="宋体" w:cs="Times New Roman"/>
      <w:sz w:val="24"/>
      <w:szCs w:val="24"/>
    </w:rPr>
  </w:style>
  <w:style w:type="character" w:customStyle="1" w:styleId="1936">
    <w:name w:val="题注 + 居中! Char Char"/>
    <w:autoRedefine/>
    <w:qFormat/>
    <w:uiPriority w:val="0"/>
    <w:rPr>
      <w:rFonts w:ascii="黑体" w:eastAsia="黑体" w:cs="宋体"/>
      <w:kern w:val="0"/>
      <w:sz w:val="24"/>
      <w:szCs w:val="24"/>
      <w:lang w:val="en-US" w:eastAsia="zh-CN"/>
    </w:rPr>
  </w:style>
  <w:style w:type="character" w:customStyle="1" w:styleId="1937">
    <w:name w:val="chen 正文字体 Char Char"/>
    <w:autoRedefine/>
    <w:qFormat/>
    <w:uiPriority w:val="0"/>
    <w:rPr>
      <w:rFonts w:ascii="Times New Roman" w:hAnsi="Times New Roman" w:eastAsia="宋体" w:cs="宋体"/>
      <w:color w:val="000000"/>
      <w:sz w:val="24"/>
      <w:szCs w:val="20"/>
    </w:rPr>
  </w:style>
  <w:style w:type="character" w:customStyle="1" w:styleId="1938">
    <w:name w:val="金兰 Char Char"/>
    <w:autoRedefine/>
    <w:qFormat/>
    <w:uiPriority w:val="0"/>
    <w:rPr>
      <w:rFonts w:eastAsia="宋体" w:cs="宋体"/>
      <w:sz w:val="28"/>
      <w:szCs w:val="28"/>
    </w:rPr>
  </w:style>
  <w:style w:type="character" w:customStyle="1" w:styleId="1939">
    <w:name w:val="单学凯段落格式 Char Char"/>
    <w:autoRedefine/>
    <w:qFormat/>
    <w:uiPriority w:val="0"/>
    <w:rPr>
      <w:rFonts w:ascii="宋体" w:eastAsia="宋体" w:cs="Times New Roman"/>
      <w:bCs/>
      <w:snapToGrid/>
      <w:color w:val="000000"/>
      <w:kern w:val="0"/>
      <w:sz w:val="28"/>
      <w:szCs w:val="28"/>
      <w:lang w:val="zh-CN"/>
    </w:rPr>
  </w:style>
  <w:style w:type="character" w:customStyle="1" w:styleId="1940">
    <w:name w:val="节标题2 Char Char"/>
    <w:autoRedefine/>
    <w:qFormat/>
    <w:uiPriority w:val="0"/>
    <w:rPr>
      <w:rFonts w:ascii="Times New Roman" w:hAnsi="Times New Roman" w:eastAsia="宋体" w:cs="Times New Roman"/>
      <w:kern w:val="0"/>
      <w:sz w:val="24"/>
      <w:szCs w:val="28"/>
    </w:rPr>
  </w:style>
  <w:style w:type="character" w:customStyle="1" w:styleId="1941">
    <w:name w:val="sfmq"/>
    <w:autoRedefine/>
    <w:qFormat/>
    <w:uiPriority w:val="0"/>
  </w:style>
  <w:style w:type="character" w:customStyle="1" w:styleId="1942">
    <w:name w:val="要点 Char"/>
    <w:autoRedefine/>
    <w:qFormat/>
    <w:uiPriority w:val="0"/>
    <w:rPr>
      <w:rFonts w:ascii="Times New Roman" w:hAnsi="Times New Roman" w:eastAsia="宋体"/>
      <w:b/>
      <w:color w:val="000000"/>
      <w:spacing w:val="0"/>
      <w:w w:val="100"/>
      <w:sz w:val="21"/>
      <w:u w:val="none" w:color="000000"/>
      <w:vertAlign w:val="baseline"/>
      <w:lang w:val="en-US" w:eastAsia="zh-CN"/>
    </w:rPr>
  </w:style>
  <w:style w:type="character" w:customStyle="1" w:styleId="1943">
    <w:name w:val="hg1"/>
    <w:autoRedefine/>
    <w:qFormat/>
    <w:uiPriority w:val="0"/>
  </w:style>
  <w:style w:type="character" w:customStyle="1" w:styleId="1944">
    <w:name w:val="viewthreadtxt"/>
    <w:autoRedefine/>
    <w:qFormat/>
    <w:uiPriority w:val="0"/>
  </w:style>
  <w:style w:type="character" w:customStyle="1" w:styleId="1945">
    <w:name w:val="z141"/>
    <w:autoRedefine/>
    <w:qFormat/>
    <w:uiPriority w:val="0"/>
    <w:rPr>
      <w:sz w:val="21"/>
      <w:szCs w:val="21"/>
    </w:rPr>
  </w:style>
  <w:style w:type="character" w:customStyle="1" w:styleId="1946">
    <w:name w:val="smuvt"/>
    <w:autoRedefine/>
    <w:qFormat/>
    <w:uiPriority w:val="0"/>
  </w:style>
  <w:style w:type="character" w:customStyle="1" w:styleId="1947">
    <w:name w:val="sh141"/>
    <w:autoRedefine/>
    <w:qFormat/>
    <w:uiPriority w:val="0"/>
    <w:rPr>
      <w:color w:val="2B2B2B"/>
    </w:rPr>
  </w:style>
  <w:style w:type="character" w:customStyle="1" w:styleId="1948">
    <w:name w:val="si16"/>
    <w:autoRedefine/>
    <w:qFormat/>
    <w:uiPriority w:val="0"/>
  </w:style>
  <w:style w:type="character" w:customStyle="1" w:styleId="1949">
    <w:name w:val="unnamed1复制1"/>
    <w:autoRedefine/>
    <w:qFormat/>
    <w:uiPriority w:val="0"/>
    <w:rPr>
      <w:sz w:val="20"/>
      <w:szCs w:val="20"/>
    </w:rPr>
  </w:style>
  <w:style w:type="character" w:customStyle="1" w:styleId="1950">
    <w:name w:val="s2ze7v"/>
    <w:autoRedefine/>
    <w:qFormat/>
    <w:uiPriority w:val="0"/>
  </w:style>
  <w:style w:type="character" w:customStyle="1" w:styleId="1951">
    <w:name w:val="bt21"/>
    <w:autoRedefine/>
    <w:qFormat/>
    <w:uiPriority w:val="0"/>
    <w:rPr>
      <w:rFonts w:ascii="黑体" w:eastAsia="黑体"/>
      <w:sz w:val="24"/>
      <w:szCs w:val="24"/>
    </w:rPr>
  </w:style>
  <w:style w:type="character" w:customStyle="1" w:styleId="1952">
    <w:name w:val="sf6tjlp"/>
    <w:autoRedefine/>
    <w:qFormat/>
    <w:uiPriority w:val="0"/>
  </w:style>
  <w:style w:type="character" w:customStyle="1" w:styleId="1953">
    <w:name w:val="sfrxxz"/>
    <w:autoRedefine/>
    <w:qFormat/>
    <w:uiPriority w:val="0"/>
  </w:style>
  <w:style w:type="character" w:customStyle="1" w:styleId="1954">
    <w:name w:val="标题2 Char Char"/>
    <w:autoRedefine/>
    <w:qFormat/>
    <w:uiPriority w:val="0"/>
    <w:rPr>
      <w:rFonts w:ascii="Arial" w:hAnsi="Arial" w:eastAsia="黑体"/>
      <w:b/>
      <w:bCs/>
      <w:kern w:val="2"/>
      <w:sz w:val="32"/>
      <w:szCs w:val="32"/>
      <w:lang w:val="en-US" w:eastAsia="zh-CN" w:bidi="ar-SA"/>
    </w:rPr>
  </w:style>
  <w:style w:type="character" w:customStyle="1" w:styleId="1955">
    <w:name w:val="su21"/>
    <w:autoRedefine/>
    <w:qFormat/>
    <w:uiPriority w:val="0"/>
  </w:style>
  <w:style w:type="character" w:customStyle="1" w:styleId="1956">
    <w:name w:val="style121"/>
    <w:autoRedefine/>
    <w:qFormat/>
    <w:uiPriority w:val="0"/>
    <w:rPr>
      <w:color w:val="CC0000"/>
      <w:sz w:val="21"/>
      <w:szCs w:val="21"/>
    </w:rPr>
  </w:style>
  <w:style w:type="character" w:customStyle="1" w:styleId="1957">
    <w:name w:val="sy7t"/>
    <w:autoRedefine/>
    <w:qFormat/>
    <w:uiPriority w:val="0"/>
  </w:style>
  <w:style w:type="character" w:customStyle="1" w:styleId="1958">
    <w:name w:val="kuang1"/>
    <w:autoRedefine/>
    <w:qFormat/>
    <w:uiPriority w:val="0"/>
    <w:rPr>
      <w:spacing w:val="0"/>
      <w:sz w:val="18"/>
      <w:szCs w:val="18"/>
    </w:rPr>
  </w:style>
  <w:style w:type="character" w:customStyle="1" w:styleId="1959">
    <w:name w:val="seecix"/>
    <w:autoRedefine/>
    <w:qFormat/>
    <w:uiPriority w:val="0"/>
  </w:style>
  <w:style w:type="character" w:customStyle="1" w:styleId="1960">
    <w:name w:val="text01"/>
    <w:autoRedefine/>
    <w:qFormat/>
    <w:uiPriority w:val="0"/>
    <w:rPr>
      <w:rFonts w:ascii="??" w:hAnsi="??"/>
      <w:color w:val="333333"/>
      <w:spacing w:val="420"/>
      <w:sz w:val="18"/>
      <w:szCs w:val="18"/>
      <w:u w:val="none"/>
    </w:rPr>
  </w:style>
  <w:style w:type="character" w:customStyle="1" w:styleId="1961">
    <w:name w:val="正文（首行缩进两字） Char5"/>
    <w:autoRedefine/>
    <w:qFormat/>
    <w:uiPriority w:val="0"/>
    <w:rPr>
      <w:rFonts w:ascii="仿宋_GB2312" w:eastAsia="仿宋_GB2312"/>
      <w:kern w:val="2"/>
      <w:sz w:val="28"/>
      <w:szCs w:val="24"/>
      <w:lang w:val="en-US" w:eastAsia="zh-CN" w:bidi="ar-SA"/>
    </w:rPr>
  </w:style>
  <w:style w:type="character" w:customStyle="1" w:styleId="1962">
    <w:name w:val="Char Char5"/>
    <w:autoRedefine/>
    <w:qFormat/>
    <w:uiPriority w:val="0"/>
    <w:rPr>
      <w:rFonts w:ascii="仿宋_GB2312" w:eastAsia="仿宋_GB2312"/>
      <w:b/>
      <w:bCs/>
      <w:sz w:val="28"/>
      <w:lang w:val="en-US" w:eastAsia="zh-CN" w:bidi="ar-SA"/>
    </w:rPr>
  </w:style>
  <w:style w:type="character" w:customStyle="1" w:styleId="1963">
    <w:name w:val="表格内文字 Char Char1"/>
    <w:autoRedefine/>
    <w:qFormat/>
    <w:uiPriority w:val="0"/>
    <w:rPr>
      <w:rFonts w:ascii="宋体" w:eastAsia="宋体" w:cs="Arial"/>
      <w:snapToGrid/>
      <w:kern w:val="44"/>
      <w:sz w:val="24"/>
      <w:szCs w:val="48"/>
      <w:lang w:val="en-US" w:eastAsia="zh-CN" w:bidi="ar-SA"/>
    </w:rPr>
  </w:style>
  <w:style w:type="character" w:customStyle="1" w:styleId="1964">
    <w:name w:val="Char Char71"/>
    <w:autoRedefine/>
    <w:qFormat/>
    <w:uiPriority w:val="0"/>
    <w:rPr>
      <w:rFonts w:ascii="仿宋_GB2312" w:eastAsia="仿宋_GB2312"/>
      <w:sz w:val="28"/>
      <w:lang w:val="en-US" w:eastAsia="zh-CN" w:bidi="ar-SA"/>
    </w:rPr>
  </w:style>
  <w:style w:type="character" w:customStyle="1" w:styleId="1965">
    <w:name w:val="正文（首行缩进两字）3"/>
    <w:autoRedefine/>
    <w:qFormat/>
    <w:uiPriority w:val="0"/>
    <w:rPr>
      <w:rFonts w:ascii="仿宋_GB2312" w:eastAsia="仿宋_GB2312"/>
      <w:kern w:val="2"/>
      <w:sz w:val="28"/>
      <w:szCs w:val="24"/>
      <w:lang w:val="en-US" w:eastAsia="zh-CN" w:bidi="ar-SA"/>
    </w:rPr>
  </w:style>
  <w:style w:type="character" w:customStyle="1" w:styleId="1966">
    <w:name w:val="Char Char Char3"/>
    <w:autoRedefine/>
    <w:qFormat/>
    <w:uiPriority w:val="0"/>
    <w:rPr>
      <w:rFonts w:ascii="宋体" w:eastAsia="宋体"/>
      <w:kern w:val="2"/>
      <w:sz w:val="28"/>
      <w:lang w:val="en-US" w:eastAsia="zh-CN" w:bidi="ar-SA"/>
    </w:rPr>
  </w:style>
  <w:style w:type="character" w:customStyle="1" w:styleId="1967">
    <w:name w:val="nr1"/>
    <w:autoRedefine/>
    <w:qFormat/>
    <w:uiPriority w:val="0"/>
    <w:rPr>
      <w:color w:val="023127"/>
      <w:sz w:val="18"/>
      <w:szCs w:val="18"/>
      <w:u w:val="none"/>
    </w:rPr>
  </w:style>
  <w:style w:type="character" w:customStyle="1" w:styleId="1968">
    <w:name w:val="14fz1"/>
    <w:autoRedefine/>
    <w:qFormat/>
    <w:uiPriority w:val="0"/>
    <w:rPr>
      <w:color w:val="000000"/>
      <w:sz w:val="32"/>
      <w:szCs w:val="32"/>
    </w:rPr>
  </w:style>
  <w:style w:type="character" w:customStyle="1" w:styleId="1969">
    <w:name w:val="Footer Char"/>
    <w:autoRedefine/>
    <w:qFormat/>
    <w:uiPriority w:val="0"/>
    <w:rPr>
      <w:rFonts w:eastAsia="宋体"/>
      <w:kern w:val="2"/>
      <w:sz w:val="18"/>
      <w:lang w:val="en-US" w:eastAsia="zh-CN" w:bidi="ar-SA"/>
    </w:rPr>
  </w:style>
  <w:style w:type="character" w:customStyle="1" w:styleId="1970">
    <w:name w:val="style141"/>
    <w:autoRedefine/>
    <w:qFormat/>
    <w:uiPriority w:val="0"/>
    <w:rPr>
      <w:color w:val="0033FF"/>
    </w:rPr>
  </w:style>
  <w:style w:type="character" w:customStyle="1" w:styleId="1971">
    <w:name w:val="书籍标题2"/>
    <w:autoRedefine/>
    <w:qFormat/>
    <w:uiPriority w:val="0"/>
    <w:rPr>
      <w:b/>
      <w:bCs/>
      <w:smallCaps/>
      <w:spacing w:val="5"/>
    </w:rPr>
  </w:style>
  <w:style w:type="character" w:customStyle="1" w:styleId="1972">
    <w:name w:val="目标题 1) Char1"/>
    <w:autoRedefine/>
    <w:qFormat/>
    <w:uiPriority w:val="0"/>
    <w:rPr>
      <w:rFonts w:ascii="Arial" w:hAnsi="Arial" w:eastAsia="黑体"/>
      <w:bCs/>
      <w:sz w:val="24"/>
      <w:lang w:val="en-US" w:eastAsia="zh-CN" w:bidi="ar-SA"/>
    </w:rPr>
  </w:style>
  <w:style w:type="character" w:customStyle="1" w:styleId="1973">
    <w:name w:val="环表头 Char6"/>
    <w:autoRedefine/>
    <w:qFormat/>
    <w:uiPriority w:val="0"/>
    <w:rPr>
      <w:rFonts w:ascii="宋体" w:eastAsia="宋体" w:cs="Courier New"/>
      <w:b/>
      <w:color w:val="000000"/>
      <w:kern w:val="2"/>
      <w:sz w:val="24"/>
      <w:szCs w:val="21"/>
      <w:lang w:val="en-US" w:eastAsia="zh-CN" w:bidi="ar-SA"/>
    </w:rPr>
  </w:style>
  <w:style w:type="character" w:customStyle="1" w:styleId="1974">
    <w:name w:val="正文首行缩进 Char1 Char Char4"/>
    <w:autoRedefine/>
    <w:qFormat/>
    <w:uiPriority w:val="0"/>
    <w:rPr>
      <w:rFonts w:eastAsia="宋体"/>
      <w:kern w:val="2"/>
      <w:sz w:val="21"/>
      <w:szCs w:val="24"/>
      <w:lang w:val="en-US" w:eastAsia="zh-CN" w:bidi="ar-SA"/>
    </w:rPr>
  </w:style>
  <w:style w:type="character" w:customStyle="1" w:styleId="1975">
    <w:name w:val="特点标题 Char Char1"/>
    <w:autoRedefine/>
    <w:qFormat/>
    <w:uiPriority w:val="0"/>
    <w:rPr>
      <w:rFonts w:eastAsia="宋体"/>
      <w:kern w:val="2"/>
      <w:sz w:val="21"/>
      <w:szCs w:val="24"/>
      <w:lang w:val="en-US" w:eastAsia="zh-CN" w:bidi="ar-SA"/>
    </w:rPr>
  </w:style>
  <w:style w:type="character" w:customStyle="1" w:styleId="1976">
    <w:name w:val="aaa1"/>
    <w:autoRedefine/>
    <w:qFormat/>
    <w:uiPriority w:val="0"/>
  </w:style>
  <w:style w:type="character" w:customStyle="1" w:styleId="1977">
    <w:name w:val="gb21"/>
    <w:autoRedefine/>
    <w:qFormat/>
    <w:uiPriority w:val="0"/>
    <w:rPr>
      <w:sz w:val="18"/>
      <w:szCs w:val="18"/>
    </w:rPr>
  </w:style>
  <w:style w:type="character" w:customStyle="1" w:styleId="1978">
    <w:name w:val="txt1501"/>
    <w:autoRedefine/>
    <w:qFormat/>
    <w:uiPriority w:val="0"/>
  </w:style>
  <w:style w:type="character" w:customStyle="1" w:styleId="1979">
    <w:name w:val="msonormal"/>
    <w:autoRedefine/>
    <w:qFormat/>
    <w:uiPriority w:val="0"/>
  </w:style>
  <w:style w:type="character" w:customStyle="1" w:styleId="1980">
    <w:name w:val="text_green_bold1"/>
    <w:autoRedefine/>
    <w:qFormat/>
    <w:uiPriority w:val="0"/>
    <w:rPr>
      <w:b/>
      <w:bCs/>
      <w:color w:val="056E7B"/>
      <w:sz w:val="18"/>
      <w:szCs w:val="18"/>
    </w:rPr>
  </w:style>
  <w:style w:type="character" w:customStyle="1" w:styleId="1981">
    <w:name w:val="l18"/>
    <w:autoRedefine/>
    <w:qFormat/>
    <w:uiPriority w:val="0"/>
  </w:style>
  <w:style w:type="character" w:customStyle="1" w:styleId="1982">
    <w:name w:val="big21"/>
    <w:autoRedefine/>
    <w:qFormat/>
    <w:uiPriority w:val="0"/>
    <w:rPr>
      <w:sz w:val="21"/>
      <w:szCs w:val="21"/>
    </w:rPr>
  </w:style>
  <w:style w:type="character" w:customStyle="1" w:styleId="1983">
    <w:name w:val="正文首行缩进 Char2 Char2"/>
    <w:autoRedefine/>
    <w:qFormat/>
    <w:uiPriority w:val="0"/>
    <w:rPr>
      <w:rFonts w:ascii="Times New Roman" w:hAnsi="Times New Roman" w:eastAsia="宋体" w:cs="Times New Roman"/>
      <w:szCs w:val="24"/>
    </w:rPr>
  </w:style>
  <w:style w:type="character" w:customStyle="1" w:styleId="1984">
    <w:name w:val="正文文字 3 Char Char7"/>
    <w:autoRedefine/>
    <w:qFormat/>
    <w:uiPriority w:val="0"/>
    <w:rPr>
      <w:rFonts w:ascii="宋体" w:eastAsia="宋体" w:cs="Times New Roman"/>
      <w:sz w:val="24"/>
      <w:szCs w:val="24"/>
    </w:rPr>
  </w:style>
  <w:style w:type="character" w:customStyle="1" w:styleId="1985">
    <w:name w:val="题注 Char Char Char Char1"/>
    <w:autoRedefine/>
    <w:qFormat/>
    <w:uiPriority w:val="0"/>
    <w:rPr>
      <w:rFonts w:ascii="Arial" w:hAnsi="Arial" w:eastAsia="黑体" w:cs="Arial"/>
      <w:sz w:val="20"/>
      <w:szCs w:val="20"/>
    </w:rPr>
  </w:style>
  <w:style w:type="character" w:customStyle="1" w:styleId="1986">
    <w:name w:val="Char4 Char Char"/>
    <w:autoRedefine/>
    <w:qFormat/>
    <w:uiPriority w:val="0"/>
    <w:rPr>
      <w:rFonts w:ascii="宋体" w:eastAsia="宋体"/>
      <w:kern w:val="2"/>
      <w:sz w:val="18"/>
      <w:szCs w:val="18"/>
      <w:lang w:val="en-US" w:eastAsia="zh-CN" w:bidi="ar-SA"/>
    </w:rPr>
  </w:style>
  <w:style w:type="character" w:customStyle="1" w:styleId="1987">
    <w:name w:val="satajq8"/>
    <w:autoRedefine/>
    <w:qFormat/>
    <w:uiPriority w:val="0"/>
  </w:style>
  <w:style w:type="character" w:customStyle="1" w:styleId="1988">
    <w:name w:val="style111"/>
    <w:autoRedefine/>
    <w:qFormat/>
    <w:uiPriority w:val="0"/>
    <w:rPr>
      <w:sz w:val="18"/>
      <w:szCs w:val="18"/>
    </w:rPr>
  </w:style>
  <w:style w:type="character" w:customStyle="1" w:styleId="1989">
    <w:name w:val="message"/>
    <w:autoRedefine/>
    <w:qFormat/>
    <w:uiPriority w:val="0"/>
  </w:style>
  <w:style w:type="character" w:customStyle="1" w:styleId="1990">
    <w:name w:val="hl7"/>
    <w:autoRedefine/>
    <w:qFormat/>
    <w:uiPriority w:val="0"/>
    <w:rPr>
      <w:color w:val="C60A00"/>
    </w:rPr>
  </w:style>
  <w:style w:type="character" w:customStyle="1" w:styleId="1991">
    <w:name w:val="arr1"/>
    <w:autoRedefine/>
    <w:qFormat/>
    <w:uiPriority w:val="0"/>
  </w:style>
  <w:style w:type="character" w:customStyle="1" w:styleId="1992">
    <w:name w:val="z11"/>
    <w:autoRedefine/>
    <w:qFormat/>
    <w:uiPriority w:val="0"/>
    <w:rPr>
      <w:color w:val="000000"/>
      <w:sz w:val="20"/>
      <w:szCs w:val="20"/>
      <w:u w:val="none"/>
    </w:rPr>
  </w:style>
  <w:style w:type="character" w:customStyle="1" w:styleId="1993">
    <w:name w:val="Char Char10"/>
    <w:autoRedefine/>
    <w:qFormat/>
    <w:uiPriority w:val="0"/>
    <w:rPr>
      <w:rFonts w:ascii="Times New Roman" w:hAnsi="Times New Roman" w:eastAsia="宋体" w:cs="Times New Roman"/>
      <w:color w:val="000000"/>
      <w:sz w:val="24"/>
      <w:szCs w:val="24"/>
    </w:rPr>
  </w:style>
  <w:style w:type="character" w:customStyle="1" w:styleId="1994">
    <w:name w:val="headline"/>
    <w:autoRedefine/>
    <w:qFormat/>
    <w:uiPriority w:val="0"/>
  </w:style>
  <w:style w:type="character" w:customStyle="1" w:styleId="1995">
    <w:name w:val="tex1"/>
    <w:autoRedefine/>
    <w:qFormat/>
    <w:uiPriority w:val="0"/>
    <w:rPr>
      <w:color w:val="000000"/>
      <w:sz w:val="21"/>
      <w:szCs w:val="21"/>
    </w:rPr>
  </w:style>
  <w:style w:type="character" w:customStyle="1" w:styleId="1996">
    <w:name w:val="style431"/>
    <w:autoRedefine/>
    <w:qFormat/>
    <w:uiPriority w:val="0"/>
    <w:rPr>
      <w:rFonts w:ascii="Arial" w:hAnsi="Arial" w:cs="Arial"/>
      <w:sz w:val="18"/>
      <w:szCs w:val="18"/>
    </w:rPr>
  </w:style>
  <w:style w:type="character" w:customStyle="1" w:styleId="1997">
    <w:name w:val="目标题 1) Char2"/>
    <w:autoRedefine/>
    <w:qFormat/>
    <w:uiPriority w:val="0"/>
    <w:rPr>
      <w:rFonts w:ascii="Arial" w:hAnsi="Arial" w:eastAsia="黑体"/>
      <w:sz w:val="24"/>
      <w:szCs w:val="24"/>
    </w:rPr>
  </w:style>
  <w:style w:type="character" w:customStyle="1" w:styleId="1998">
    <w:name w:val="样式正文 Char Char"/>
    <w:autoRedefine/>
    <w:qFormat/>
    <w:uiPriority w:val="0"/>
    <w:rPr>
      <w:rFonts w:ascii="Times New Roman" w:hAnsi="Times New Roman" w:eastAsia="宋体" w:cs="宋体"/>
      <w:sz w:val="24"/>
      <w:szCs w:val="24"/>
    </w:rPr>
  </w:style>
  <w:style w:type="character" w:customStyle="1" w:styleId="1999">
    <w:name w:val="正文首行缩进 2 + Times New Roman Char Char"/>
    <w:autoRedefine/>
    <w:qFormat/>
    <w:uiPriority w:val="0"/>
    <w:rPr>
      <w:rFonts w:ascii="宋体" w:eastAsia="宋体" w:cs="Times New Roman"/>
      <w:kern w:val="0"/>
      <w:sz w:val="24"/>
      <w:szCs w:val="24"/>
    </w:rPr>
  </w:style>
  <w:style w:type="character" w:customStyle="1" w:styleId="2000">
    <w:name w:val="chen正文字体11 Char Char"/>
    <w:autoRedefine/>
    <w:qFormat/>
    <w:uiPriority w:val="0"/>
    <w:rPr>
      <w:rFonts w:ascii="Times New Roman" w:hAnsi="Times New Roman" w:eastAsia="宋体" w:cs="宋体"/>
      <w:color w:val="000000"/>
      <w:sz w:val="24"/>
      <w:szCs w:val="20"/>
    </w:rPr>
  </w:style>
  <w:style w:type="character" w:customStyle="1" w:styleId="2001">
    <w:name w:val="正文首行缩进 Char1"/>
    <w:autoRedefine/>
    <w:qFormat/>
    <w:uiPriority w:val="0"/>
    <w:rPr>
      <w:rFonts w:ascii="宋体" w:eastAsia="宋体"/>
      <w:color w:val="000000"/>
      <w:kern w:val="2"/>
      <w:sz w:val="28"/>
      <w:szCs w:val="24"/>
      <w:lang w:val="en-US" w:eastAsia="zh-CN"/>
    </w:rPr>
  </w:style>
  <w:style w:type="character" w:customStyle="1" w:styleId="2002">
    <w:name w:val="节标题1 Char Char"/>
    <w:autoRedefine/>
    <w:qFormat/>
    <w:uiPriority w:val="0"/>
    <w:rPr>
      <w:rFonts w:ascii="宋体" w:eastAsia="宋体" w:cs="Times New Roman"/>
      <w:b/>
      <w:kern w:val="0"/>
      <w:sz w:val="28"/>
      <w:szCs w:val="24"/>
    </w:rPr>
  </w:style>
  <w:style w:type="character" w:customStyle="1" w:styleId="2003">
    <w:name w:val="f121"/>
    <w:autoRedefine/>
    <w:qFormat/>
    <w:uiPriority w:val="0"/>
    <w:rPr>
      <w:sz w:val="18"/>
      <w:szCs w:val="18"/>
      <w:u w:val="none"/>
    </w:rPr>
  </w:style>
  <w:style w:type="character" w:customStyle="1" w:styleId="2004">
    <w:name w:val="a121"/>
    <w:autoRedefine/>
    <w:qFormat/>
    <w:uiPriority w:val="0"/>
    <w:rPr>
      <w:color w:val="000000"/>
      <w:sz w:val="20"/>
      <w:szCs w:val="20"/>
    </w:rPr>
  </w:style>
  <w:style w:type="character" w:customStyle="1" w:styleId="2005">
    <w:name w:val="正文文字 21 Char2"/>
    <w:autoRedefine/>
    <w:qFormat/>
    <w:uiPriority w:val="0"/>
    <w:rPr>
      <w:rFonts w:ascii="楷体_GB2312" w:eastAsia="楷体_GB2312"/>
      <w:kern w:val="2"/>
      <w:sz w:val="30"/>
      <w:szCs w:val="24"/>
      <w:lang w:val="en-US" w:eastAsia="zh-CN" w:bidi="ar-SA"/>
    </w:rPr>
  </w:style>
  <w:style w:type="character" w:customStyle="1" w:styleId="2006">
    <w:name w:val="3char"/>
    <w:autoRedefine/>
    <w:qFormat/>
    <w:uiPriority w:val="0"/>
  </w:style>
  <w:style w:type="character" w:customStyle="1" w:styleId="2007">
    <w:name w:val="9css21"/>
    <w:autoRedefine/>
    <w:qFormat/>
    <w:uiPriority w:val="0"/>
    <w:rPr>
      <w:sz w:val="18"/>
      <w:szCs w:val="18"/>
    </w:rPr>
  </w:style>
  <w:style w:type="character" w:customStyle="1" w:styleId="2008">
    <w:name w:val="news_c_da"/>
    <w:autoRedefine/>
    <w:qFormat/>
    <w:uiPriority w:val="0"/>
  </w:style>
  <w:style w:type="character" w:customStyle="1" w:styleId="2009">
    <w:name w:val="ngm988"/>
    <w:autoRedefine/>
    <w:qFormat/>
    <w:uiPriority w:val="0"/>
  </w:style>
  <w:style w:type="character" w:customStyle="1" w:styleId="2010">
    <w:name w:val="px12-lh201"/>
    <w:autoRedefine/>
    <w:qFormat/>
    <w:uiPriority w:val="0"/>
    <w:rPr>
      <w:rFonts w:ascii="宋体" w:eastAsia="宋体"/>
      <w:sz w:val="18"/>
      <w:szCs w:val="18"/>
    </w:rPr>
  </w:style>
  <w:style w:type="character" w:customStyle="1" w:styleId="2011">
    <w:name w:val="at_2"/>
    <w:autoRedefine/>
    <w:qFormat/>
    <w:uiPriority w:val="0"/>
  </w:style>
  <w:style w:type="character" w:customStyle="1" w:styleId="2012">
    <w:name w:val="at_10"/>
    <w:autoRedefine/>
    <w:qFormat/>
    <w:uiPriority w:val="0"/>
  </w:style>
  <w:style w:type="character" w:customStyle="1" w:styleId="2013">
    <w:name w:val="style441"/>
    <w:autoRedefine/>
    <w:qFormat/>
    <w:uiPriority w:val="0"/>
    <w:rPr>
      <w:sz w:val="18"/>
      <w:szCs w:val="18"/>
    </w:rPr>
  </w:style>
  <w:style w:type="character" w:customStyle="1" w:styleId="2014">
    <w:name w:val="style3 style1 style4"/>
    <w:autoRedefine/>
    <w:qFormat/>
    <w:uiPriority w:val="0"/>
  </w:style>
  <w:style w:type="character" w:customStyle="1" w:styleId="2015">
    <w:name w:val="at_8"/>
    <w:autoRedefine/>
    <w:qFormat/>
    <w:uiPriority w:val="0"/>
  </w:style>
  <w:style w:type="character" w:customStyle="1" w:styleId="2016">
    <w:name w:val="列表项目符号 Char"/>
    <w:autoRedefine/>
    <w:qFormat/>
    <w:uiPriority w:val="0"/>
    <w:rPr>
      <w:rFonts w:ascii="仿宋_GB2312" w:eastAsia="仿宋_GB2312"/>
      <w:sz w:val="28"/>
      <w:lang w:val="en-US" w:eastAsia="zh-CN" w:bidi="ar-SA"/>
    </w:rPr>
  </w:style>
  <w:style w:type="character" w:customStyle="1" w:styleId="2017">
    <w:name w:val="特点标题 Char Char"/>
    <w:autoRedefine/>
    <w:qFormat/>
    <w:uiPriority w:val="0"/>
    <w:rPr>
      <w:rFonts w:ascii="仿宋_GB2312" w:eastAsia="仿宋_GB2312"/>
      <w:sz w:val="28"/>
      <w:lang w:val="en-US" w:eastAsia="zh-CN" w:bidi="ar-SA"/>
    </w:rPr>
  </w:style>
  <w:style w:type="character" w:customStyle="1" w:styleId="2018">
    <w:name w:val="环正文 Char5"/>
    <w:autoRedefine/>
    <w:qFormat/>
    <w:uiPriority w:val="0"/>
    <w:rPr>
      <w:rFonts w:ascii="宋体" w:eastAsia="宋体"/>
      <w:color w:val="000000"/>
      <w:kern w:val="2"/>
      <w:sz w:val="24"/>
      <w:szCs w:val="24"/>
      <w:lang w:val="en-US" w:eastAsia="zh-CN" w:bidi="ar-SA"/>
    </w:rPr>
  </w:style>
  <w:style w:type="character" w:customStyle="1" w:styleId="2019">
    <w:name w:val="篇号"/>
    <w:autoRedefine/>
    <w:qFormat/>
    <w:uiPriority w:val="0"/>
    <w:rPr>
      <w:rFonts w:eastAsia="宋体"/>
    </w:rPr>
  </w:style>
  <w:style w:type="character" w:customStyle="1" w:styleId="2020">
    <w:name w:val="sss1"/>
    <w:autoRedefine/>
    <w:qFormat/>
    <w:uiPriority w:val="0"/>
    <w:rPr>
      <w:rFonts w:ascii="宋体" w:eastAsia="宋体"/>
      <w:color w:val="999999"/>
      <w:sz w:val="21"/>
      <w:szCs w:val="21"/>
      <w:u w:val="none"/>
    </w:rPr>
  </w:style>
  <w:style w:type="character" w:customStyle="1" w:styleId="2021">
    <w:name w:val="标题1.1.1.1.1.1 Char1"/>
    <w:autoRedefine/>
    <w:qFormat/>
    <w:uiPriority w:val="0"/>
    <w:rPr>
      <w:rFonts w:ascii="仿宋_GB2312" w:eastAsia="仿宋_GB2312"/>
      <w:kern w:val="2"/>
      <w:sz w:val="28"/>
      <w:szCs w:val="24"/>
      <w:lang w:val="en-US" w:eastAsia="zh-CN" w:bidi="ar-SA"/>
    </w:rPr>
  </w:style>
  <w:style w:type="character" w:customStyle="1" w:styleId="2022">
    <w:name w:val="正文文字 3 Char Char1"/>
    <w:autoRedefine/>
    <w:qFormat/>
    <w:uiPriority w:val="0"/>
    <w:rPr>
      <w:rFonts w:eastAsia="仿宋_GB2312"/>
      <w:kern w:val="2"/>
      <w:sz w:val="28"/>
      <w:szCs w:val="24"/>
      <w:lang w:val="en-US" w:eastAsia="zh-CN" w:bidi="ar-SA"/>
    </w:rPr>
  </w:style>
  <w:style w:type="character" w:customStyle="1" w:styleId="2023">
    <w:name w:val="description"/>
    <w:autoRedefine/>
    <w:qFormat/>
    <w:uiPriority w:val="0"/>
  </w:style>
  <w:style w:type="character" w:customStyle="1" w:styleId="2024">
    <w:name w:val="表 头 Char"/>
    <w:link w:val="2025"/>
    <w:autoRedefine/>
    <w:qFormat/>
    <w:uiPriority w:val="0"/>
    <w:rPr>
      <w:spacing w:val="10"/>
      <w:sz w:val="24"/>
    </w:rPr>
  </w:style>
  <w:style w:type="paragraph" w:customStyle="1" w:styleId="2025">
    <w:name w:val="表 头"/>
    <w:basedOn w:val="1"/>
    <w:link w:val="2024"/>
    <w:autoRedefine/>
    <w:qFormat/>
    <w:uiPriority w:val="0"/>
    <w:pPr>
      <w:widowControl/>
      <w:adjustRightInd w:val="0"/>
      <w:spacing w:line="500" w:lineRule="exact"/>
      <w:jc w:val="center"/>
    </w:pPr>
    <w:rPr>
      <w:spacing w:val="10"/>
      <w:kern w:val="0"/>
      <w:sz w:val="24"/>
      <w:szCs w:val="20"/>
    </w:rPr>
  </w:style>
  <w:style w:type="character" w:customStyle="1" w:styleId="2026">
    <w:name w:val="hhcwt正文 Char Char"/>
    <w:autoRedefine/>
    <w:qFormat/>
    <w:uiPriority w:val="0"/>
    <w:rPr>
      <w:rFonts w:ascii="Calibri" w:hAnsi="Calibri"/>
      <w:kern w:val="2"/>
      <w:sz w:val="24"/>
    </w:rPr>
  </w:style>
  <w:style w:type="character" w:customStyle="1" w:styleId="2027">
    <w:name w:val="标题 2 字符"/>
    <w:autoRedefine/>
    <w:qFormat/>
    <w:uiPriority w:val="0"/>
    <w:rPr>
      <w:rFonts w:ascii="仿宋_GB2312" w:hAnsi="Arial"/>
      <w:b/>
      <w:bCs/>
      <w:sz w:val="30"/>
      <w:szCs w:val="32"/>
    </w:rPr>
  </w:style>
  <w:style w:type="character" w:customStyle="1" w:styleId="2028">
    <w:name w:val="标题 3 字符"/>
    <w:autoRedefine/>
    <w:qFormat/>
    <w:uiPriority w:val="0"/>
    <w:rPr>
      <w:rFonts w:ascii="仿宋_GB2312"/>
      <w:bCs/>
      <w:sz w:val="28"/>
      <w:szCs w:val="32"/>
    </w:rPr>
  </w:style>
  <w:style w:type="character" w:customStyle="1" w:styleId="2029">
    <w:name w:val="标题 4 字符"/>
    <w:autoRedefine/>
    <w:qFormat/>
    <w:uiPriority w:val="0"/>
    <w:rPr>
      <w:rFonts w:hAnsi="华文隶书"/>
      <w:sz w:val="21"/>
      <w:szCs w:val="21"/>
    </w:rPr>
  </w:style>
  <w:style w:type="character" w:customStyle="1" w:styleId="2030">
    <w:name w:val="标题 9 Char1"/>
    <w:autoRedefine/>
    <w:qFormat/>
    <w:uiPriority w:val="0"/>
    <w:rPr>
      <w:rFonts w:ascii="Arial" w:hAnsi="Arial" w:eastAsia="黑体" w:cs="Times New Roman"/>
      <w:kern w:val="0"/>
      <w:sz w:val="24"/>
      <w:szCs w:val="20"/>
      <w:lang w:val="zh-CN" w:eastAsia="zh-CN"/>
    </w:rPr>
  </w:style>
  <w:style w:type="character" w:customStyle="1" w:styleId="2031">
    <w:name w:val="批注框文本 字符"/>
    <w:autoRedefine/>
    <w:qFormat/>
    <w:uiPriority w:val="0"/>
    <w:rPr>
      <w:kern w:val="2"/>
      <w:sz w:val="18"/>
      <w:szCs w:val="18"/>
    </w:rPr>
  </w:style>
  <w:style w:type="character" w:customStyle="1" w:styleId="2032">
    <w:name w:val="style311"/>
    <w:autoRedefine/>
    <w:qFormat/>
    <w:uiPriority w:val="0"/>
    <w:rPr>
      <w:rFonts w:hint="default" w:ascii="Arial" w:hAnsi="Arial" w:cs="Arial"/>
    </w:rPr>
  </w:style>
  <w:style w:type="character" w:customStyle="1" w:styleId="2033">
    <w:name w:val="批注主题 字符"/>
    <w:autoRedefine/>
    <w:qFormat/>
    <w:uiPriority w:val="0"/>
    <w:rPr>
      <w:b/>
      <w:bCs/>
      <w:kern w:val="2"/>
      <w:sz w:val="21"/>
      <w:szCs w:val="24"/>
    </w:rPr>
  </w:style>
  <w:style w:type="character" w:customStyle="1" w:styleId="2034">
    <w:name w:val="页脚 字符"/>
    <w:autoRedefine/>
    <w:qFormat/>
    <w:uiPriority w:val="99"/>
    <w:rPr>
      <w:rFonts w:ascii="宋体" w:hAnsi="宋体" w:cs="宋体"/>
      <w:sz w:val="18"/>
    </w:rPr>
  </w:style>
  <w:style w:type="character" w:customStyle="1" w:styleId="2035">
    <w:name w:val="页眉 字符"/>
    <w:autoRedefine/>
    <w:qFormat/>
    <w:uiPriority w:val="0"/>
    <w:rPr>
      <w:rFonts w:ascii="宋体" w:hAnsi="宋体" w:cs="宋体"/>
      <w:sz w:val="18"/>
      <w:szCs w:val="18"/>
    </w:rPr>
  </w:style>
  <w:style w:type="character" w:customStyle="1" w:styleId="2036">
    <w:name w:val="未处理的提及2"/>
    <w:autoRedefine/>
    <w:unhideWhenUsed/>
    <w:qFormat/>
    <w:uiPriority w:val="99"/>
    <w:rPr>
      <w:color w:val="808080"/>
      <w:shd w:val="clear" w:color="auto" w:fill="E6E6E6"/>
    </w:rPr>
  </w:style>
  <w:style w:type="character" w:customStyle="1" w:styleId="2037">
    <w:name w:val="日期 Char2"/>
    <w:autoRedefine/>
    <w:qFormat/>
    <w:uiPriority w:val="0"/>
    <w:rPr>
      <w:rFonts w:ascii="Calibri" w:hAnsi="Calibri"/>
    </w:rPr>
  </w:style>
  <w:style w:type="character" w:customStyle="1" w:styleId="2038">
    <w:name w:val="标题 6 Char1"/>
    <w:autoRedefine/>
    <w:qFormat/>
    <w:uiPriority w:val="0"/>
    <w:rPr>
      <w:rFonts w:ascii="Times New Roman" w:hAnsi="Times New Roman" w:eastAsia="仿宋_GB2312" w:cs="Times New Roman"/>
      <w:i/>
      <w:iCs/>
      <w:color w:val="000000"/>
      <w:sz w:val="30"/>
      <w:szCs w:val="30"/>
      <w:lang w:val="zh-CN" w:eastAsia="zh-CN"/>
    </w:rPr>
  </w:style>
  <w:style w:type="character" w:customStyle="1" w:styleId="2039">
    <w:name w:val="标题 8 Char1"/>
    <w:autoRedefine/>
    <w:qFormat/>
    <w:uiPriority w:val="0"/>
    <w:rPr>
      <w:rFonts w:ascii="Arial" w:hAnsi="Arial" w:eastAsia="黑体" w:cs="Times New Roman"/>
      <w:kern w:val="0"/>
      <w:szCs w:val="20"/>
      <w:lang w:val="zh-CN" w:eastAsia="zh-CN"/>
    </w:rPr>
  </w:style>
  <w:style w:type="character" w:customStyle="1" w:styleId="2040">
    <w:name w:val="标题 1 字符"/>
    <w:autoRedefine/>
    <w:qFormat/>
    <w:uiPriority w:val="0"/>
    <w:rPr>
      <w:rFonts w:ascii="宋体" w:hAnsi="宋体" w:cs="宋体"/>
      <w:b/>
      <w:bCs/>
      <w:kern w:val="44"/>
      <w:sz w:val="44"/>
      <w:szCs w:val="44"/>
    </w:rPr>
  </w:style>
  <w:style w:type="character" w:customStyle="1" w:styleId="2041">
    <w:name w:val="标题 7 Char1"/>
    <w:autoRedefine/>
    <w:qFormat/>
    <w:uiPriority w:val="0"/>
    <w:rPr>
      <w:rFonts w:ascii="Times New Roman" w:hAnsi="Times New Roman" w:eastAsia="仿宋_GB2312" w:cs="Times New Roman"/>
      <w:b/>
      <w:bCs/>
      <w:kern w:val="0"/>
      <w:sz w:val="24"/>
      <w:szCs w:val="24"/>
    </w:rPr>
  </w:style>
  <w:style w:type="character" w:customStyle="1" w:styleId="2042">
    <w:name w:val="文档结构图 Char2"/>
    <w:autoRedefine/>
    <w:qFormat/>
    <w:uiPriority w:val="0"/>
    <w:rPr>
      <w:rFonts w:ascii="微软雅黑" w:hAnsi="微软雅黑" w:eastAsia="仿宋_GB2312"/>
      <w:sz w:val="18"/>
      <w:szCs w:val="18"/>
    </w:rPr>
  </w:style>
  <w:style w:type="character" w:customStyle="1" w:styleId="2043">
    <w:name w:val="正文文本缩进 字符"/>
    <w:autoRedefine/>
    <w:qFormat/>
    <w:uiPriority w:val="0"/>
    <w:rPr>
      <w:rFonts w:ascii="宋体"/>
      <w:kern w:val="2"/>
      <w:sz w:val="24"/>
      <w:szCs w:val="24"/>
    </w:rPr>
  </w:style>
  <w:style w:type="character" w:customStyle="1" w:styleId="2044">
    <w:name w:val="正文文本缩进 2 字符"/>
    <w:autoRedefine/>
    <w:qFormat/>
    <w:uiPriority w:val="0"/>
    <w:rPr>
      <w:rFonts w:hAnsi="宋体" w:cs="宋体"/>
      <w:sz w:val="24"/>
      <w:szCs w:val="24"/>
    </w:rPr>
  </w:style>
  <w:style w:type="character" w:customStyle="1" w:styleId="2045">
    <w:name w:val="正文文本 字符"/>
    <w:autoRedefine/>
    <w:qFormat/>
    <w:uiPriority w:val="0"/>
    <w:rPr>
      <w:rFonts w:ascii="宋体" w:hAnsi="宋体" w:cs="宋体"/>
      <w:sz w:val="24"/>
      <w:szCs w:val="24"/>
    </w:rPr>
  </w:style>
  <w:style w:type="character" w:customStyle="1" w:styleId="2046">
    <w:name w:val="pccs1"/>
    <w:autoRedefine/>
    <w:qFormat/>
    <w:uiPriority w:val="0"/>
    <w:rPr>
      <w:spacing w:val="360"/>
      <w:sz w:val="18"/>
      <w:szCs w:val="18"/>
    </w:rPr>
  </w:style>
  <w:style w:type="character" w:customStyle="1" w:styleId="2047">
    <w:name w:val="正文文本缩进 3 Char2"/>
    <w:autoRedefine/>
    <w:qFormat/>
    <w:uiPriority w:val="0"/>
    <w:rPr>
      <w:rFonts w:ascii="宋体" w:hAnsi="宋体" w:eastAsia="仿宋_GB2312" w:cs="宋体"/>
      <w:sz w:val="16"/>
      <w:szCs w:val="16"/>
    </w:rPr>
  </w:style>
  <w:style w:type="character" w:customStyle="1" w:styleId="2048">
    <w:name w:val="正文文本 2 Char2"/>
    <w:autoRedefine/>
    <w:qFormat/>
    <w:uiPriority w:val="0"/>
    <w:rPr>
      <w:rFonts w:eastAsia="仿宋_GB2312"/>
      <w:szCs w:val="21"/>
    </w:rPr>
  </w:style>
  <w:style w:type="character" w:customStyle="1" w:styleId="2049">
    <w:name w:val="纯文本 字符"/>
    <w:autoRedefine/>
    <w:qFormat/>
    <w:uiPriority w:val="0"/>
    <w:rPr>
      <w:rFonts w:ascii="宋体" w:hAnsi="Courier New" w:cs="宋体"/>
      <w:sz w:val="24"/>
    </w:rPr>
  </w:style>
  <w:style w:type="character" w:customStyle="1" w:styleId="2050">
    <w:name w:val="main-11"/>
    <w:autoRedefine/>
    <w:qFormat/>
    <w:uiPriority w:val="0"/>
  </w:style>
  <w:style w:type="character" w:customStyle="1" w:styleId="2051">
    <w:name w:val="main-1"/>
    <w:autoRedefine/>
    <w:qFormat/>
    <w:uiPriority w:val="0"/>
  </w:style>
  <w:style w:type="character" w:customStyle="1" w:styleId="2052">
    <w:name w:val="普通文字 Char6"/>
    <w:autoRedefine/>
    <w:qFormat/>
    <w:uiPriority w:val="0"/>
    <w:rPr>
      <w:rFonts w:ascii="宋体" w:eastAsia="宋体" w:cs="Courier New"/>
      <w:kern w:val="2"/>
      <w:sz w:val="21"/>
      <w:szCs w:val="21"/>
      <w:lang w:val="en-US" w:eastAsia="zh-CN" w:bidi="ar-SA"/>
    </w:rPr>
  </w:style>
  <w:style w:type="character" w:customStyle="1" w:styleId="2053">
    <w:name w:val="text_new"/>
    <w:autoRedefine/>
    <w:qFormat/>
    <w:uiPriority w:val="0"/>
  </w:style>
  <w:style w:type="character" w:customStyle="1" w:styleId="2054">
    <w:name w:val="正文缩进 Cha Char"/>
    <w:autoRedefine/>
    <w:qFormat/>
    <w:uiPriority w:val="0"/>
    <w:rPr>
      <w:rFonts w:eastAsia="宋体"/>
      <w:kern w:val="2"/>
      <w:sz w:val="28"/>
      <w:szCs w:val="24"/>
      <w:lang w:val="en-US" w:eastAsia="zh-CN" w:bidi="ar-SA"/>
    </w:rPr>
  </w:style>
  <w:style w:type="character" w:customStyle="1" w:styleId="2055">
    <w:name w:val="正文 Char"/>
    <w:autoRedefine/>
    <w:qFormat/>
    <w:uiPriority w:val="0"/>
    <w:rPr>
      <w:rFonts w:ascii="仿宋_GB2312" w:eastAsia="仿宋_GB2312"/>
      <w:color w:val="000000"/>
      <w:kern w:val="2"/>
      <w:sz w:val="28"/>
      <w:szCs w:val="24"/>
      <w:lang w:val="en-US" w:eastAsia="zh-CN" w:bidi="ar-SA"/>
    </w:rPr>
  </w:style>
  <w:style w:type="character" w:customStyle="1" w:styleId="2056">
    <w:name w:val="unnamed91"/>
    <w:autoRedefine/>
    <w:qFormat/>
    <w:uiPriority w:val="0"/>
    <w:rPr>
      <w:rFonts w:ascii="宋体" w:eastAsia="宋体"/>
      <w:color w:val="000000"/>
      <w:spacing w:val="375"/>
      <w:sz w:val="18"/>
      <w:szCs w:val="18"/>
      <w:u w:val="none"/>
    </w:rPr>
  </w:style>
  <w:style w:type="character" w:customStyle="1" w:styleId="2057">
    <w:name w:val="标题 21"/>
    <w:autoRedefine/>
    <w:qFormat/>
    <w:uiPriority w:val="0"/>
    <w:rPr>
      <w:rFonts w:ascii="黑体" w:eastAsia="黑体"/>
      <w:kern w:val="2"/>
      <w:sz w:val="36"/>
      <w:szCs w:val="32"/>
      <w:lang w:val="en-US" w:eastAsia="zh-CN" w:bidi="ar-SA"/>
    </w:rPr>
  </w:style>
  <w:style w:type="character" w:customStyle="1" w:styleId="2058">
    <w:name w:val="zjgblk1"/>
    <w:autoRedefine/>
    <w:qFormat/>
    <w:uiPriority w:val="0"/>
    <w:rPr>
      <w:color w:val="000000"/>
      <w:spacing w:val="336"/>
      <w:sz w:val="18"/>
      <w:szCs w:val="18"/>
      <w:u w:val="none"/>
    </w:rPr>
  </w:style>
  <w:style w:type="character" w:customStyle="1" w:styleId="2059">
    <w:name w:val="HTML 预设格式 Char2"/>
    <w:autoRedefine/>
    <w:qFormat/>
    <w:uiPriority w:val="0"/>
    <w:rPr>
      <w:rFonts w:eastAsia="仿宋_GB2312" w:cs="宋体"/>
      <w:szCs w:val="21"/>
    </w:rPr>
  </w:style>
  <w:style w:type="character" w:customStyle="1" w:styleId="2060">
    <w:name w:val="c121"/>
    <w:autoRedefine/>
    <w:qFormat/>
    <w:uiPriority w:val="0"/>
    <w:rPr>
      <w:color w:val="666666"/>
      <w:sz w:val="18"/>
      <w:szCs w:val="18"/>
      <w:u w:val="none"/>
    </w:rPr>
  </w:style>
  <w:style w:type="character" w:customStyle="1" w:styleId="2061">
    <w:name w:val="正文（首行缩进两字） Char Char1"/>
    <w:autoRedefine/>
    <w:qFormat/>
    <w:uiPriority w:val="0"/>
    <w:rPr>
      <w:rFonts w:eastAsia="宋体"/>
      <w:kern w:val="2"/>
      <w:sz w:val="28"/>
      <w:szCs w:val="24"/>
      <w:lang w:val="en-US" w:eastAsia="zh-CN" w:bidi="ar-SA"/>
    </w:rPr>
  </w:style>
  <w:style w:type="character" w:customStyle="1" w:styleId="2062">
    <w:name w:val="dectext1"/>
    <w:autoRedefine/>
    <w:qFormat/>
    <w:uiPriority w:val="0"/>
    <w:rPr>
      <w:rFonts w:ascii="宋体" w:eastAsia="宋体"/>
      <w:color w:val="333333"/>
      <w:sz w:val="21"/>
      <w:szCs w:val="21"/>
      <w:u w:val="none"/>
    </w:rPr>
  </w:style>
  <w:style w:type="character" w:customStyle="1" w:styleId="2063">
    <w:name w:val="占位符文本1"/>
    <w:autoRedefine/>
    <w:qFormat/>
    <w:uiPriority w:val="99"/>
    <w:rPr>
      <w:color w:val="808080"/>
    </w:rPr>
  </w:style>
  <w:style w:type="character" w:customStyle="1" w:styleId="2064">
    <w:name w:val="正文缩进4 Char"/>
    <w:link w:val="2065"/>
    <w:autoRedefine/>
    <w:qFormat/>
    <w:uiPriority w:val="0"/>
    <w:rPr>
      <w:rFonts w:ascii="仿宋_GB2312" w:eastAsia="仿宋_GB2312"/>
      <w:sz w:val="28"/>
      <w:szCs w:val="21"/>
    </w:rPr>
  </w:style>
  <w:style w:type="paragraph" w:customStyle="1" w:styleId="2065">
    <w:name w:val="正文缩进4"/>
    <w:basedOn w:val="1"/>
    <w:link w:val="2064"/>
    <w:autoRedefine/>
    <w:qFormat/>
    <w:uiPriority w:val="0"/>
    <w:pPr>
      <w:spacing w:line="500" w:lineRule="exact"/>
      <w:ind w:firstLine="200" w:firstLineChars="200"/>
    </w:pPr>
    <w:rPr>
      <w:rFonts w:ascii="仿宋_GB2312" w:eastAsia="仿宋_GB2312"/>
      <w:kern w:val="0"/>
      <w:sz w:val="28"/>
      <w:szCs w:val="21"/>
    </w:rPr>
  </w:style>
  <w:style w:type="character" w:customStyle="1" w:styleId="2066">
    <w:name w:val="表头1 Char"/>
    <w:autoRedefine/>
    <w:qFormat/>
    <w:uiPriority w:val="0"/>
    <w:rPr>
      <w:rFonts w:eastAsia="黑体"/>
      <w:szCs w:val="28"/>
    </w:rPr>
  </w:style>
  <w:style w:type="character" w:customStyle="1" w:styleId="2067">
    <w:name w:val="正文文本缩进 字符1"/>
    <w:autoRedefine/>
    <w:qFormat/>
    <w:uiPriority w:val="0"/>
    <w:rPr>
      <w:rFonts w:ascii="宋体" w:hAnsi="宋体" w:cs="宋体"/>
      <w:sz w:val="24"/>
    </w:rPr>
  </w:style>
  <w:style w:type="character" w:customStyle="1" w:styleId="2068">
    <w:name w:val="正文首行缩进 2 字符"/>
    <w:autoRedefine/>
    <w:qFormat/>
    <w:uiPriority w:val="0"/>
    <w:rPr>
      <w:rFonts w:ascii="宋体" w:hAnsi="宋体" w:eastAsia="仿宋_GB2312" w:cs="宋体"/>
      <w:kern w:val="2"/>
      <w:sz w:val="24"/>
      <w:szCs w:val="28"/>
    </w:rPr>
  </w:style>
  <w:style w:type="character" w:customStyle="1" w:styleId="2069">
    <w:name w:val="标题 字符"/>
    <w:autoRedefine/>
    <w:qFormat/>
    <w:uiPriority w:val="0"/>
    <w:rPr>
      <w:b/>
      <w:bCs/>
      <w:sz w:val="24"/>
      <w:szCs w:val="32"/>
    </w:rPr>
  </w:style>
  <w:style w:type="character" w:customStyle="1" w:styleId="2070">
    <w:name w:val="表格标题新 Char"/>
    <w:link w:val="2071"/>
    <w:autoRedefine/>
    <w:qFormat/>
    <w:uiPriority w:val="0"/>
    <w:rPr>
      <w:rFonts w:ascii="仿宋_GB2312" w:eastAsia="仿宋_GB2312"/>
      <w:spacing w:val="10"/>
      <w:sz w:val="24"/>
      <w:szCs w:val="21"/>
    </w:rPr>
  </w:style>
  <w:style w:type="paragraph" w:customStyle="1" w:styleId="2071">
    <w:name w:val="表格标题新"/>
    <w:basedOn w:val="375"/>
    <w:link w:val="2070"/>
    <w:autoRedefine/>
    <w:qFormat/>
    <w:uiPriority w:val="0"/>
    <w:pPr>
      <w:spacing w:before="100" w:beforeLines="50" w:after="100" w:afterLines="50" w:line="240" w:lineRule="auto"/>
    </w:pPr>
    <w:rPr>
      <w:rFonts w:ascii="仿宋_GB2312" w:hAnsi="Times New Roman" w:eastAsia="仿宋_GB2312" w:cs="Times New Roman"/>
      <w:snapToGrid/>
      <w:spacing w:val="10"/>
      <w:kern w:val="0"/>
      <w:sz w:val="24"/>
    </w:rPr>
  </w:style>
  <w:style w:type="character" w:customStyle="1" w:styleId="2072">
    <w:name w:val="keyword1"/>
    <w:autoRedefine/>
    <w:qFormat/>
    <w:uiPriority w:val="0"/>
    <w:rPr>
      <w:color w:val="FF0000"/>
    </w:rPr>
  </w:style>
  <w:style w:type="character" w:customStyle="1" w:styleId="2073">
    <w:name w:val="首行缩进 Char Char Char Char Char"/>
    <w:link w:val="2074"/>
    <w:autoRedefine/>
    <w:qFormat/>
    <w:uiPriority w:val="0"/>
    <w:rPr>
      <w:rFonts w:ascii="Arial" w:hAnsi="Arial" w:eastAsia="仿宋_GB2312"/>
      <w:sz w:val="28"/>
      <w:szCs w:val="28"/>
    </w:rPr>
  </w:style>
  <w:style w:type="paragraph" w:customStyle="1" w:styleId="2074">
    <w:name w:val="首行缩进 Char Char Char Char"/>
    <w:next w:val="1362"/>
    <w:link w:val="2073"/>
    <w:autoRedefine/>
    <w:qFormat/>
    <w:uiPriority w:val="0"/>
    <w:pPr>
      <w:ind w:firstLine="560"/>
    </w:pPr>
    <w:rPr>
      <w:rFonts w:ascii="Arial" w:hAnsi="Arial" w:eastAsia="仿宋_GB2312" w:cs="Times New Roman"/>
      <w:sz w:val="28"/>
      <w:szCs w:val="28"/>
      <w:lang w:val="en-US" w:eastAsia="zh-CN" w:bidi="ar-SA"/>
    </w:rPr>
  </w:style>
  <w:style w:type="character" w:customStyle="1" w:styleId="2075">
    <w:name w:val="biaoge"/>
    <w:autoRedefine/>
    <w:qFormat/>
    <w:uiPriority w:val="0"/>
  </w:style>
  <w:style w:type="character" w:customStyle="1" w:styleId="2076">
    <w:name w:val="Char Char11"/>
    <w:autoRedefine/>
    <w:qFormat/>
    <w:uiPriority w:val="0"/>
    <w:rPr>
      <w:rFonts w:ascii="Cambria" w:hAnsi="Cambria" w:eastAsia="宋体" w:cs="Times New Roman"/>
      <w:b/>
      <w:bCs/>
      <w:sz w:val="32"/>
      <w:szCs w:val="32"/>
    </w:rPr>
  </w:style>
  <w:style w:type="character" w:customStyle="1" w:styleId="2077">
    <w:name w:val="c"/>
    <w:autoRedefine/>
    <w:qFormat/>
    <w:uiPriority w:val="0"/>
  </w:style>
  <w:style w:type="character" w:customStyle="1" w:styleId="2078">
    <w:name w:val="at_0"/>
    <w:autoRedefine/>
    <w:qFormat/>
    <w:uiPriority w:val="0"/>
  </w:style>
  <w:style w:type="character" w:customStyle="1" w:styleId="2079">
    <w:name w:val="正文(首行缩进) Char Char"/>
    <w:autoRedefine/>
    <w:qFormat/>
    <w:uiPriority w:val="0"/>
    <w:rPr>
      <w:snapToGrid/>
      <w:sz w:val="24"/>
      <w:szCs w:val="24"/>
    </w:rPr>
  </w:style>
  <w:style w:type="character" w:customStyle="1" w:styleId="2080">
    <w:name w:val="表头文字 Char Char"/>
    <w:link w:val="2081"/>
    <w:autoRedefine/>
    <w:qFormat/>
    <w:uiPriority w:val="0"/>
    <w:rPr>
      <w:rFonts w:ascii="Calibri" w:hAnsi="Calibri" w:eastAsia="华文中宋"/>
      <w:b/>
      <w:szCs w:val="21"/>
    </w:rPr>
  </w:style>
  <w:style w:type="paragraph" w:customStyle="1" w:styleId="2081">
    <w:name w:val="表头文字 Char"/>
    <w:basedOn w:val="1"/>
    <w:link w:val="2080"/>
    <w:autoRedefine/>
    <w:qFormat/>
    <w:uiPriority w:val="0"/>
    <w:pPr>
      <w:spacing w:line="360" w:lineRule="auto"/>
      <w:jc w:val="center"/>
    </w:pPr>
    <w:rPr>
      <w:rFonts w:ascii="Calibri" w:hAnsi="Calibri" w:eastAsia="华文中宋"/>
      <w:b/>
      <w:kern w:val="0"/>
      <w:sz w:val="20"/>
      <w:szCs w:val="21"/>
    </w:rPr>
  </w:style>
  <w:style w:type="character" w:customStyle="1" w:styleId="2082">
    <w:name w:val="暂定图表名 Char Char Char"/>
    <w:link w:val="2083"/>
    <w:autoRedefine/>
    <w:qFormat/>
    <w:uiPriority w:val="0"/>
    <w:rPr>
      <w:rFonts w:ascii="Calibri" w:hAnsi="Calibri" w:eastAsia="楷体_GB2312"/>
      <w:b/>
      <w:color w:val="008000"/>
      <w:szCs w:val="28"/>
    </w:rPr>
  </w:style>
  <w:style w:type="paragraph" w:customStyle="1" w:styleId="2083">
    <w:name w:val="暂定图表名 Char Char"/>
    <w:basedOn w:val="1"/>
    <w:link w:val="2082"/>
    <w:autoRedefine/>
    <w:qFormat/>
    <w:uiPriority w:val="0"/>
    <w:pPr>
      <w:spacing w:line="360" w:lineRule="auto"/>
      <w:ind w:firstLine="200" w:firstLineChars="200"/>
    </w:pPr>
    <w:rPr>
      <w:rFonts w:ascii="Calibri" w:hAnsi="Calibri" w:eastAsia="楷体_GB2312"/>
      <w:b/>
      <w:color w:val="008000"/>
      <w:kern w:val="0"/>
      <w:sz w:val="20"/>
      <w:szCs w:val="28"/>
    </w:rPr>
  </w:style>
  <w:style w:type="character" w:customStyle="1" w:styleId="2084">
    <w:name w:val="表后段落 Char Char"/>
    <w:link w:val="2085"/>
    <w:autoRedefine/>
    <w:qFormat/>
    <w:uiPriority w:val="0"/>
    <w:rPr>
      <w:rFonts w:ascii="Calibri" w:hAnsi="Calibri" w:eastAsia="楷体_GB2312"/>
      <w:szCs w:val="28"/>
    </w:rPr>
  </w:style>
  <w:style w:type="paragraph" w:customStyle="1" w:styleId="2085">
    <w:name w:val="表后段落 Char"/>
    <w:basedOn w:val="1"/>
    <w:link w:val="2084"/>
    <w:autoRedefine/>
    <w:qFormat/>
    <w:uiPriority w:val="0"/>
    <w:pPr>
      <w:spacing w:beforeLines="75" w:line="360" w:lineRule="auto"/>
      <w:ind w:firstLine="200" w:firstLineChars="200"/>
    </w:pPr>
    <w:rPr>
      <w:rFonts w:ascii="Calibri" w:hAnsi="Calibri" w:eastAsia="楷体_GB2312"/>
      <w:kern w:val="0"/>
      <w:sz w:val="20"/>
      <w:szCs w:val="28"/>
    </w:rPr>
  </w:style>
  <w:style w:type="character" w:customStyle="1" w:styleId="2086">
    <w:name w:val="样式 (中文) 楷体_GB2312 四号"/>
    <w:autoRedefine/>
    <w:qFormat/>
    <w:uiPriority w:val="0"/>
    <w:rPr>
      <w:rFonts w:eastAsia="楷体_GB2312"/>
      <w:spacing w:val="8"/>
      <w:kern w:val="0"/>
      <w:sz w:val="28"/>
    </w:rPr>
  </w:style>
  <w:style w:type="character" w:customStyle="1" w:styleId="2087">
    <w:name w:val="题3 Char Char"/>
    <w:link w:val="2088"/>
    <w:autoRedefine/>
    <w:qFormat/>
    <w:uiPriority w:val="0"/>
    <w:rPr>
      <w:rFonts w:ascii="宋体" w:eastAsia="仿宋_GB2312"/>
      <w:b/>
      <w:bCs/>
      <w:sz w:val="28"/>
      <w:szCs w:val="24"/>
    </w:rPr>
  </w:style>
  <w:style w:type="paragraph" w:customStyle="1" w:styleId="2088">
    <w:name w:val="题3"/>
    <w:basedOn w:val="5"/>
    <w:link w:val="2087"/>
    <w:autoRedefine/>
    <w:qFormat/>
    <w:uiPriority w:val="0"/>
    <w:pPr>
      <w:adjustRightInd w:val="0"/>
      <w:snapToGrid w:val="0"/>
      <w:spacing w:beforeLines="50" w:afterLines="50" w:line="360" w:lineRule="auto"/>
    </w:pPr>
    <w:rPr>
      <w:rFonts w:ascii="宋体" w:hAnsi="Times New Roman" w:eastAsia="仿宋_GB2312" w:cs="Times New Roman"/>
      <w:kern w:val="0"/>
      <w:sz w:val="28"/>
      <w:szCs w:val="24"/>
    </w:rPr>
  </w:style>
  <w:style w:type="character" w:customStyle="1" w:styleId="2089">
    <w:name w:val="article"/>
    <w:autoRedefine/>
    <w:qFormat/>
    <w:uiPriority w:val="0"/>
  </w:style>
  <w:style w:type="character" w:customStyle="1" w:styleId="2090">
    <w:name w:val="3zw"/>
    <w:autoRedefine/>
    <w:qFormat/>
    <w:uiPriority w:val="0"/>
  </w:style>
  <w:style w:type="character" w:customStyle="1" w:styleId="2091">
    <w:name w:val="font14_160 style19"/>
    <w:autoRedefine/>
    <w:qFormat/>
    <w:uiPriority w:val="0"/>
  </w:style>
  <w:style w:type="character" w:customStyle="1" w:styleId="2092">
    <w:name w:val="un"/>
    <w:autoRedefine/>
    <w:qFormat/>
    <w:uiPriority w:val="0"/>
  </w:style>
  <w:style w:type="character" w:customStyle="1" w:styleId="2093">
    <w:name w:val="首行缩进 Char Char"/>
    <w:link w:val="2094"/>
    <w:autoRedefine/>
    <w:qFormat/>
    <w:uiPriority w:val="0"/>
    <w:rPr>
      <w:rFonts w:ascii="Arial" w:hAnsi="Arial" w:eastAsia="仿宋_GB2312" w:cs="Arial"/>
      <w:sz w:val="28"/>
      <w:szCs w:val="28"/>
    </w:rPr>
  </w:style>
  <w:style w:type="paragraph" w:customStyle="1" w:styleId="2094">
    <w:name w:val="首行缩进 Char"/>
    <w:basedOn w:val="1"/>
    <w:link w:val="2093"/>
    <w:autoRedefine/>
    <w:qFormat/>
    <w:uiPriority w:val="0"/>
    <w:pPr>
      <w:widowControl/>
      <w:ind w:firstLine="560"/>
      <w:jc w:val="left"/>
    </w:pPr>
    <w:rPr>
      <w:rFonts w:ascii="Arial" w:hAnsi="Arial" w:eastAsia="仿宋_GB2312" w:cs="Arial"/>
      <w:kern w:val="0"/>
      <w:sz w:val="28"/>
      <w:szCs w:val="28"/>
    </w:rPr>
  </w:style>
  <w:style w:type="character" w:customStyle="1" w:styleId="2095">
    <w:name w:val="word21"/>
    <w:autoRedefine/>
    <w:qFormat/>
    <w:uiPriority w:val="0"/>
    <w:rPr>
      <w:rFonts w:ascii="宋体" w:eastAsia="宋体"/>
      <w:color w:val="828282"/>
      <w:sz w:val="20"/>
      <w:szCs w:val="20"/>
    </w:rPr>
  </w:style>
  <w:style w:type="character" w:customStyle="1" w:styleId="2096">
    <w:name w:val="topword"/>
    <w:autoRedefine/>
    <w:qFormat/>
    <w:uiPriority w:val="0"/>
  </w:style>
  <w:style w:type="character" w:customStyle="1" w:styleId="2097">
    <w:name w:val="p31"/>
    <w:autoRedefine/>
    <w:qFormat/>
    <w:uiPriority w:val="0"/>
    <w:rPr>
      <w:rFonts w:ascii="文鼎粗行楷简" w:eastAsia="文鼎粗行楷简"/>
      <w:color w:val="FF0000"/>
      <w:sz w:val="30"/>
      <w:szCs w:val="30"/>
    </w:rPr>
  </w:style>
  <w:style w:type="character" w:customStyle="1" w:styleId="2098">
    <w:name w:val="postbody1"/>
    <w:autoRedefine/>
    <w:qFormat/>
    <w:uiPriority w:val="0"/>
    <w:rPr>
      <w:sz w:val="20"/>
      <w:szCs w:val="20"/>
    </w:rPr>
  </w:style>
  <w:style w:type="character" w:customStyle="1" w:styleId="2099">
    <w:name w:val="c1"/>
    <w:autoRedefine/>
    <w:qFormat/>
    <w:uiPriority w:val="0"/>
    <w:rPr>
      <w:color w:val="000000"/>
      <w:sz w:val="21"/>
      <w:szCs w:val="21"/>
      <w:u w:val="none"/>
    </w:rPr>
  </w:style>
  <w:style w:type="character" w:customStyle="1" w:styleId="2100">
    <w:name w:val="article11"/>
    <w:autoRedefine/>
    <w:qFormat/>
    <w:uiPriority w:val="0"/>
    <w:rPr>
      <w:color w:val="333333"/>
      <w:sz w:val="21"/>
      <w:szCs w:val="21"/>
    </w:rPr>
  </w:style>
  <w:style w:type="character" w:customStyle="1" w:styleId="2101">
    <w:name w:val="ak1"/>
    <w:autoRedefine/>
    <w:qFormat/>
    <w:uiPriority w:val="0"/>
    <w:rPr>
      <w:sz w:val="18"/>
      <w:szCs w:val="18"/>
      <w:u w:val="none"/>
    </w:rPr>
  </w:style>
  <w:style w:type="character" w:customStyle="1" w:styleId="2102">
    <w:name w:val="105v1"/>
    <w:autoRedefine/>
    <w:qFormat/>
    <w:uiPriority w:val="0"/>
    <w:rPr>
      <w:rFonts w:ascii="宋体" w:eastAsia="宋体"/>
      <w:sz w:val="21"/>
      <w:szCs w:val="21"/>
    </w:rPr>
  </w:style>
  <w:style w:type="character" w:customStyle="1" w:styleId="2103">
    <w:name w:val="样式 标题 3 + 宋体 小四 Char"/>
    <w:autoRedefine/>
    <w:qFormat/>
    <w:uiPriority w:val="0"/>
    <w:rPr>
      <w:rFonts w:ascii="宋体" w:hAnsi="宋体" w:eastAsia="黑体"/>
      <w:bCs/>
      <w:kern w:val="2"/>
      <w:sz w:val="24"/>
      <w:szCs w:val="32"/>
      <w:lang w:val="en-US" w:eastAsia="zh-CN" w:bidi="ar-SA"/>
    </w:rPr>
  </w:style>
  <w:style w:type="character" w:customStyle="1" w:styleId="2104">
    <w:name w:val="e91"/>
    <w:autoRedefine/>
    <w:qFormat/>
    <w:uiPriority w:val="0"/>
    <w:rPr>
      <w:rFonts w:ascii="Arial" w:hAnsi="Arial" w:cs="Arial"/>
      <w:sz w:val="21"/>
      <w:szCs w:val="21"/>
    </w:rPr>
  </w:style>
  <w:style w:type="character" w:customStyle="1" w:styleId="2105">
    <w:name w:val="首行缩进 Char Char Char"/>
    <w:autoRedefine/>
    <w:qFormat/>
    <w:uiPriority w:val="0"/>
    <w:rPr>
      <w:rFonts w:ascii="Arial" w:hAnsi="Arial" w:eastAsia="仿宋_GB2312" w:cs="Arial"/>
      <w:kern w:val="2"/>
      <w:sz w:val="28"/>
      <w:szCs w:val="28"/>
      <w:lang w:val="en-US" w:eastAsia="zh-CN" w:bidi="ar-SA"/>
    </w:rPr>
  </w:style>
  <w:style w:type="character" w:customStyle="1" w:styleId="2106">
    <w:name w:val="head121"/>
    <w:autoRedefine/>
    <w:qFormat/>
    <w:uiPriority w:val="0"/>
    <w:rPr>
      <w:sz w:val="22"/>
      <w:szCs w:val="22"/>
    </w:rPr>
  </w:style>
  <w:style w:type="character" w:customStyle="1" w:styleId="2107">
    <w:name w:val="表正 Char"/>
    <w:autoRedefine/>
    <w:qFormat/>
    <w:uiPriority w:val="0"/>
    <w:rPr>
      <w:rFonts w:eastAsia="宋体"/>
      <w:kern w:val="2"/>
      <w:sz w:val="21"/>
      <w:lang w:val="en-US" w:eastAsia="zh-CN" w:bidi="ar-SA"/>
    </w:rPr>
  </w:style>
  <w:style w:type="character" w:customStyle="1" w:styleId="2108">
    <w:name w:val="ourfont11"/>
    <w:autoRedefine/>
    <w:qFormat/>
    <w:uiPriority w:val="0"/>
    <w:rPr>
      <w:sz w:val="20"/>
      <w:szCs w:val="20"/>
    </w:rPr>
  </w:style>
  <w:style w:type="character" w:customStyle="1" w:styleId="2109">
    <w:name w:val="正文（首行缩进两字） Char Char Char Char Char Char Char Char Char Char Char Char Char"/>
    <w:autoRedefine/>
    <w:qFormat/>
    <w:uiPriority w:val="0"/>
    <w:rPr>
      <w:rFonts w:ascii="仿宋_GB2312" w:eastAsia="仿宋_GB2312"/>
      <w:color w:val="000000"/>
      <w:kern w:val="2"/>
      <w:sz w:val="28"/>
      <w:szCs w:val="24"/>
      <w:lang w:val="en-US" w:eastAsia="zh-CN" w:bidi="ar-SA"/>
    </w:rPr>
  </w:style>
  <w:style w:type="character" w:customStyle="1" w:styleId="2110">
    <w:name w:val="desctext1"/>
    <w:autoRedefine/>
    <w:qFormat/>
    <w:uiPriority w:val="0"/>
    <w:rPr>
      <w:spacing w:val="17"/>
      <w:sz w:val="21"/>
      <w:szCs w:val="21"/>
    </w:rPr>
  </w:style>
  <w:style w:type="character" w:customStyle="1" w:styleId="2111">
    <w:name w:val="line181"/>
    <w:autoRedefine/>
    <w:qFormat/>
    <w:uiPriority w:val="0"/>
  </w:style>
  <w:style w:type="character" w:customStyle="1" w:styleId="2112">
    <w:name w:val="Char Char13"/>
    <w:autoRedefine/>
    <w:qFormat/>
    <w:uiPriority w:val="0"/>
    <w:rPr>
      <w:rFonts w:ascii="宋体" w:cs="宋体"/>
      <w:sz w:val="24"/>
      <w:szCs w:val="24"/>
    </w:rPr>
  </w:style>
  <w:style w:type="character" w:customStyle="1" w:styleId="2113">
    <w:name w:val="Char Char12"/>
    <w:autoRedefine/>
    <w:qFormat/>
    <w:uiPriority w:val="0"/>
    <w:rPr>
      <w:kern w:val="2"/>
      <w:sz w:val="18"/>
      <w:szCs w:val="18"/>
    </w:rPr>
  </w:style>
  <w:style w:type="character" w:customStyle="1" w:styleId="2114">
    <w:name w:val="文本匡小五号 Char Char Char"/>
    <w:autoRedefine/>
    <w:qFormat/>
    <w:uiPriority w:val="0"/>
    <w:rPr>
      <w:rFonts w:ascii="宋体" w:hAnsi="宋体" w:eastAsia="仿宋_GB2312" w:cs="Courier New"/>
      <w:kern w:val="2"/>
      <w:sz w:val="18"/>
      <w:szCs w:val="24"/>
      <w:lang w:val="en-US" w:eastAsia="zh-CN" w:bidi="ar-SA"/>
    </w:rPr>
  </w:style>
  <w:style w:type="character" w:customStyle="1" w:styleId="2115">
    <w:name w:val="文本框五号 Char Char Char"/>
    <w:autoRedefine/>
    <w:qFormat/>
    <w:uiPriority w:val="0"/>
    <w:rPr>
      <w:rFonts w:ascii="宋体" w:hAnsi="宋体" w:eastAsia="仿宋_GB2312" w:cs="Courier New"/>
      <w:kern w:val="2"/>
      <w:sz w:val="21"/>
      <w:szCs w:val="21"/>
      <w:lang w:val="en-US" w:eastAsia="zh-CN" w:bidi="ar-SA"/>
    </w:rPr>
  </w:style>
  <w:style w:type="character" w:customStyle="1" w:styleId="2116">
    <w:name w:val="文本框五号 Char Char Char Char"/>
    <w:autoRedefine/>
    <w:qFormat/>
    <w:uiPriority w:val="0"/>
    <w:rPr>
      <w:rFonts w:ascii="宋体" w:hAnsi="宋体" w:eastAsia="仿宋_GB2312" w:cs="Courier New"/>
      <w:kern w:val="2"/>
      <w:sz w:val="21"/>
      <w:szCs w:val="21"/>
      <w:lang w:val="en-US" w:eastAsia="zh-CN" w:bidi="ar-SA"/>
    </w:rPr>
  </w:style>
  <w:style w:type="character" w:customStyle="1" w:styleId="2117">
    <w:name w:val="文本框五号1.5倍行距 Char Char"/>
    <w:autoRedefine/>
    <w:qFormat/>
    <w:uiPriority w:val="0"/>
    <w:rPr>
      <w:rFonts w:ascii="宋体" w:hAnsi="宋体" w:eastAsia="仿宋_GB2312" w:cs="Courier New"/>
      <w:kern w:val="2"/>
      <w:sz w:val="21"/>
      <w:szCs w:val="21"/>
      <w:lang w:val="en-US" w:eastAsia="zh-CN" w:bidi="ar-SA"/>
    </w:rPr>
  </w:style>
  <w:style w:type="character" w:customStyle="1" w:styleId="2118">
    <w:name w:val="文本框小四 Char Char"/>
    <w:autoRedefine/>
    <w:qFormat/>
    <w:uiPriority w:val="0"/>
    <w:rPr>
      <w:rFonts w:ascii="宋体" w:hAnsi="宋体" w:eastAsia="仿宋_GB2312" w:cs="Courier New"/>
      <w:kern w:val="2"/>
      <w:sz w:val="24"/>
      <w:szCs w:val="24"/>
      <w:lang w:val="en-US" w:eastAsia="zh-CN" w:bidi="ar-SA"/>
    </w:rPr>
  </w:style>
  <w:style w:type="character" w:customStyle="1" w:styleId="2119">
    <w:name w:val="样式 (西文) 宋体 (中文) 仿宋_GB2312 黑色"/>
    <w:autoRedefine/>
    <w:qFormat/>
    <w:uiPriority w:val="0"/>
    <w:rPr>
      <w:rFonts w:ascii="Times New Roman" w:hAnsi="Times New Roman" w:eastAsia="仿宋_GB2312" w:cs="Courier New"/>
      <w:color w:val="000000"/>
      <w:kern w:val="2"/>
      <w:sz w:val="32"/>
      <w:szCs w:val="32"/>
      <w:lang w:val="en-US" w:eastAsia="zh-CN" w:bidi="ar-SA"/>
    </w:rPr>
  </w:style>
  <w:style w:type="character" w:customStyle="1" w:styleId="2120">
    <w:name w:val="样式 仿宋_GB2312 小四 黑色"/>
    <w:autoRedefine/>
    <w:qFormat/>
    <w:uiPriority w:val="0"/>
    <w:rPr>
      <w:rFonts w:ascii="Times New Roman" w:hAnsi="Times New Roman" w:eastAsia="仿宋_GB2312" w:cs="Courier New"/>
      <w:color w:val="000000"/>
      <w:kern w:val="2"/>
      <w:sz w:val="24"/>
      <w:szCs w:val="24"/>
      <w:lang w:val="en-US" w:eastAsia="zh-CN" w:bidi="ar-SA"/>
    </w:rPr>
  </w:style>
  <w:style w:type="character" w:customStyle="1" w:styleId="2121">
    <w:name w:val="样式 仿宋_GB2312 小四2"/>
    <w:autoRedefine/>
    <w:qFormat/>
    <w:uiPriority w:val="0"/>
    <w:rPr>
      <w:rFonts w:ascii="Times New Roman" w:hAnsi="Times New Roman" w:eastAsia="仿宋_GB2312" w:cs="Courier New"/>
      <w:kern w:val="2"/>
      <w:sz w:val="24"/>
      <w:szCs w:val="24"/>
      <w:lang w:val="en-US" w:eastAsia="zh-CN" w:bidi="ar-SA"/>
    </w:rPr>
  </w:style>
  <w:style w:type="character" w:customStyle="1" w:styleId="2122">
    <w:name w:val="mainfirst1"/>
    <w:autoRedefine/>
    <w:qFormat/>
    <w:uiPriority w:val="0"/>
    <w:rPr>
      <w:rFonts w:ascii="宋体" w:hAnsi="宋体" w:eastAsia="黑体" w:cs="宋体"/>
      <w:b/>
      <w:bCs/>
      <w:color w:val="FF0000"/>
      <w:kern w:val="2"/>
      <w:sz w:val="36"/>
      <w:szCs w:val="36"/>
      <w:lang w:val="en-US" w:eastAsia="zh-CN" w:bidi="ar-SA"/>
    </w:rPr>
  </w:style>
  <w:style w:type="character" w:customStyle="1" w:styleId="2123">
    <w:name w:val="普通文字 Char Char Char Char Char C Char Char Char Char Char Char Char"/>
    <w:autoRedefine/>
    <w:qFormat/>
    <w:uiPriority w:val="0"/>
    <w:rPr>
      <w:rFonts w:ascii="宋体" w:eastAsia="宋体" w:cs="宋体"/>
      <w:kern w:val="2"/>
      <w:sz w:val="28"/>
      <w:szCs w:val="24"/>
      <w:lang w:val="en-US" w:eastAsia="zh-CN" w:bidi="ar-SA"/>
    </w:rPr>
  </w:style>
  <w:style w:type="character" w:customStyle="1" w:styleId="2124">
    <w:name w:val="redfont"/>
    <w:autoRedefine/>
    <w:qFormat/>
    <w:uiPriority w:val="0"/>
    <w:rPr>
      <w:rFonts w:ascii="宋体" w:hAnsi="宋体" w:eastAsia="黑体" w:cs="宋体"/>
      <w:kern w:val="2"/>
      <w:sz w:val="28"/>
      <w:szCs w:val="24"/>
      <w:lang w:val="en-US" w:eastAsia="zh-CN" w:bidi="ar-SA"/>
    </w:rPr>
  </w:style>
  <w:style w:type="character" w:customStyle="1" w:styleId="2125">
    <w:name w:val="123YJ Char Char"/>
    <w:autoRedefine/>
    <w:qFormat/>
    <w:uiPriority w:val="0"/>
    <w:rPr>
      <w:kern w:val="2"/>
      <w:sz w:val="18"/>
      <w:szCs w:val="18"/>
    </w:rPr>
  </w:style>
  <w:style w:type="character" w:customStyle="1" w:styleId="2126">
    <w:name w:val="样式 黑体 小四"/>
    <w:autoRedefine/>
    <w:qFormat/>
    <w:uiPriority w:val="0"/>
    <w:rPr>
      <w:rFonts w:ascii="黑体" w:eastAsia="黑体"/>
      <w:sz w:val="24"/>
    </w:rPr>
  </w:style>
  <w:style w:type="character" w:customStyle="1" w:styleId="2127">
    <w:name w:val="正文(首行缩进) Char1"/>
    <w:autoRedefine/>
    <w:qFormat/>
    <w:uiPriority w:val="0"/>
    <w:rPr>
      <w:rFonts w:eastAsia="宋体"/>
      <w:snapToGrid/>
      <w:color w:val="000000"/>
      <w:sz w:val="24"/>
      <w:szCs w:val="24"/>
      <w:lang w:val="en-US" w:eastAsia="zh-CN" w:bidi="ar-SA"/>
    </w:rPr>
  </w:style>
  <w:style w:type="character" w:customStyle="1" w:styleId="2128">
    <w:name w:val="正文(首行缩进) Char2"/>
    <w:autoRedefine/>
    <w:qFormat/>
    <w:uiPriority w:val="0"/>
    <w:rPr>
      <w:rFonts w:eastAsia="黑体"/>
      <w:bCs/>
      <w:snapToGrid/>
      <w:color w:val="000000"/>
      <w:kern w:val="2"/>
      <w:sz w:val="24"/>
      <w:lang w:val="en-US" w:eastAsia="zh-CN" w:bidi="ar-SA"/>
    </w:rPr>
  </w:style>
  <w:style w:type="character" w:customStyle="1" w:styleId="2129">
    <w:name w:val="Char Char16"/>
    <w:autoRedefine/>
    <w:qFormat/>
    <w:uiPriority w:val="0"/>
    <w:rPr>
      <w:rFonts w:ascii="宋体"/>
      <w:b/>
      <w:bCs/>
      <w:kern w:val="2"/>
      <w:sz w:val="24"/>
      <w:szCs w:val="24"/>
    </w:rPr>
  </w:style>
  <w:style w:type="character" w:customStyle="1" w:styleId="2130">
    <w:name w:val="Char Char15"/>
    <w:autoRedefine/>
    <w:qFormat/>
    <w:uiPriority w:val="0"/>
    <w:rPr>
      <w:kern w:val="2"/>
      <w:sz w:val="24"/>
      <w:szCs w:val="24"/>
    </w:rPr>
  </w:style>
  <w:style w:type="character" w:customStyle="1" w:styleId="2131">
    <w:name w:val="正文首行缩进 Char1 Char Char"/>
    <w:autoRedefine/>
    <w:qFormat/>
    <w:uiPriority w:val="0"/>
    <w:rPr>
      <w:kern w:val="2"/>
      <w:sz w:val="21"/>
      <w:szCs w:val="24"/>
    </w:rPr>
  </w:style>
  <w:style w:type="character" w:customStyle="1" w:styleId="2132">
    <w:name w:val="样式 标题 3标题 3 Char标题 3 Char Char Char Char Char Char Char Char C...5 Char"/>
    <w:autoRedefine/>
    <w:qFormat/>
    <w:uiPriority w:val="0"/>
    <w:rPr>
      <w:rFonts w:eastAsia="宋体"/>
      <w:kern w:val="2"/>
      <w:sz w:val="24"/>
      <w:szCs w:val="32"/>
      <w:lang w:val="en-US" w:eastAsia="zh-CN" w:bidi="ar-SA"/>
    </w:rPr>
  </w:style>
  <w:style w:type="character" w:customStyle="1" w:styleId="2133">
    <w:name w:val="我的样式（正文） Char Char"/>
    <w:autoRedefine/>
    <w:qFormat/>
    <w:uiPriority w:val="0"/>
    <w:rPr>
      <w:rFonts w:ascii="宋体" w:eastAsia="宋体"/>
      <w:kern w:val="2"/>
      <w:sz w:val="24"/>
      <w:szCs w:val="24"/>
      <w:lang w:val="en-US" w:eastAsia="zh-CN" w:bidi="ar-SA"/>
    </w:rPr>
  </w:style>
  <w:style w:type="character" w:customStyle="1" w:styleId="2134">
    <w:name w:val="Indent 1 Char"/>
    <w:autoRedefine/>
    <w:qFormat/>
    <w:uiPriority w:val="0"/>
    <w:rPr>
      <w:rFonts w:eastAsia="宋体"/>
      <w:kern w:val="2"/>
      <w:sz w:val="24"/>
      <w:szCs w:val="24"/>
      <w:lang w:val="en-US" w:eastAsia="zh-CN" w:bidi="ar-SA"/>
    </w:rPr>
  </w:style>
  <w:style w:type="character" w:customStyle="1" w:styleId="2135">
    <w:name w:val="kuan21"/>
    <w:autoRedefine/>
    <w:qFormat/>
    <w:uiPriority w:val="0"/>
  </w:style>
  <w:style w:type="character" w:customStyle="1" w:styleId="2136">
    <w:name w:val="font241"/>
    <w:autoRedefine/>
    <w:qFormat/>
    <w:uiPriority w:val="0"/>
    <w:rPr>
      <w:sz w:val="25"/>
      <w:szCs w:val="25"/>
    </w:rPr>
  </w:style>
  <w:style w:type="character" w:customStyle="1" w:styleId="2137">
    <w:name w:val="dec_font_style1"/>
    <w:autoRedefine/>
    <w:qFormat/>
    <w:uiPriority w:val="0"/>
    <w:rPr>
      <w:sz w:val="21"/>
      <w:szCs w:val="21"/>
    </w:rPr>
  </w:style>
  <w:style w:type="character" w:customStyle="1" w:styleId="2138">
    <w:name w:val="unnamed2 style1"/>
    <w:autoRedefine/>
    <w:qFormat/>
    <w:uiPriority w:val="0"/>
  </w:style>
  <w:style w:type="character" w:customStyle="1" w:styleId="2139">
    <w:name w:val="title detail style10"/>
    <w:autoRedefine/>
    <w:qFormat/>
    <w:uiPriority w:val="0"/>
  </w:style>
  <w:style w:type="character" w:customStyle="1" w:styleId="2140">
    <w:name w:val="10dpi1"/>
    <w:autoRedefine/>
    <w:qFormat/>
    <w:uiPriority w:val="0"/>
    <w:rPr>
      <w:spacing w:val="20"/>
      <w:sz w:val="21"/>
      <w:szCs w:val="21"/>
    </w:rPr>
  </w:style>
  <w:style w:type="character" w:customStyle="1" w:styleId="2141">
    <w:name w:val="图框文字 Char Char"/>
    <w:autoRedefine/>
    <w:qFormat/>
    <w:uiPriority w:val="0"/>
    <w:rPr>
      <w:rFonts w:eastAsia="宋体" w:cs="宋体"/>
      <w:spacing w:val="4"/>
      <w:kern w:val="2"/>
      <w:sz w:val="21"/>
      <w:szCs w:val="21"/>
      <w:lang w:val="en-US" w:eastAsia="zh-CN" w:bidi="ar-SA"/>
    </w:rPr>
  </w:style>
  <w:style w:type="character" w:customStyle="1" w:styleId="2142">
    <w:name w:val="product_all_main_text"/>
    <w:autoRedefine/>
    <w:qFormat/>
    <w:uiPriority w:val="0"/>
  </w:style>
  <w:style w:type="character" w:customStyle="1" w:styleId="2143">
    <w:name w:val="title141"/>
    <w:autoRedefine/>
    <w:qFormat/>
    <w:uiPriority w:val="0"/>
    <w:rPr>
      <w:sz w:val="18"/>
      <w:szCs w:val="18"/>
      <w:u w:val="none"/>
    </w:rPr>
  </w:style>
  <w:style w:type="character" w:customStyle="1" w:styleId="2144">
    <w:name w:val="f241"/>
    <w:autoRedefine/>
    <w:qFormat/>
    <w:uiPriority w:val="0"/>
    <w:rPr>
      <w:sz w:val="29"/>
      <w:szCs w:val="29"/>
    </w:rPr>
  </w:style>
  <w:style w:type="character" w:customStyle="1" w:styleId="2145">
    <w:name w:val="javascript1"/>
    <w:autoRedefine/>
    <w:qFormat/>
    <w:uiPriority w:val="0"/>
    <w:rPr>
      <w:rFonts w:ascii="Tahoma" w:hAnsi="Tahoma" w:cs="Tahoma"/>
      <w:sz w:val="14"/>
      <w:szCs w:val="14"/>
    </w:rPr>
  </w:style>
  <w:style w:type="character" w:customStyle="1" w:styleId="2146">
    <w:name w:val="f141"/>
    <w:autoRedefine/>
    <w:qFormat/>
    <w:uiPriority w:val="0"/>
    <w:rPr>
      <w:sz w:val="21"/>
      <w:szCs w:val="21"/>
    </w:rPr>
  </w:style>
  <w:style w:type="character" w:customStyle="1" w:styleId="2147">
    <w:name w:val="profile1"/>
    <w:autoRedefine/>
    <w:qFormat/>
    <w:uiPriority w:val="0"/>
    <w:rPr>
      <w:rFonts w:ascii="Verdana" w:hAnsi="Verdana"/>
      <w:color w:val="575757"/>
      <w:sz w:val="18"/>
      <w:szCs w:val="18"/>
    </w:rPr>
  </w:style>
  <w:style w:type="character" w:customStyle="1" w:styleId="2148">
    <w:name w:val="正文01 Char1"/>
    <w:autoRedefine/>
    <w:qFormat/>
    <w:uiPriority w:val="0"/>
    <w:rPr>
      <w:rFonts w:eastAsia="宋体"/>
      <w:kern w:val="2"/>
      <w:sz w:val="24"/>
      <w:szCs w:val="24"/>
      <w:lang w:val="en-US" w:eastAsia="zh-CN" w:bidi="ar-SA"/>
    </w:rPr>
  </w:style>
  <w:style w:type="character" w:customStyle="1" w:styleId="2149">
    <w:name w:val="px121"/>
    <w:autoRedefine/>
    <w:qFormat/>
    <w:uiPriority w:val="0"/>
  </w:style>
  <w:style w:type="character" w:customStyle="1" w:styleId="2150">
    <w:name w:val="条标题1.1.1 Char Char"/>
    <w:autoRedefine/>
    <w:qFormat/>
    <w:uiPriority w:val="0"/>
    <w:rPr>
      <w:rFonts w:eastAsia="宋体"/>
      <w:sz w:val="24"/>
      <w:lang w:val="en-US" w:eastAsia="zh-CN" w:bidi="ar-SA"/>
    </w:rPr>
  </w:style>
  <w:style w:type="character" w:customStyle="1" w:styleId="2151">
    <w:name w:val="节 Char Char"/>
    <w:autoRedefine/>
    <w:qFormat/>
    <w:uiPriority w:val="0"/>
    <w:rPr>
      <w:rFonts w:ascii="黑体" w:eastAsia="黑体"/>
      <w:b/>
      <w:bCs/>
      <w:kern w:val="2"/>
      <w:sz w:val="28"/>
      <w:szCs w:val="32"/>
      <w:lang w:val="en-US" w:eastAsia="zh-CN" w:bidi="ar-SA"/>
    </w:rPr>
  </w:style>
  <w:style w:type="character" w:customStyle="1" w:styleId="2152">
    <w:name w:val="纯文本1 Char"/>
    <w:autoRedefine/>
    <w:qFormat/>
    <w:uiPriority w:val="0"/>
    <w:rPr>
      <w:rFonts w:ascii="Arial" w:hAnsi="Arial" w:eastAsia="宋体"/>
      <w:snapToGrid/>
      <w:sz w:val="24"/>
      <w:lang w:val="en-US" w:eastAsia="zh-CN" w:bidi="ar-SA"/>
    </w:rPr>
  </w:style>
  <w:style w:type="character" w:customStyle="1" w:styleId="2153">
    <w:name w:val="line1"/>
    <w:autoRedefine/>
    <w:qFormat/>
    <w:uiPriority w:val="0"/>
  </w:style>
  <w:style w:type="character" w:customStyle="1" w:styleId="2154">
    <w:name w:val="grame"/>
    <w:autoRedefine/>
    <w:qFormat/>
    <w:uiPriority w:val="0"/>
  </w:style>
  <w:style w:type="character" w:customStyle="1" w:styleId="2155">
    <w:name w:val="unnamed2"/>
    <w:autoRedefine/>
    <w:qFormat/>
    <w:uiPriority w:val="0"/>
  </w:style>
  <w:style w:type="character" w:customStyle="1" w:styleId="2156">
    <w:name w:val="spelle"/>
    <w:autoRedefine/>
    <w:qFormat/>
    <w:uiPriority w:val="0"/>
  </w:style>
  <w:style w:type="character" w:customStyle="1" w:styleId="2157">
    <w:name w:val="line_h221"/>
    <w:autoRedefine/>
    <w:qFormat/>
    <w:uiPriority w:val="0"/>
  </w:style>
  <w:style w:type="character" w:customStyle="1" w:styleId="2158">
    <w:name w:val="脚注文本 Char1"/>
    <w:autoRedefine/>
    <w:qFormat/>
    <w:uiPriority w:val="0"/>
    <w:rPr>
      <w:rFonts w:ascii="Times New Roman" w:hAnsi="Times New Roman" w:eastAsia="宋体" w:cs="Times New Roman"/>
      <w:sz w:val="18"/>
      <w:szCs w:val="18"/>
    </w:rPr>
  </w:style>
  <w:style w:type="character" w:customStyle="1" w:styleId="2159">
    <w:name w:val="标题6"/>
    <w:autoRedefine/>
    <w:qFormat/>
    <w:uiPriority w:val="0"/>
  </w:style>
  <w:style w:type="character" w:customStyle="1" w:styleId="2160">
    <w:name w:val="Char Char131"/>
    <w:autoRedefine/>
    <w:qFormat/>
    <w:uiPriority w:val="0"/>
    <w:rPr>
      <w:rFonts w:ascii="宋体" w:cs="宋体"/>
      <w:sz w:val="24"/>
      <w:szCs w:val="24"/>
    </w:rPr>
  </w:style>
  <w:style w:type="character" w:customStyle="1" w:styleId="2161">
    <w:name w:val="Char Char121"/>
    <w:autoRedefine/>
    <w:qFormat/>
    <w:uiPriority w:val="0"/>
    <w:rPr>
      <w:kern w:val="2"/>
      <w:sz w:val="18"/>
      <w:szCs w:val="18"/>
    </w:rPr>
  </w:style>
  <w:style w:type="character" w:customStyle="1" w:styleId="2162">
    <w:name w:val="Char Char161"/>
    <w:autoRedefine/>
    <w:qFormat/>
    <w:uiPriority w:val="0"/>
    <w:rPr>
      <w:rFonts w:ascii="宋体"/>
      <w:b/>
      <w:bCs/>
      <w:kern w:val="2"/>
      <w:sz w:val="24"/>
      <w:szCs w:val="24"/>
    </w:rPr>
  </w:style>
  <w:style w:type="character" w:customStyle="1" w:styleId="2163">
    <w:name w:val="Char Char171"/>
    <w:autoRedefine/>
    <w:qFormat/>
    <w:uiPriority w:val="0"/>
    <w:rPr>
      <w:kern w:val="2"/>
      <w:sz w:val="21"/>
      <w:szCs w:val="24"/>
      <w:shd w:val="clear" w:color="auto" w:fill="000080"/>
    </w:rPr>
  </w:style>
  <w:style w:type="character" w:customStyle="1" w:styleId="2164">
    <w:name w:val="Char Char141"/>
    <w:autoRedefine/>
    <w:qFormat/>
    <w:uiPriority w:val="0"/>
    <w:rPr>
      <w:rFonts w:ascii="Arial" w:hAnsi="Arial" w:eastAsia="黑体" w:cs="Arial"/>
      <w:b/>
      <w:bCs/>
      <w:kern w:val="2"/>
      <w:sz w:val="32"/>
      <w:szCs w:val="32"/>
    </w:rPr>
  </w:style>
  <w:style w:type="character" w:customStyle="1" w:styleId="2165">
    <w:name w:val="Char Char151"/>
    <w:autoRedefine/>
    <w:qFormat/>
    <w:uiPriority w:val="0"/>
    <w:rPr>
      <w:kern w:val="2"/>
      <w:sz w:val="24"/>
      <w:szCs w:val="24"/>
    </w:rPr>
  </w:style>
  <w:style w:type="character" w:customStyle="1" w:styleId="2166">
    <w:name w:val="页脚 Char2"/>
    <w:autoRedefine/>
    <w:qFormat/>
    <w:uiPriority w:val="0"/>
    <w:rPr>
      <w:kern w:val="2"/>
      <w:sz w:val="18"/>
      <w:szCs w:val="18"/>
    </w:rPr>
  </w:style>
  <w:style w:type="character" w:customStyle="1" w:styleId="2167">
    <w:name w:val="样式1 Char Char"/>
    <w:autoRedefine/>
    <w:qFormat/>
    <w:uiPriority w:val="0"/>
    <w:rPr>
      <w:rFonts w:ascii="宋体" w:eastAsia="宋体"/>
      <w:kern w:val="2"/>
      <w:sz w:val="21"/>
      <w:szCs w:val="24"/>
      <w:lang w:val="en-US" w:eastAsia="zh-CN" w:bidi="ar-SA"/>
    </w:rPr>
  </w:style>
  <w:style w:type="character" w:customStyle="1" w:styleId="2168">
    <w:name w:val="ourfont31"/>
    <w:autoRedefine/>
    <w:qFormat/>
    <w:uiPriority w:val="0"/>
    <w:rPr>
      <w:spacing w:val="20"/>
      <w:sz w:val="21"/>
      <w:szCs w:val="21"/>
    </w:rPr>
  </w:style>
  <w:style w:type="character" w:customStyle="1" w:styleId="2169">
    <w:name w:val="black1"/>
    <w:autoRedefine/>
    <w:qFormat/>
    <w:uiPriority w:val="0"/>
    <w:rPr>
      <w:color w:val="000000"/>
      <w:sz w:val="18"/>
      <w:szCs w:val="18"/>
      <w:u w:val="none"/>
    </w:rPr>
  </w:style>
  <w:style w:type="character" w:customStyle="1" w:styleId="2170">
    <w:name w:val="正文首行缩进 Char6"/>
    <w:autoRedefine/>
    <w:qFormat/>
    <w:uiPriority w:val="0"/>
    <w:rPr>
      <w:rFonts w:ascii="仿宋_GB2312" w:eastAsia="仿宋_GB2312"/>
      <w:kern w:val="2"/>
      <w:sz w:val="21"/>
      <w:szCs w:val="24"/>
    </w:rPr>
  </w:style>
  <w:style w:type="character" w:customStyle="1" w:styleId="2171">
    <w:name w:val="正文样式 Char1"/>
    <w:autoRedefine/>
    <w:qFormat/>
    <w:uiPriority w:val="0"/>
    <w:rPr>
      <w:rFonts w:ascii="宋体"/>
      <w:kern w:val="2"/>
      <w:sz w:val="24"/>
      <w:szCs w:val="24"/>
    </w:rPr>
  </w:style>
  <w:style w:type="character" w:customStyle="1" w:styleId="2172">
    <w:name w:val="HTML 预设格式 Char1"/>
    <w:autoRedefine/>
    <w:qFormat/>
    <w:uiPriority w:val="0"/>
    <w:rPr>
      <w:rFonts w:ascii="宋体"/>
      <w:sz w:val="24"/>
      <w:szCs w:val="24"/>
    </w:rPr>
  </w:style>
  <w:style w:type="character" w:customStyle="1" w:styleId="2173">
    <w:name w:val="表文字 Char1"/>
    <w:autoRedefine/>
    <w:qFormat/>
    <w:uiPriority w:val="0"/>
    <w:rPr>
      <w:rFonts w:eastAsia="宋体"/>
      <w:sz w:val="21"/>
      <w:szCs w:val="21"/>
      <w:lang w:val="en-US" w:eastAsia="zh-CN" w:bidi="ar-SA"/>
    </w:rPr>
  </w:style>
  <w:style w:type="character" w:customStyle="1" w:styleId="2174">
    <w:name w:val="font02"/>
    <w:autoRedefine/>
    <w:qFormat/>
    <w:uiPriority w:val="0"/>
  </w:style>
  <w:style w:type="character" w:customStyle="1" w:styleId="2175">
    <w:name w:val="docpro"/>
    <w:autoRedefine/>
    <w:qFormat/>
    <w:uiPriority w:val="0"/>
  </w:style>
  <w:style w:type="character" w:customStyle="1" w:styleId="2176">
    <w:name w:val="textindent"/>
    <w:autoRedefine/>
    <w:qFormat/>
    <w:uiPriority w:val="0"/>
  </w:style>
  <w:style w:type="character" w:customStyle="1" w:styleId="2177">
    <w:name w:val="Char4 Char Char Char Char2"/>
    <w:autoRedefine/>
    <w:qFormat/>
    <w:uiPriority w:val="0"/>
    <w:rPr>
      <w:rFonts w:eastAsia="仿宋_GB2312"/>
      <w:kern w:val="2"/>
      <w:sz w:val="28"/>
      <w:szCs w:val="24"/>
      <w:lang w:val="en-US" w:eastAsia="zh-CN" w:bidi="ar-SA"/>
    </w:rPr>
  </w:style>
  <w:style w:type="character" w:customStyle="1" w:styleId="2178">
    <w:name w:val="Char4 Char Char Char Char11"/>
    <w:autoRedefine/>
    <w:qFormat/>
    <w:uiPriority w:val="0"/>
    <w:rPr>
      <w:rFonts w:eastAsia="仿宋_GB2312"/>
      <w:kern w:val="2"/>
      <w:sz w:val="28"/>
      <w:szCs w:val="24"/>
      <w:lang w:val="en-US" w:eastAsia="zh-CN" w:bidi="ar-SA"/>
    </w:rPr>
  </w:style>
  <w:style w:type="character" w:customStyle="1" w:styleId="2179">
    <w:name w:val="节标题 1.1 Char Char1"/>
    <w:autoRedefine/>
    <w:qFormat/>
    <w:uiPriority w:val="0"/>
  </w:style>
  <w:style w:type="character" w:customStyle="1" w:styleId="2180">
    <w:name w:val="ourfont3"/>
    <w:autoRedefine/>
    <w:qFormat/>
    <w:uiPriority w:val="0"/>
  </w:style>
  <w:style w:type="character" w:customStyle="1" w:styleId="2181">
    <w:name w:val="text31"/>
    <w:autoRedefine/>
    <w:qFormat/>
    <w:uiPriority w:val="0"/>
    <w:rPr>
      <w:rFonts w:ascii="宋体" w:eastAsia="宋体"/>
      <w:color w:val="673434"/>
      <w:kern w:val="2"/>
      <w:sz w:val="22"/>
      <w:szCs w:val="22"/>
      <w:u w:val="none"/>
      <w:lang w:val="en-US" w:eastAsia="zh-CN" w:bidi="ar-SA"/>
    </w:rPr>
  </w:style>
  <w:style w:type="character" w:customStyle="1" w:styleId="2182">
    <w:name w:val="册除格式 Char Char Char"/>
    <w:autoRedefine/>
    <w:qFormat/>
    <w:uiPriority w:val="0"/>
    <w:rPr>
      <w:rFonts w:ascii="黑体" w:hAnsi="黑体" w:eastAsia="宋体" w:cs="Arial"/>
      <w:snapToGrid/>
      <w:spacing w:val="4"/>
      <w:kern w:val="18"/>
      <w:sz w:val="24"/>
      <w:szCs w:val="28"/>
      <w:lang w:val="en-US" w:eastAsia="zh-CN" w:bidi="ar-SA"/>
    </w:rPr>
  </w:style>
  <w:style w:type="character" w:customStyle="1" w:styleId="2183">
    <w:name w:val="gray"/>
    <w:autoRedefine/>
    <w:qFormat/>
    <w:uiPriority w:val="0"/>
  </w:style>
  <w:style w:type="character" w:customStyle="1" w:styleId="2184">
    <w:name w:val="Char Char9"/>
    <w:autoRedefine/>
    <w:qFormat/>
    <w:uiPriority w:val="0"/>
    <w:rPr>
      <w:kern w:val="2"/>
      <w:sz w:val="18"/>
      <w:szCs w:val="18"/>
    </w:rPr>
  </w:style>
  <w:style w:type="character" w:customStyle="1" w:styleId="2185">
    <w:name w:val="标题 3 Char Char Char Char"/>
    <w:autoRedefine/>
    <w:qFormat/>
    <w:uiPriority w:val="0"/>
    <w:rPr>
      <w:rFonts w:eastAsia="宋体"/>
      <w:b/>
      <w:bCs/>
      <w:kern w:val="2"/>
      <w:sz w:val="32"/>
      <w:szCs w:val="32"/>
      <w:lang w:val="en-US" w:eastAsia="zh-CN" w:bidi="ar-SA"/>
    </w:rPr>
  </w:style>
  <w:style w:type="character" w:customStyle="1" w:styleId="2186">
    <w:name w:val="节标题 1.1 Char Char"/>
    <w:autoRedefine/>
    <w:qFormat/>
    <w:uiPriority w:val="0"/>
    <w:rPr>
      <w:rFonts w:ascii="仿宋_GB2312" w:eastAsia="仿宋_GB2312"/>
      <w:b/>
      <w:bCs/>
      <w:kern w:val="2"/>
      <w:sz w:val="32"/>
      <w:szCs w:val="32"/>
      <w:lang w:val="en-US" w:eastAsia="zh-CN" w:bidi="ar-SA"/>
    </w:rPr>
  </w:style>
  <w:style w:type="character" w:customStyle="1" w:styleId="2187">
    <w:name w:val="font13px21"/>
    <w:autoRedefine/>
    <w:qFormat/>
    <w:uiPriority w:val="0"/>
    <w:rPr>
      <w:b/>
      <w:bCs/>
      <w:color w:val="2480C2"/>
      <w:sz w:val="20"/>
      <w:szCs w:val="20"/>
    </w:rPr>
  </w:style>
  <w:style w:type="character" w:customStyle="1" w:styleId="2188">
    <w:name w:val="text11"/>
    <w:autoRedefine/>
    <w:qFormat/>
    <w:uiPriority w:val="0"/>
    <w:rPr>
      <w:rFonts w:ascii="ˎ̥" w:hAnsi="ˎ̥"/>
      <w:color w:val="000000"/>
      <w:sz w:val="22"/>
      <w:szCs w:val="22"/>
    </w:rPr>
  </w:style>
  <w:style w:type="character" w:customStyle="1" w:styleId="2189">
    <w:name w:val="style331"/>
    <w:autoRedefine/>
    <w:qFormat/>
    <w:uiPriority w:val="0"/>
    <w:rPr>
      <w:sz w:val="18"/>
      <w:szCs w:val="18"/>
    </w:rPr>
  </w:style>
  <w:style w:type="character" w:customStyle="1" w:styleId="2190">
    <w:name w:val="style321"/>
    <w:autoRedefine/>
    <w:qFormat/>
    <w:uiPriority w:val="0"/>
    <w:rPr>
      <w:sz w:val="18"/>
      <w:szCs w:val="18"/>
    </w:rPr>
  </w:style>
  <w:style w:type="character" w:customStyle="1" w:styleId="2191">
    <w:name w:val="p9l1"/>
    <w:autoRedefine/>
    <w:qFormat/>
    <w:uiPriority w:val="0"/>
    <w:rPr>
      <w:sz w:val="18"/>
      <w:szCs w:val="18"/>
      <w:u w:val="none"/>
    </w:rPr>
  </w:style>
  <w:style w:type="character" w:customStyle="1" w:styleId="2192">
    <w:name w:val="wz1"/>
    <w:autoRedefine/>
    <w:qFormat/>
    <w:uiPriority w:val="0"/>
    <w:rPr>
      <w:color w:val="660033"/>
      <w:sz w:val="20"/>
      <w:szCs w:val="20"/>
    </w:rPr>
  </w:style>
  <w:style w:type="character" w:customStyle="1" w:styleId="2193">
    <w:name w:val="tdword"/>
    <w:autoRedefine/>
    <w:qFormat/>
    <w:uiPriority w:val="0"/>
  </w:style>
  <w:style w:type="character" w:customStyle="1" w:styleId="2194">
    <w:name w:val="bluetext"/>
    <w:autoRedefine/>
    <w:qFormat/>
    <w:uiPriority w:val="0"/>
  </w:style>
  <w:style w:type="character" w:customStyle="1" w:styleId="2195">
    <w:name w:val="标题7"/>
    <w:autoRedefine/>
    <w:qFormat/>
    <w:uiPriority w:val="0"/>
  </w:style>
  <w:style w:type="character" w:customStyle="1" w:styleId="2196">
    <w:name w:val="css-text3"/>
    <w:autoRedefine/>
    <w:qFormat/>
    <w:uiPriority w:val="0"/>
  </w:style>
  <w:style w:type="character" w:customStyle="1" w:styleId="2197">
    <w:name w:val="普通文字3 Char"/>
    <w:autoRedefine/>
    <w:qFormat/>
    <w:uiPriority w:val="0"/>
    <w:rPr>
      <w:rFonts w:ascii="宋体" w:eastAsia="宋体"/>
      <w:color w:val="000000"/>
      <w:kern w:val="2"/>
      <w:sz w:val="21"/>
      <w:lang w:val="en-US" w:eastAsia="zh-CN" w:bidi="ar-SA"/>
    </w:rPr>
  </w:style>
  <w:style w:type="character" w:customStyle="1" w:styleId="2198">
    <w:name w:val="第一层条 Char6"/>
    <w:autoRedefine/>
    <w:qFormat/>
    <w:uiPriority w:val="0"/>
    <w:rPr>
      <w:rFonts w:eastAsia="宋体"/>
      <w:b/>
      <w:kern w:val="2"/>
      <w:sz w:val="32"/>
      <w:szCs w:val="32"/>
      <w:lang w:val="en-US" w:eastAsia="zh-CN" w:bidi="ar-SA"/>
    </w:rPr>
  </w:style>
  <w:style w:type="character" w:customStyle="1" w:styleId="2199">
    <w:name w:val="Char Char152"/>
    <w:autoRedefine/>
    <w:qFormat/>
    <w:uiPriority w:val="0"/>
    <w:rPr>
      <w:rFonts w:ascii="宋体" w:eastAsia="宋体"/>
      <w:kern w:val="2"/>
      <w:sz w:val="24"/>
      <w:szCs w:val="24"/>
      <w:lang w:val="en-US" w:eastAsia="zh-CN" w:bidi="ar-SA"/>
    </w:rPr>
  </w:style>
  <w:style w:type="character" w:customStyle="1" w:styleId="2200">
    <w:name w:val="正文文字 3 Char Char5"/>
    <w:autoRedefine/>
    <w:qFormat/>
    <w:uiPriority w:val="0"/>
    <w:rPr>
      <w:rFonts w:eastAsia="仿宋_GB2312"/>
      <w:kern w:val="2"/>
      <w:sz w:val="28"/>
      <w:szCs w:val="24"/>
      <w:lang w:val="en-US" w:eastAsia="zh-CN" w:bidi="ar-SA"/>
    </w:rPr>
  </w:style>
  <w:style w:type="character" w:customStyle="1" w:styleId="2201">
    <w:name w:val="Char Char142"/>
    <w:autoRedefine/>
    <w:qFormat/>
    <w:uiPriority w:val="0"/>
    <w:rPr>
      <w:rFonts w:eastAsia="宋体"/>
      <w:kern w:val="2"/>
      <w:sz w:val="18"/>
      <w:szCs w:val="18"/>
      <w:lang w:val="en-US" w:eastAsia="zh-CN" w:bidi="ar-SA"/>
    </w:rPr>
  </w:style>
  <w:style w:type="character" w:customStyle="1" w:styleId="2202">
    <w:name w:val="Char Char132"/>
    <w:autoRedefine/>
    <w:qFormat/>
    <w:uiPriority w:val="0"/>
    <w:rPr>
      <w:rFonts w:ascii="仿宋_GB2312" w:eastAsia="仿宋_GB2312"/>
      <w:kern w:val="2"/>
      <w:sz w:val="28"/>
      <w:szCs w:val="24"/>
      <w:lang w:val="en-US" w:eastAsia="zh-CN" w:bidi="ar-SA"/>
    </w:rPr>
  </w:style>
  <w:style w:type="character" w:customStyle="1" w:styleId="2203">
    <w:name w:val="Char Char122"/>
    <w:autoRedefine/>
    <w:qFormat/>
    <w:uiPriority w:val="0"/>
    <w:rPr>
      <w:rFonts w:ascii="Arial" w:hAnsi="Arial" w:eastAsia="宋体" w:cs="Arial"/>
      <w:b/>
      <w:bCs/>
      <w:kern w:val="2"/>
      <w:sz w:val="32"/>
      <w:szCs w:val="32"/>
      <w:lang w:val="en-US" w:eastAsia="zh-CN" w:bidi="ar-SA"/>
    </w:rPr>
  </w:style>
  <w:style w:type="character" w:customStyle="1" w:styleId="2204">
    <w:name w:val="Char Char7"/>
    <w:autoRedefine/>
    <w:qFormat/>
    <w:uiPriority w:val="0"/>
    <w:rPr>
      <w:rFonts w:eastAsia="宋体"/>
      <w:kern w:val="2"/>
      <w:sz w:val="18"/>
      <w:szCs w:val="18"/>
      <w:lang w:val="en-US" w:eastAsia="zh-CN" w:bidi="ar-SA"/>
    </w:rPr>
  </w:style>
  <w:style w:type="character" w:customStyle="1" w:styleId="2205">
    <w:name w:val="16p"/>
    <w:autoRedefine/>
    <w:qFormat/>
    <w:uiPriority w:val="0"/>
  </w:style>
  <w:style w:type="character" w:customStyle="1" w:styleId="2206">
    <w:name w:val="td1"/>
    <w:autoRedefine/>
    <w:qFormat/>
    <w:uiPriority w:val="0"/>
    <w:rPr>
      <w:color w:val="000000"/>
      <w:sz w:val="21"/>
      <w:szCs w:val="21"/>
    </w:rPr>
  </w:style>
  <w:style w:type="character" w:customStyle="1" w:styleId="2207">
    <w:name w:val="s lh15"/>
    <w:autoRedefine/>
    <w:qFormat/>
    <w:uiPriority w:val="0"/>
  </w:style>
  <w:style w:type="character" w:customStyle="1" w:styleId="2208">
    <w:name w:val="paragragh1"/>
    <w:autoRedefine/>
    <w:qFormat/>
    <w:uiPriority w:val="0"/>
    <w:rPr>
      <w:color w:val="004040"/>
      <w:spacing w:val="300"/>
      <w:sz w:val="21"/>
      <w:szCs w:val="21"/>
    </w:rPr>
  </w:style>
  <w:style w:type="character" w:customStyle="1" w:styleId="2209">
    <w:name w:val="al11"/>
    <w:autoRedefine/>
    <w:qFormat/>
    <w:uiPriority w:val="0"/>
    <w:rPr>
      <w:color w:val="333333"/>
      <w:sz w:val="18"/>
      <w:szCs w:val="18"/>
    </w:rPr>
  </w:style>
  <w:style w:type="character" w:customStyle="1" w:styleId="2210">
    <w:name w:val="td21"/>
    <w:autoRedefine/>
    <w:qFormat/>
    <w:uiPriority w:val="0"/>
    <w:rPr>
      <w:sz w:val="21"/>
      <w:szCs w:val="21"/>
      <w:u w:val="none"/>
    </w:rPr>
  </w:style>
  <w:style w:type="character" w:customStyle="1" w:styleId="2211">
    <w:name w:val="haogao1"/>
    <w:autoRedefine/>
    <w:qFormat/>
    <w:uiPriority w:val="0"/>
  </w:style>
  <w:style w:type="character" w:customStyle="1" w:styleId="2212">
    <w:name w:val="高表单 Char Char"/>
    <w:autoRedefine/>
    <w:qFormat/>
    <w:uiPriority w:val="0"/>
    <w:rPr>
      <w:rFonts w:ascii="Arial" w:hAnsi="Arial" w:eastAsia="宋体"/>
      <w:kern w:val="2"/>
      <w:sz w:val="21"/>
      <w:szCs w:val="21"/>
      <w:lang w:val="en-US" w:eastAsia="zh-CN" w:bidi="ar-SA"/>
    </w:rPr>
  </w:style>
  <w:style w:type="character" w:customStyle="1" w:styleId="2213">
    <w:name w:val="未命名11"/>
    <w:autoRedefine/>
    <w:qFormat/>
    <w:uiPriority w:val="0"/>
    <w:rPr>
      <w:rFonts w:ascii="宋体" w:eastAsia="宋体"/>
      <w:sz w:val="18"/>
      <w:szCs w:val="18"/>
    </w:rPr>
  </w:style>
  <w:style w:type="character" w:customStyle="1" w:styleId="2214">
    <w:name w:val="b14-1-no1"/>
    <w:autoRedefine/>
    <w:qFormat/>
    <w:uiPriority w:val="0"/>
    <w:rPr>
      <w:color w:val="2E2E2E"/>
      <w:spacing w:val="270"/>
      <w:sz w:val="20"/>
      <w:szCs w:val="20"/>
      <w:u w:val="none"/>
    </w:rPr>
  </w:style>
  <w:style w:type="character" w:customStyle="1" w:styleId="2215">
    <w:name w:val="m_b21"/>
    <w:autoRedefine/>
    <w:qFormat/>
    <w:uiPriority w:val="0"/>
    <w:rPr>
      <w:b/>
      <w:bCs/>
      <w:spacing w:val="360"/>
      <w:sz w:val="26"/>
      <w:szCs w:val="26"/>
    </w:rPr>
  </w:style>
  <w:style w:type="character" w:customStyle="1" w:styleId="2216">
    <w:name w:val="m_b11"/>
    <w:autoRedefine/>
    <w:qFormat/>
    <w:uiPriority w:val="0"/>
    <w:rPr>
      <w:b/>
      <w:bCs/>
      <w:spacing w:val="336"/>
      <w:sz w:val="24"/>
      <w:szCs w:val="24"/>
    </w:rPr>
  </w:style>
  <w:style w:type="character" w:customStyle="1" w:styleId="2217">
    <w:name w:val="f_heading1"/>
    <w:autoRedefine/>
    <w:qFormat/>
    <w:uiPriority w:val="0"/>
  </w:style>
  <w:style w:type="character" w:customStyle="1" w:styleId="2218">
    <w:name w:val="L4 Char Char"/>
    <w:autoRedefine/>
    <w:qFormat/>
    <w:uiPriority w:val="0"/>
    <w:rPr>
      <w:rFonts w:eastAsia="仿宋_GB2312"/>
      <w:bCs/>
      <w:snapToGrid/>
      <w:sz w:val="28"/>
      <w:szCs w:val="28"/>
      <w:lang w:val="en-US" w:eastAsia="zh-CN" w:bidi="ar-SA"/>
    </w:rPr>
  </w:style>
  <w:style w:type="character" w:customStyle="1" w:styleId="2219">
    <w:name w:val="infodetail"/>
    <w:autoRedefine/>
    <w:qFormat/>
    <w:uiPriority w:val="0"/>
  </w:style>
  <w:style w:type="character" w:customStyle="1" w:styleId="2220">
    <w:name w:val="Char Char91"/>
    <w:autoRedefine/>
    <w:qFormat/>
    <w:uiPriority w:val="0"/>
    <w:rPr>
      <w:kern w:val="2"/>
      <w:sz w:val="18"/>
      <w:szCs w:val="18"/>
    </w:rPr>
  </w:style>
  <w:style w:type="character" w:customStyle="1" w:styleId="2221">
    <w:name w:val="Char Char8"/>
    <w:autoRedefine/>
    <w:qFormat/>
    <w:uiPriority w:val="0"/>
    <w:rPr>
      <w:rFonts w:ascii="宋体"/>
      <w:kern w:val="2"/>
      <w:sz w:val="24"/>
      <w:szCs w:val="24"/>
    </w:rPr>
  </w:style>
  <w:style w:type="character" w:customStyle="1" w:styleId="2222">
    <w:name w:val="work4"/>
    <w:autoRedefine/>
    <w:qFormat/>
    <w:uiPriority w:val="0"/>
    <w:rPr>
      <w:spacing w:val="360"/>
      <w:sz w:val="18"/>
      <w:szCs w:val="18"/>
      <w:u w:val="none"/>
    </w:rPr>
  </w:style>
  <w:style w:type="character" w:customStyle="1" w:styleId="2223">
    <w:name w:val="txt21"/>
    <w:autoRedefine/>
    <w:qFormat/>
    <w:uiPriority w:val="0"/>
    <w:rPr>
      <w:color w:val="000066"/>
      <w:sz w:val="18"/>
      <w:szCs w:val="18"/>
    </w:rPr>
  </w:style>
  <w:style w:type="character" w:customStyle="1" w:styleId="2224">
    <w:name w:val="环正文 Char3"/>
    <w:autoRedefine/>
    <w:qFormat/>
    <w:uiPriority w:val="0"/>
    <w:rPr>
      <w:rFonts w:ascii="宋体" w:eastAsia="宋体" w:cs="Courier New"/>
      <w:sz w:val="24"/>
      <w:lang w:val="en-US" w:eastAsia="zh-CN" w:bidi="ar-SA"/>
    </w:rPr>
  </w:style>
  <w:style w:type="character" w:customStyle="1" w:styleId="2225">
    <w:name w:val="newstxt"/>
    <w:autoRedefine/>
    <w:qFormat/>
    <w:uiPriority w:val="0"/>
  </w:style>
  <w:style w:type="character" w:customStyle="1" w:styleId="2226">
    <w:name w:val="环正文 Char1"/>
    <w:autoRedefine/>
    <w:qFormat/>
    <w:uiPriority w:val="0"/>
    <w:rPr>
      <w:rFonts w:eastAsia="宋体"/>
      <w:color w:val="000000"/>
      <w:sz w:val="24"/>
      <w:szCs w:val="24"/>
      <w:lang w:val="en-US" w:eastAsia="zh-CN" w:bidi="ar-SA"/>
    </w:rPr>
  </w:style>
  <w:style w:type="character" w:customStyle="1" w:styleId="2227">
    <w:name w:val="环正文 Char4"/>
    <w:autoRedefine/>
    <w:qFormat/>
    <w:uiPriority w:val="0"/>
    <w:rPr>
      <w:rFonts w:ascii="宋体" w:eastAsia="宋体"/>
      <w:color w:val="000000"/>
      <w:sz w:val="24"/>
      <w:lang w:val="en-US" w:eastAsia="zh-CN" w:bidi="ar-SA"/>
    </w:rPr>
  </w:style>
  <w:style w:type="character" w:customStyle="1" w:styleId="2228">
    <w:name w:val="环表头 Char2"/>
    <w:autoRedefine/>
    <w:qFormat/>
    <w:uiPriority w:val="0"/>
    <w:rPr>
      <w:rFonts w:ascii="宋体" w:eastAsia="宋体"/>
      <w:color w:val="000000"/>
      <w:sz w:val="24"/>
      <w:lang w:val="en-US" w:eastAsia="zh-CN" w:bidi="ar-SA"/>
    </w:rPr>
  </w:style>
  <w:style w:type="character" w:customStyle="1" w:styleId="2229">
    <w:name w:val="环正文 Char2"/>
    <w:autoRedefine/>
    <w:qFormat/>
    <w:uiPriority w:val="0"/>
    <w:rPr>
      <w:rFonts w:ascii="宋体" w:eastAsia="宋体"/>
      <w:sz w:val="24"/>
      <w:lang w:val="en-US" w:eastAsia="zh-CN" w:bidi="ar-SA"/>
    </w:rPr>
  </w:style>
  <w:style w:type="character" w:customStyle="1" w:styleId="2230">
    <w:name w:val="环标2 Char"/>
    <w:autoRedefine/>
    <w:qFormat/>
    <w:uiPriority w:val="0"/>
    <w:rPr>
      <w:rFonts w:ascii="Arial" w:hAnsi="Arial" w:eastAsia="黑体"/>
      <w:kern w:val="2"/>
      <w:sz w:val="32"/>
      <w:szCs w:val="24"/>
      <w:lang w:val="en-US" w:eastAsia="zh-CN" w:bidi="ar-SA"/>
    </w:rPr>
  </w:style>
  <w:style w:type="character" w:customStyle="1" w:styleId="2231">
    <w:name w:val="环表头 Char"/>
    <w:autoRedefine/>
    <w:qFormat/>
    <w:uiPriority w:val="0"/>
    <w:rPr>
      <w:rFonts w:ascii="宋体" w:eastAsia="宋体"/>
      <w:sz w:val="24"/>
      <w:lang w:val="en-US" w:eastAsia="zh-CN" w:bidi="ar-SA"/>
    </w:rPr>
  </w:style>
  <w:style w:type="character" w:customStyle="1" w:styleId="2232">
    <w:name w:val="环标1 Char"/>
    <w:autoRedefine/>
    <w:qFormat/>
    <w:uiPriority w:val="0"/>
  </w:style>
  <w:style w:type="character" w:customStyle="1" w:styleId="2233">
    <w:name w:val="环表头 Char1"/>
    <w:autoRedefine/>
    <w:qFormat/>
    <w:uiPriority w:val="0"/>
    <w:rPr>
      <w:rFonts w:ascii="黑体" w:eastAsia="黑体" w:cs="Courier New"/>
      <w:color w:val="000000"/>
      <w:sz w:val="24"/>
      <w:szCs w:val="24"/>
      <w:lang w:val="en-US" w:eastAsia="zh-CN" w:bidi="ar-SA"/>
    </w:rPr>
  </w:style>
  <w:style w:type="character" w:customStyle="1" w:styleId="2234">
    <w:name w:val="样式 楷体_GB2312 四号"/>
    <w:autoRedefine/>
    <w:qFormat/>
    <w:uiPriority w:val="0"/>
    <w:rPr>
      <w:rFonts w:ascii="Times New Roman" w:hAnsi="Times New Roman" w:eastAsia="楷体_GB2312"/>
      <w:sz w:val="28"/>
      <w:szCs w:val="28"/>
    </w:rPr>
  </w:style>
  <w:style w:type="character" w:customStyle="1" w:styleId="2235">
    <w:name w:val="f41"/>
    <w:autoRedefine/>
    <w:qFormat/>
    <w:uiPriority w:val="0"/>
    <w:rPr>
      <w:color w:val="333333"/>
      <w:sz w:val="21"/>
      <w:szCs w:val="21"/>
    </w:rPr>
  </w:style>
  <w:style w:type="character" w:customStyle="1" w:styleId="2236">
    <w:name w:val="bb1"/>
    <w:autoRedefine/>
    <w:qFormat/>
    <w:uiPriority w:val="0"/>
    <w:rPr>
      <w:rFonts w:ascii="Times New Roman" w:hAnsi="Times New Roman" w:cs="Times New Roman"/>
      <w:color w:val="000000"/>
      <w:spacing w:val="500"/>
      <w:sz w:val="24"/>
      <w:szCs w:val="24"/>
      <w:u w:val="none"/>
    </w:rPr>
  </w:style>
  <w:style w:type="character" w:customStyle="1" w:styleId="2237">
    <w:name w:val="v15"/>
    <w:autoRedefine/>
    <w:qFormat/>
    <w:uiPriority w:val="0"/>
  </w:style>
  <w:style w:type="character" w:customStyle="1" w:styleId="2238">
    <w:name w:val="正文首行缩进 Char2 Char"/>
    <w:autoRedefine/>
    <w:qFormat/>
    <w:uiPriority w:val="0"/>
    <w:rPr>
      <w:rFonts w:eastAsia="宋体"/>
      <w:sz w:val="18"/>
      <w:szCs w:val="24"/>
      <w:lang w:val="en-US" w:eastAsia="zh-CN" w:bidi="ar-SA"/>
    </w:rPr>
  </w:style>
  <w:style w:type="character" w:customStyle="1" w:styleId="2239">
    <w:name w:val="style291"/>
    <w:autoRedefine/>
    <w:qFormat/>
    <w:uiPriority w:val="0"/>
    <w:rPr>
      <w:color w:val="335B64"/>
      <w:sz w:val="18"/>
      <w:szCs w:val="18"/>
    </w:rPr>
  </w:style>
  <w:style w:type="character" w:customStyle="1" w:styleId="2240">
    <w:name w:val="infotitle1"/>
    <w:autoRedefine/>
    <w:qFormat/>
    <w:uiPriority w:val="0"/>
    <w:rPr>
      <w:b/>
      <w:bCs/>
      <w:color w:val="000000"/>
      <w:spacing w:val="500"/>
      <w:sz w:val="32"/>
      <w:szCs w:val="32"/>
    </w:rPr>
  </w:style>
  <w:style w:type="character" w:customStyle="1" w:styleId="2241">
    <w:name w:val="at_5"/>
    <w:autoRedefine/>
    <w:qFormat/>
    <w:uiPriority w:val="0"/>
  </w:style>
  <w:style w:type="character" w:customStyle="1" w:styleId="2242">
    <w:name w:val="td11"/>
    <w:autoRedefine/>
    <w:qFormat/>
    <w:uiPriority w:val="0"/>
    <w:rPr>
      <w:sz w:val="20"/>
      <w:szCs w:val="20"/>
    </w:rPr>
  </w:style>
  <w:style w:type="character" w:customStyle="1" w:styleId="2243">
    <w:name w:val="style15 style15"/>
    <w:autoRedefine/>
    <w:qFormat/>
    <w:uiPriority w:val="0"/>
  </w:style>
  <w:style w:type="character" w:customStyle="1" w:styleId="2244">
    <w:name w:val="环表头 Char4"/>
    <w:autoRedefine/>
    <w:qFormat/>
    <w:uiPriority w:val="0"/>
    <w:rPr>
      <w:rFonts w:ascii="宋体" w:eastAsia="宋体" w:cs="Courier New"/>
      <w:b/>
      <w:color w:val="000000"/>
      <w:sz w:val="24"/>
      <w:lang w:val="en-US" w:eastAsia="zh-CN" w:bidi="ar-SA"/>
    </w:rPr>
  </w:style>
  <w:style w:type="character" w:customStyle="1" w:styleId="2245">
    <w:name w:val="lh151"/>
    <w:autoRedefine/>
    <w:qFormat/>
    <w:uiPriority w:val="0"/>
  </w:style>
  <w:style w:type="character" w:customStyle="1" w:styleId="2246">
    <w:name w:val="unnamed111"/>
    <w:autoRedefine/>
    <w:qFormat/>
    <w:uiPriority w:val="0"/>
    <w:rPr>
      <w:color w:val="003366"/>
      <w:sz w:val="24"/>
      <w:szCs w:val="24"/>
      <w:u w:val="none"/>
    </w:rPr>
  </w:style>
  <w:style w:type="character" w:customStyle="1" w:styleId="2247">
    <w:name w:val="标题 5 Char Char Char Char"/>
    <w:autoRedefine/>
    <w:qFormat/>
    <w:uiPriority w:val="0"/>
    <w:rPr>
      <w:rFonts w:eastAsia="宋体"/>
      <w:b/>
      <w:sz w:val="28"/>
      <w:lang w:val="en-US" w:eastAsia="zh-CN" w:bidi="ar-SA"/>
    </w:rPr>
  </w:style>
  <w:style w:type="character" w:customStyle="1" w:styleId="2248">
    <w:name w:val="框图正文 Char Char"/>
    <w:autoRedefine/>
    <w:qFormat/>
    <w:uiPriority w:val="0"/>
    <w:rPr>
      <w:rFonts w:eastAsia="宋体"/>
      <w:kern w:val="2"/>
      <w:sz w:val="21"/>
      <w:szCs w:val="24"/>
      <w:lang w:val="en-US" w:eastAsia="zh-CN" w:bidi="ar-SA"/>
    </w:rPr>
  </w:style>
  <w:style w:type="character" w:customStyle="1" w:styleId="2249">
    <w:name w:val="环表头 Char5"/>
    <w:autoRedefine/>
    <w:qFormat/>
    <w:uiPriority w:val="0"/>
    <w:rPr>
      <w:rFonts w:eastAsia="黑体"/>
      <w:color w:val="000000"/>
      <w:sz w:val="24"/>
      <w:szCs w:val="24"/>
      <w:lang w:val="en-US" w:eastAsia="zh-CN" w:bidi="ar-SA"/>
    </w:rPr>
  </w:style>
  <w:style w:type="character" w:customStyle="1" w:styleId="2250">
    <w:name w:val="style19"/>
    <w:autoRedefine/>
    <w:qFormat/>
    <w:uiPriority w:val="0"/>
  </w:style>
  <w:style w:type="character" w:customStyle="1" w:styleId="2251">
    <w:name w:val="H5 Char1"/>
    <w:autoRedefine/>
    <w:qFormat/>
    <w:uiPriority w:val="0"/>
    <w:rPr>
      <w:rFonts w:ascii="仿宋_GB2312" w:eastAsia="仿宋_GB2312"/>
      <w:b/>
      <w:bCs/>
      <w:color w:val="FF00FF"/>
      <w:kern w:val="2"/>
      <w:sz w:val="24"/>
      <w:szCs w:val="24"/>
      <w:lang w:val="en-US" w:eastAsia="zh-CN" w:bidi="ar-SA"/>
    </w:rPr>
  </w:style>
  <w:style w:type="character" w:customStyle="1" w:styleId="2252">
    <w:name w:val="test"/>
    <w:autoRedefine/>
    <w:qFormat/>
    <w:uiPriority w:val="0"/>
  </w:style>
  <w:style w:type="character" w:customStyle="1" w:styleId="2253">
    <w:name w:val="ee1"/>
    <w:autoRedefine/>
    <w:qFormat/>
    <w:uiPriority w:val="0"/>
    <w:rPr>
      <w:spacing w:val="405"/>
      <w:sz w:val="21"/>
      <w:szCs w:val="21"/>
      <w:u w:val="none"/>
    </w:rPr>
  </w:style>
  <w:style w:type="character" w:customStyle="1" w:styleId="2254">
    <w:name w:val="正文文字 3 Char Char"/>
    <w:autoRedefine/>
    <w:qFormat/>
    <w:uiPriority w:val="0"/>
    <w:rPr>
      <w:rFonts w:eastAsia="仿宋_GB2312"/>
      <w:kern w:val="2"/>
      <w:sz w:val="28"/>
      <w:szCs w:val="24"/>
      <w:lang w:val="en-US" w:eastAsia="zh-CN" w:bidi="ar-SA"/>
    </w:rPr>
  </w:style>
  <w:style w:type="character" w:customStyle="1" w:styleId="2255">
    <w:name w:val="Char Char18"/>
    <w:autoRedefine/>
    <w:qFormat/>
    <w:uiPriority w:val="0"/>
    <w:rPr>
      <w:rFonts w:ascii="宋体" w:eastAsia="宋体" w:cs="Times New Roman"/>
      <w:sz w:val="24"/>
      <w:szCs w:val="24"/>
    </w:rPr>
  </w:style>
  <w:style w:type="character" w:customStyle="1" w:styleId="2256">
    <w:name w:val="正文首行缩进 Char1 Char Char2"/>
    <w:autoRedefine/>
    <w:qFormat/>
    <w:uiPriority w:val="0"/>
    <w:rPr>
      <w:rFonts w:eastAsia="宋体"/>
      <w:kern w:val="2"/>
      <w:sz w:val="21"/>
      <w:szCs w:val="24"/>
      <w:lang w:val="en-US" w:eastAsia="zh-CN" w:bidi="ar-SA"/>
    </w:rPr>
  </w:style>
  <w:style w:type="character" w:customStyle="1" w:styleId="2257">
    <w:name w:val="正文文字 3 Char Char2"/>
    <w:autoRedefine/>
    <w:qFormat/>
    <w:uiPriority w:val="0"/>
    <w:rPr>
      <w:rFonts w:eastAsia="仿宋_GB2312"/>
      <w:kern w:val="2"/>
      <w:sz w:val="28"/>
      <w:szCs w:val="24"/>
      <w:lang w:val="en-US" w:eastAsia="zh-CN" w:bidi="ar-SA"/>
    </w:rPr>
  </w:style>
  <w:style w:type="character" w:customStyle="1" w:styleId="2258">
    <w:name w:val="正文文字 3 Char Char3"/>
    <w:autoRedefine/>
    <w:qFormat/>
    <w:uiPriority w:val="0"/>
    <w:rPr>
      <w:rFonts w:eastAsia="仿宋_GB2312"/>
      <w:kern w:val="2"/>
      <w:sz w:val="28"/>
      <w:szCs w:val="24"/>
      <w:lang w:val="en-US" w:eastAsia="zh-CN" w:bidi="ar-SA"/>
    </w:rPr>
  </w:style>
  <w:style w:type="character" w:customStyle="1" w:styleId="2259">
    <w:name w:val="zhenwen14"/>
    <w:autoRedefine/>
    <w:qFormat/>
    <w:uiPriority w:val="0"/>
  </w:style>
  <w:style w:type="character" w:customStyle="1" w:styleId="2260">
    <w:name w:val="mnpmenulabel1"/>
    <w:autoRedefine/>
    <w:qFormat/>
    <w:uiPriority w:val="0"/>
    <w:rPr>
      <w:rFonts w:ascii="Verdana" w:hAnsi="Verdana"/>
      <w:b/>
      <w:bCs/>
      <w:i/>
      <w:iCs/>
      <w:color w:val="000000"/>
      <w:sz w:val="18"/>
      <w:szCs w:val="18"/>
      <w:shd w:val="clear" w:color="auto" w:fill="F1F1F1"/>
    </w:rPr>
  </w:style>
  <w:style w:type="character" w:customStyle="1" w:styleId="2261">
    <w:name w:val="duanluo2"/>
    <w:autoRedefine/>
    <w:qFormat/>
    <w:uiPriority w:val="0"/>
    <w:rPr>
      <w:rFonts w:ascii="??" w:hAnsi="??"/>
      <w:color w:val="000000"/>
      <w:sz w:val="21"/>
    </w:rPr>
  </w:style>
  <w:style w:type="character" w:customStyle="1" w:styleId="2262">
    <w:name w:val="m"/>
    <w:autoRedefine/>
    <w:qFormat/>
    <w:uiPriority w:val="0"/>
  </w:style>
  <w:style w:type="character" w:customStyle="1" w:styleId="2263">
    <w:name w:val="表格文字 Char1"/>
    <w:autoRedefine/>
    <w:qFormat/>
    <w:uiPriority w:val="0"/>
    <w:rPr>
      <w:rFonts w:ascii="仿宋_GB2312" w:eastAsia="仿宋_GB2312"/>
      <w:kern w:val="44"/>
      <w:sz w:val="24"/>
      <w:lang w:val="en-US" w:eastAsia="zh-CN" w:bidi="ar-SA"/>
    </w:rPr>
  </w:style>
  <w:style w:type="character" w:customStyle="1" w:styleId="2264">
    <w:name w:val="H5 Char Char"/>
    <w:autoRedefine/>
    <w:qFormat/>
    <w:uiPriority w:val="0"/>
    <w:rPr>
      <w:rFonts w:eastAsia="宋体"/>
      <w:b/>
      <w:bCs/>
      <w:sz w:val="28"/>
      <w:szCs w:val="28"/>
      <w:lang w:val="en-US" w:eastAsia="zh-CN" w:bidi="ar-SA"/>
    </w:rPr>
  </w:style>
  <w:style w:type="character" w:customStyle="1" w:styleId="2265">
    <w:name w:val="网格型刘 Char"/>
    <w:autoRedefine/>
    <w:qFormat/>
    <w:uiPriority w:val="0"/>
    <w:rPr>
      <w:rFonts w:eastAsia="宋体"/>
      <w:kern w:val="2"/>
      <w:sz w:val="21"/>
      <w:szCs w:val="21"/>
      <w:lang w:val="en-US" w:eastAsia="zh-CN" w:bidi="ar-SA"/>
    </w:rPr>
  </w:style>
  <w:style w:type="character" w:customStyle="1" w:styleId="2266">
    <w:name w:val="sj4lab"/>
    <w:autoRedefine/>
    <w:qFormat/>
    <w:uiPriority w:val="0"/>
  </w:style>
  <w:style w:type="character" w:customStyle="1" w:styleId="2267">
    <w:name w:val="editsection2"/>
    <w:autoRedefine/>
    <w:qFormat/>
    <w:uiPriority w:val="0"/>
  </w:style>
  <w:style w:type="character" w:customStyle="1" w:styleId="2268">
    <w:name w:val="shekj8m"/>
    <w:autoRedefine/>
    <w:qFormat/>
    <w:uiPriority w:val="0"/>
  </w:style>
  <w:style w:type="character" w:customStyle="1" w:styleId="2269">
    <w:name w:val="a22"/>
    <w:autoRedefine/>
    <w:qFormat/>
    <w:uiPriority w:val="0"/>
    <w:rPr>
      <w:sz w:val="18"/>
      <w:szCs w:val="18"/>
      <w:u w:val="none"/>
    </w:rPr>
  </w:style>
  <w:style w:type="character" w:customStyle="1" w:styleId="2270">
    <w:name w:val="sdi8io"/>
    <w:autoRedefine/>
    <w:qFormat/>
    <w:uiPriority w:val="0"/>
  </w:style>
  <w:style w:type="character" w:customStyle="1" w:styleId="2271">
    <w:name w:val="wenzhang1"/>
    <w:autoRedefine/>
    <w:qFormat/>
    <w:uiPriority w:val="0"/>
    <w:rPr>
      <w:color w:val="393939"/>
      <w:sz w:val="18"/>
      <w:szCs w:val="18"/>
      <w:u w:val="none"/>
    </w:rPr>
  </w:style>
  <w:style w:type="character" w:customStyle="1" w:styleId="2272">
    <w:name w:val="s9zsb3q"/>
    <w:autoRedefine/>
    <w:qFormat/>
    <w:uiPriority w:val="0"/>
  </w:style>
  <w:style w:type="character" w:customStyle="1" w:styleId="2273">
    <w:name w:val="正文文字 3 Char Char6"/>
    <w:autoRedefine/>
    <w:qFormat/>
    <w:uiPriority w:val="0"/>
    <w:rPr>
      <w:rFonts w:ascii="宋体" w:eastAsia="宋体"/>
      <w:kern w:val="2"/>
      <w:sz w:val="24"/>
      <w:szCs w:val="24"/>
      <w:lang w:val="en-US" w:eastAsia="zh-CN" w:bidi="ar-SA"/>
    </w:rPr>
  </w:style>
  <w:style w:type="character" w:customStyle="1" w:styleId="2274">
    <w:name w:val="s0s4w"/>
    <w:autoRedefine/>
    <w:qFormat/>
    <w:uiPriority w:val="0"/>
  </w:style>
  <w:style w:type="character" w:customStyle="1" w:styleId="2275">
    <w:name w:val="Char Char241"/>
    <w:autoRedefine/>
    <w:qFormat/>
    <w:uiPriority w:val="0"/>
    <w:rPr>
      <w:rFonts w:eastAsia="宋体"/>
      <w:kern w:val="2"/>
      <w:sz w:val="18"/>
      <w:szCs w:val="18"/>
      <w:lang w:val="en-US" w:eastAsia="zh-CN" w:bidi="ar-SA"/>
    </w:rPr>
  </w:style>
  <w:style w:type="character" w:customStyle="1" w:styleId="2276">
    <w:name w:val="ssmj9"/>
    <w:autoRedefine/>
    <w:qFormat/>
    <w:uiPriority w:val="0"/>
  </w:style>
  <w:style w:type="character" w:customStyle="1" w:styleId="2277">
    <w:name w:val="Char Char172"/>
    <w:autoRedefine/>
    <w:qFormat/>
    <w:uiPriority w:val="0"/>
    <w:rPr>
      <w:rFonts w:ascii="宋体" w:eastAsia="宋体"/>
      <w:kern w:val="2"/>
      <w:sz w:val="24"/>
      <w:szCs w:val="24"/>
      <w:lang w:val="en-US" w:eastAsia="zh-CN" w:bidi="ar-SA"/>
    </w:rPr>
  </w:style>
  <w:style w:type="character" w:customStyle="1" w:styleId="2278">
    <w:name w:val="Char Char191"/>
    <w:autoRedefine/>
    <w:qFormat/>
    <w:uiPriority w:val="0"/>
    <w:rPr>
      <w:rFonts w:ascii="Times New Roman" w:hAnsi="Times New Roman" w:eastAsia="宋体" w:cs="Times New Roman"/>
      <w:szCs w:val="24"/>
      <w:shd w:val="clear" w:color="auto" w:fill="000080"/>
    </w:rPr>
  </w:style>
  <w:style w:type="character" w:customStyle="1" w:styleId="2279">
    <w:name w:val="项标题(1) Char1"/>
    <w:autoRedefine/>
    <w:qFormat/>
    <w:uiPriority w:val="0"/>
    <w:rPr>
      <w:rFonts w:ascii="宋体" w:eastAsia="宋体"/>
      <w:b/>
      <w:sz w:val="24"/>
      <w:szCs w:val="24"/>
      <w:lang w:val="en-US" w:eastAsia="zh-CN" w:bidi="ar-SA"/>
    </w:rPr>
  </w:style>
  <w:style w:type="character" w:customStyle="1" w:styleId="2280">
    <w:name w:val="Balloon Text Char"/>
    <w:autoRedefine/>
    <w:qFormat/>
    <w:uiPriority w:val="0"/>
    <w:rPr>
      <w:rFonts w:eastAsia="宋体"/>
      <w:kern w:val="2"/>
      <w:sz w:val="21"/>
      <w:szCs w:val="18"/>
      <w:lang w:val="en-US" w:eastAsia="zh-CN" w:bidi="ar-SA"/>
    </w:rPr>
  </w:style>
  <w:style w:type="character" w:customStyle="1" w:styleId="2281">
    <w:name w:val="sz3evj"/>
    <w:autoRedefine/>
    <w:qFormat/>
    <w:uiPriority w:val="0"/>
  </w:style>
  <w:style w:type="character" w:customStyle="1" w:styleId="2282">
    <w:name w:val="lh15"/>
    <w:autoRedefine/>
    <w:qFormat/>
    <w:uiPriority w:val="0"/>
  </w:style>
  <w:style w:type="character" w:customStyle="1" w:styleId="2283">
    <w:name w:val="章标题1 Char"/>
    <w:autoRedefine/>
    <w:qFormat/>
    <w:uiPriority w:val="0"/>
    <w:rPr>
      <w:rFonts w:ascii="宋体" w:eastAsia="宋体"/>
      <w:b/>
      <w:bCs/>
      <w:kern w:val="2"/>
      <w:sz w:val="30"/>
      <w:szCs w:val="30"/>
      <w:lang w:val="en-US" w:eastAsia="zh-CN" w:bidi="ar-SA"/>
    </w:rPr>
  </w:style>
  <w:style w:type="character" w:customStyle="1" w:styleId="2284">
    <w:name w:val="p12"/>
    <w:autoRedefine/>
    <w:qFormat/>
    <w:uiPriority w:val="0"/>
  </w:style>
  <w:style w:type="character" w:customStyle="1" w:styleId="2285">
    <w:name w:val="zhenwen141"/>
    <w:autoRedefine/>
    <w:qFormat/>
    <w:uiPriority w:val="0"/>
    <w:rPr>
      <w:rFonts w:ascii="ˎ̥" w:hAnsi="ˎ̥"/>
      <w:sz w:val="21"/>
      <w:szCs w:val="21"/>
    </w:rPr>
  </w:style>
  <w:style w:type="character" w:customStyle="1" w:styleId="2286">
    <w:name w:val="llb11"/>
    <w:autoRedefine/>
    <w:qFormat/>
    <w:uiPriority w:val="0"/>
    <w:rPr>
      <w:color w:val="000000"/>
      <w:sz w:val="32"/>
      <w:szCs w:val="32"/>
      <w:u w:val="none"/>
    </w:rPr>
  </w:style>
  <w:style w:type="character" w:customStyle="1" w:styleId="2287">
    <w:name w:val="news_c_da1"/>
    <w:autoRedefine/>
    <w:qFormat/>
    <w:uiPriority w:val="0"/>
    <w:rPr>
      <w:rFonts w:ascii="ˎ̥" w:hAnsi="ˎ̥"/>
      <w:b/>
      <w:bCs/>
      <w:color w:val="000000"/>
      <w:sz w:val="24"/>
      <w:szCs w:val="24"/>
    </w:rPr>
  </w:style>
  <w:style w:type="character" w:customStyle="1" w:styleId="2288">
    <w:name w:val="style3 grey"/>
    <w:autoRedefine/>
    <w:qFormat/>
    <w:uiPriority w:val="0"/>
  </w:style>
  <w:style w:type="character" w:customStyle="1" w:styleId="2289">
    <w:name w:val="zwc"/>
    <w:autoRedefine/>
    <w:qFormat/>
    <w:uiPriority w:val="0"/>
  </w:style>
  <w:style w:type="character" w:customStyle="1" w:styleId="2290">
    <w:name w:val="页码2"/>
    <w:autoRedefine/>
    <w:qFormat/>
    <w:uiPriority w:val="0"/>
  </w:style>
  <w:style w:type="character" w:customStyle="1" w:styleId="2291">
    <w:name w:val="环标1 Char Char"/>
    <w:autoRedefine/>
    <w:qFormat/>
    <w:uiPriority w:val="0"/>
  </w:style>
  <w:style w:type="character" w:customStyle="1" w:styleId="2292">
    <w:name w:val="样式 样式 首行缩进:  0.74 厘米 + 首行缩进:  2 字符 Char Char"/>
    <w:autoRedefine/>
    <w:qFormat/>
    <w:uiPriority w:val="0"/>
    <w:rPr>
      <w:rFonts w:ascii="Times New Roman" w:hAnsi="Times New Roman" w:eastAsia="宋体" w:cs="Times New Roman"/>
      <w:kern w:val="0"/>
      <w:sz w:val="24"/>
      <w:szCs w:val="20"/>
      <w:lang w:val="en-US" w:eastAsia="zh-CN"/>
    </w:rPr>
  </w:style>
  <w:style w:type="character" w:customStyle="1" w:styleId="2293">
    <w:name w:val="HTML 代码1"/>
    <w:autoRedefine/>
    <w:qFormat/>
    <w:uiPriority w:val="0"/>
    <w:rPr>
      <w:rFonts w:ascii="黑体" w:eastAsia="黑体" w:cs="Courier New"/>
      <w:sz w:val="24"/>
      <w:szCs w:val="24"/>
    </w:rPr>
  </w:style>
  <w:style w:type="character" w:customStyle="1" w:styleId="2294">
    <w:name w:val="HTML 定义1"/>
    <w:autoRedefine/>
    <w:qFormat/>
    <w:uiPriority w:val="0"/>
    <w:rPr>
      <w:rFonts w:ascii="宋体" w:eastAsia="宋体" w:cs="Courier New"/>
      <w:i/>
      <w:iCs/>
      <w:kern w:val="2"/>
      <w:sz w:val="32"/>
      <w:szCs w:val="32"/>
      <w:lang w:val="en-US" w:eastAsia="zh-CN"/>
    </w:rPr>
  </w:style>
  <w:style w:type="character" w:customStyle="1" w:styleId="2295">
    <w:name w:val="HTML 键盘1"/>
    <w:autoRedefine/>
    <w:qFormat/>
    <w:uiPriority w:val="0"/>
    <w:rPr>
      <w:rFonts w:ascii="Courier New" w:hAnsi="Courier New" w:eastAsia="宋体" w:cs="Courier New"/>
      <w:kern w:val="2"/>
      <w:sz w:val="20"/>
      <w:szCs w:val="20"/>
      <w:lang w:val="en-US" w:eastAsia="zh-CN"/>
    </w:rPr>
  </w:style>
  <w:style w:type="character" w:customStyle="1" w:styleId="2296">
    <w:name w:val="报告正文 Char"/>
    <w:autoRedefine/>
    <w:qFormat/>
    <w:uiPriority w:val="0"/>
    <w:rPr>
      <w:rFonts w:ascii="Times New Roman" w:hAnsi="Times New Roman"/>
      <w:bCs/>
      <w:kern w:val="44"/>
      <w:sz w:val="24"/>
      <w:szCs w:val="44"/>
      <w:lang w:bidi="ar-SA"/>
    </w:rPr>
  </w:style>
  <w:style w:type="character" w:customStyle="1" w:styleId="2297">
    <w:name w:val="contents1"/>
    <w:autoRedefine/>
    <w:qFormat/>
    <w:uiPriority w:val="0"/>
    <w:rPr>
      <w:rFonts w:ascii="Verdana" w:hAnsi="Verdana"/>
      <w:color w:val="000000"/>
      <w:sz w:val="21"/>
      <w:szCs w:val="21"/>
    </w:rPr>
  </w:style>
  <w:style w:type="character" w:customStyle="1" w:styleId="2298">
    <w:name w:val="普通文字 Char1 Char Char Char"/>
    <w:autoRedefine/>
    <w:qFormat/>
    <w:uiPriority w:val="0"/>
    <w:rPr>
      <w:rFonts w:ascii="宋体" w:eastAsia="宋体"/>
      <w:kern w:val="2"/>
      <w:sz w:val="21"/>
      <w:lang w:val="en-US" w:eastAsia="zh-CN" w:bidi="ar-SA"/>
    </w:rPr>
  </w:style>
  <w:style w:type="character" w:customStyle="1" w:styleId="2299">
    <w:name w:val="wz-title11"/>
    <w:autoRedefine/>
    <w:qFormat/>
    <w:uiPriority w:val="0"/>
    <w:rPr>
      <w:b/>
      <w:bCs/>
      <w:color w:val="2879B8"/>
      <w:sz w:val="20"/>
      <w:szCs w:val="20"/>
    </w:rPr>
  </w:style>
  <w:style w:type="character" w:customStyle="1" w:styleId="2300">
    <w:name w:val="标题 3 Char Char Char Char Char Char Char Char Char1 Char Char Char1"/>
    <w:autoRedefine/>
    <w:qFormat/>
    <w:uiPriority w:val="0"/>
    <w:rPr>
      <w:rFonts w:eastAsia="宋体"/>
      <w:b/>
      <w:bCs/>
      <w:kern w:val="2"/>
      <w:sz w:val="32"/>
      <w:szCs w:val="32"/>
      <w:lang w:val="en-US" w:eastAsia="zh-CN" w:bidi="ar-SA"/>
    </w:rPr>
  </w:style>
  <w:style w:type="character" w:customStyle="1" w:styleId="2301">
    <w:name w:val="xiaozhiti1"/>
    <w:autoRedefine/>
    <w:qFormat/>
    <w:uiPriority w:val="0"/>
    <w:rPr>
      <w:sz w:val="18"/>
      <w:szCs w:val="18"/>
    </w:rPr>
  </w:style>
  <w:style w:type="character" w:customStyle="1" w:styleId="2302">
    <w:name w:val="number2"/>
    <w:autoRedefine/>
    <w:qFormat/>
    <w:uiPriority w:val="0"/>
  </w:style>
  <w:style w:type="paragraph" w:customStyle="1" w:styleId="2303">
    <w:name w:val="1表格头"/>
    <w:basedOn w:val="2304"/>
    <w:autoRedefine/>
    <w:qFormat/>
    <w:uiPriority w:val="0"/>
    <w:pPr>
      <w:spacing w:line="420" w:lineRule="auto"/>
      <w:outlineLvl w:val="3"/>
    </w:pPr>
    <w:rPr>
      <w:rFonts w:eastAsia="黑体"/>
      <w:b/>
      <w:sz w:val="24"/>
    </w:rPr>
  </w:style>
  <w:style w:type="paragraph" w:customStyle="1" w:styleId="2304">
    <w:name w:val="1表格"/>
    <w:basedOn w:val="2305"/>
    <w:autoRedefine/>
    <w:qFormat/>
    <w:uiPriority w:val="0"/>
    <w:pPr>
      <w:spacing w:line="240" w:lineRule="auto"/>
      <w:ind w:firstLine="0"/>
      <w:jc w:val="center"/>
    </w:pPr>
  </w:style>
  <w:style w:type="paragraph" w:customStyle="1" w:styleId="2305">
    <w:name w:val="1文章"/>
    <w:basedOn w:val="1"/>
    <w:autoRedefine/>
    <w:qFormat/>
    <w:uiPriority w:val="0"/>
    <w:pPr>
      <w:widowControl/>
      <w:snapToGrid w:val="0"/>
      <w:spacing w:line="420" w:lineRule="auto"/>
      <w:ind w:firstLine="454"/>
      <w:jc w:val="left"/>
      <w:outlineLvl w:val="4"/>
    </w:pPr>
    <w:rPr>
      <w:rFonts w:eastAsia="仿宋_GB2312"/>
      <w:spacing w:val="4"/>
      <w:szCs w:val="21"/>
    </w:rPr>
  </w:style>
  <w:style w:type="paragraph" w:customStyle="1" w:styleId="2306">
    <w:name w:val="样式 标题 3 + (西文) Times New Roman (中文) 宋体 小四 左 段前: 12 磅 段后: 2 ..."/>
    <w:basedOn w:val="5"/>
    <w:autoRedefine/>
    <w:qFormat/>
    <w:uiPriority w:val="0"/>
    <w:pPr>
      <w:keepNext w:val="0"/>
      <w:tabs>
        <w:tab w:val="left" w:pos="360"/>
        <w:tab w:val="left" w:pos="680"/>
        <w:tab w:val="left" w:pos="7088"/>
      </w:tabs>
      <w:adjustRightInd w:val="0"/>
      <w:snapToGrid w:val="0"/>
      <w:spacing w:beforeLines="50" w:after="0" w:line="360" w:lineRule="auto"/>
      <w:ind w:left="680" w:hanging="680"/>
      <w:jc w:val="left"/>
      <w:textAlignment w:val="baseline"/>
    </w:pPr>
    <w:rPr>
      <w:rFonts w:ascii="宋体" w:hAnsi="Times New Roman" w:eastAsia="仿宋_GB2312" w:cs="Times New Roman"/>
      <w:b w:val="0"/>
      <w:kern w:val="0"/>
      <w:sz w:val="24"/>
      <w:szCs w:val="30"/>
      <w:lang w:val="zh-CN"/>
    </w:rPr>
  </w:style>
  <w:style w:type="paragraph" w:customStyle="1" w:styleId="2307">
    <w:name w:val="正文5"/>
    <w:autoRedefine/>
    <w:qFormat/>
    <w:uiPriority w:val="0"/>
    <w:pPr>
      <w:widowControl w:val="0"/>
      <w:adjustRightInd w:val="0"/>
      <w:spacing w:line="312" w:lineRule="atLeast"/>
      <w:jc w:val="both"/>
      <w:textAlignment w:val="baseline"/>
    </w:pPr>
    <w:rPr>
      <w:rFonts w:ascii="宋体" w:hAnsi="Times New Roman" w:eastAsia="仿宋_GB2312" w:cs="宋体"/>
      <w:sz w:val="34"/>
      <w:szCs w:val="21"/>
      <w:lang w:val="en-US" w:eastAsia="zh-CN" w:bidi="ar-SA"/>
    </w:rPr>
  </w:style>
  <w:style w:type="paragraph" w:customStyle="1" w:styleId="2308">
    <w:name w:val="样式 正文缩进正文（首行缩进两字）正文（首行缩进两字） Char Char Char Char Char Char Char..."/>
    <w:basedOn w:val="21"/>
    <w:autoRedefine/>
    <w:qFormat/>
    <w:uiPriority w:val="0"/>
    <w:pPr>
      <w:widowControl/>
      <w:tabs>
        <w:tab w:val="left" w:pos="3360"/>
      </w:tabs>
      <w:adjustRightInd w:val="0"/>
      <w:snapToGrid w:val="0"/>
      <w:ind w:firstLine="480" w:firstLineChars="0"/>
      <w:jc w:val="left"/>
      <w:textAlignment w:val="baseline"/>
    </w:pPr>
    <w:rPr>
      <w:rFonts w:ascii="楷体_GB2312" w:eastAsia="楷体_GB2312" w:cstheme="minorBidi"/>
      <w:snapToGrid w:val="0"/>
      <w:szCs w:val="21"/>
    </w:rPr>
  </w:style>
  <w:style w:type="paragraph" w:customStyle="1" w:styleId="2309">
    <w:name w:val="样式 样式 标题4 + 段前: 0.25 行 行距: 单倍行距 + 段前: 0.5 行"/>
    <w:basedOn w:val="2310"/>
    <w:autoRedefine/>
    <w:qFormat/>
    <w:uiPriority w:val="0"/>
    <w:pPr>
      <w:tabs>
        <w:tab w:val="left" w:pos="624"/>
        <w:tab w:val="left" w:pos="1157"/>
        <w:tab w:val="left" w:pos="2315"/>
      </w:tabs>
      <w:spacing w:beforeLines="0"/>
      <w:ind w:left="1405"/>
    </w:pPr>
    <w:rPr>
      <w:spacing w:val="0"/>
      <w:szCs w:val="28"/>
    </w:rPr>
  </w:style>
  <w:style w:type="paragraph" w:customStyle="1" w:styleId="2310">
    <w:name w:val="样式 标题4 + 段前: 0.25 行 行距: 单倍行距"/>
    <w:basedOn w:val="21"/>
    <w:autoRedefine/>
    <w:qFormat/>
    <w:uiPriority w:val="0"/>
    <w:pPr>
      <w:tabs>
        <w:tab w:val="left" w:pos="624"/>
        <w:tab w:val="left" w:pos="1157"/>
      </w:tabs>
      <w:autoSpaceDE w:val="0"/>
      <w:autoSpaceDN w:val="0"/>
      <w:adjustRightInd w:val="0"/>
      <w:snapToGrid w:val="0"/>
      <w:spacing w:beforeLines="50" w:line="360" w:lineRule="auto"/>
      <w:ind w:left="170" w:hanging="694" w:firstLineChars="0"/>
      <w:jc w:val="left"/>
      <w:textAlignment w:val="baseline"/>
      <w:outlineLvl w:val="3"/>
    </w:pPr>
    <w:rPr>
      <w:rFonts w:eastAsia="黑体" w:cs="宋体" w:asciiTheme="minorHAnsi"/>
      <w:snapToGrid w:val="0"/>
      <w:spacing w:val="10"/>
      <w:sz w:val="28"/>
      <w:szCs w:val="22"/>
    </w:rPr>
  </w:style>
  <w:style w:type="paragraph" w:customStyle="1" w:styleId="2311">
    <w:name w:val="样式 样式 宋体 小四 行距: 1.5 倍行距 + 首行缩进:  2 字符 段前: 7.8 磅 段后: 7.8 磅"/>
    <w:basedOn w:val="1"/>
    <w:autoRedefine/>
    <w:qFormat/>
    <w:uiPriority w:val="0"/>
    <w:pPr>
      <w:snapToGrid w:val="0"/>
      <w:spacing w:beforeLines="50" w:afterLines="50" w:line="360" w:lineRule="auto"/>
      <w:ind w:firstLine="200" w:firstLineChars="200"/>
      <w:jc w:val="left"/>
    </w:pPr>
    <w:rPr>
      <w:rFonts w:eastAsia="仿宋_GB2312"/>
      <w:szCs w:val="20"/>
    </w:rPr>
  </w:style>
  <w:style w:type="paragraph" w:customStyle="1" w:styleId="2312">
    <w:name w:val="表格 3"/>
    <w:basedOn w:val="1"/>
    <w:autoRedefine/>
    <w:qFormat/>
    <w:uiPriority w:val="0"/>
    <w:pPr>
      <w:autoSpaceDE w:val="0"/>
      <w:autoSpaceDN w:val="0"/>
      <w:adjustRightInd w:val="0"/>
      <w:jc w:val="center"/>
    </w:pPr>
    <w:rPr>
      <w:rFonts w:eastAsia="仿宋_GB2312"/>
      <w:kern w:val="0"/>
      <w:sz w:val="28"/>
      <w:szCs w:val="20"/>
    </w:rPr>
  </w:style>
  <w:style w:type="paragraph" w:customStyle="1" w:styleId="2313">
    <w:name w:val="列出段落12"/>
    <w:basedOn w:val="1"/>
    <w:autoRedefine/>
    <w:qFormat/>
    <w:uiPriority w:val="0"/>
    <w:pPr>
      <w:widowControl/>
      <w:ind w:firstLine="420"/>
      <w:jc w:val="left"/>
    </w:pPr>
    <w:rPr>
      <w:rFonts w:ascii="Calibri" w:hAnsi="Calibri" w:eastAsia="仿宋_GB2312"/>
      <w:sz w:val="28"/>
      <w:szCs w:val="22"/>
    </w:rPr>
  </w:style>
  <w:style w:type="paragraph" w:customStyle="1" w:styleId="2314">
    <w:name w:val="Char Char Char1 Char3"/>
    <w:basedOn w:val="1"/>
    <w:autoRedefine/>
    <w:qFormat/>
    <w:uiPriority w:val="0"/>
    <w:pPr>
      <w:snapToGrid w:val="0"/>
      <w:spacing w:line="360" w:lineRule="auto"/>
      <w:ind w:firstLine="200" w:firstLineChars="200"/>
    </w:pPr>
    <w:rPr>
      <w:rFonts w:eastAsia="仿宋_GB2312"/>
      <w:szCs w:val="21"/>
    </w:rPr>
  </w:style>
  <w:style w:type="paragraph" w:customStyle="1" w:styleId="2315">
    <w:name w:val="样式 标题 2 + 段前: 0.5 行 行距: 单倍行距"/>
    <w:basedOn w:val="4"/>
    <w:autoRedefine/>
    <w:qFormat/>
    <w:uiPriority w:val="0"/>
    <w:pPr>
      <w:keepNext w:val="0"/>
      <w:keepLines w:val="0"/>
      <w:tabs>
        <w:tab w:val="left" w:pos="969"/>
        <w:tab w:val="clear" w:pos="1276"/>
      </w:tabs>
      <w:autoSpaceDE w:val="0"/>
      <w:autoSpaceDN w:val="0"/>
      <w:snapToGrid w:val="0"/>
      <w:spacing w:before="0" w:beforeLines="100" w:after="0"/>
      <w:ind w:left="969" w:hanging="737"/>
      <w:contextualSpacing/>
    </w:pPr>
    <w:rPr>
      <w:rFonts w:ascii="Times New Roman" w:hAnsi="Times New Roman" w:cs="宋体"/>
      <w:b w:val="0"/>
      <w:snapToGrid w:val="0"/>
      <w:kern w:val="44"/>
      <w:sz w:val="32"/>
      <w:szCs w:val="32"/>
      <w:lang w:val="zh-CN"/>
    </w:rPr>
  </w:style>
  <w:style w:type="paragraph" w:customStyle="1" w:styleId="2316">
    <w:name w:val="正文样式10"/>
    <w:basedOn w:val="1"/>
    <w:autoRedefine/>
    <w:qFormat/>
    <w:uiPriority w:val="0"/>
    <w:pPr>
      <w:spacing w:beforeLines="50" w:afterLines="50" w:line="500" w:lineRule="exact"/>
      <w:ind w:firstLine="200" w:firstLineChars="200"/>
    </w:pPr>
    <w:rPr>
      <w:rFonts w:eastAsia="仿宋_GB2312"/>
      <w:bCs/>
      <w:kern w:val="0"/>
      <w:szCs w:val="21"/>
      <w:lang w:val="zh-CN"/>
    </w:rPr>
  </w:style>
  <w:style w:type="paragraph" w:customStyle="1" w:styleId="2317">
    <w:name w:val="缩进"/>
    <w:basedOn w:val="1"/>
    <w:autoRedefine/>
    <w:qFormat/>
    <w:uiPriority w:val="0"/>
    <w:pPr>
      <w:widowControl/>
      <w:autoSpaceDE w:val="0"/>
      <w:autoSpaceDN w:val="0"/>
      <w:adjustRightInd w:val="0"/>
      <w:spacing w:line="400" w:lineRule="atLeast"/>
      <w:ind w:firstLine="425"/>
      <w:jc w:val="left"/>
      <w:textAlignment w:val="baseline"/>
    </w:pPr>
    <w:rPr>
      <w:rFonts w:eastAsia="仿宋_GB2312"/>
      <w:kern w:val="0"/>
      <w:szCs w:val="20"/>
    </w:rPr>
  </w:style>
  <w:style w:type="paragraph" w:customStyle="1" w:styleId="2318">
    <w:name w:val="文-5"/>
    <w:basedOn w:val="1"/>
    <w:autoRedefine/>
    <w:qFormat/>
    <w:uiPriority w:val="0"/>
    <w:pPr>
      <w:widowControl/>
      <w:tabs>
        <w:tab w:val="right" w:leader="dot" w:pos="8789"/>
      </w:tabs>
      <w:spacing w:before="120"/>
      <w:ind w:left="1276" w:firstLine="482"/>
      <w:jc w:val="left"/>
    </w:pPr>
    <w:rPr>
      <w:rFonts w:eastAsia="仿宋_GB2312"/>
      <w:szCs w:val="20"/>
    </w:rPr>
  </w:style>
  <w:style w:type="paragraph" w:customStyle="1" w:styleId="2319">
    <w:name w:val="五号字表格"/>
    <w:basedOn w:val="1334"/>
    <w:autoRedefine/>
    <w:qFormat/>
    <w:uiPriority w:val="0"/>
    <w:pPr>
      <w:keepLines w:val="0"/>
      <w:widowControl/>
      <w:autoSpaceDE/>
      <w:autoSpaceDN/>
      <w:spacing w:line="240" w:lineRule="auto"/>
      <w:ind w:firstLine="0"/>
      <w:jc w:val="center"/>
    </w:pPr>
    <w:rPr>
      <w:rFonts w:ascii="Times New Roman" w:eastAsia="仿宋_GB2312"/>
      <w:spacing w:val="0"/>
      <w:sz w:val="21"/>
    </w:rPr>
  </w:style>
  <w:style w:type="paragraph" w:customStyle="1" w:styleId="2320">
    <w:name w:val="样式 行距: 最小值 25 磅"/>
    <w:basedOn w:val="1"/>
    <w:autoRedefine/>
    <w:qFormat/>
    <w:uiPriority w:val="0"/>
    <w:pPr>
      <w:tabs>
        <w:tab w:val="left" w:pos="425"/>
      </w:tabs>
      <w:spacing w:line="500" w:lineRule="atLeast"/>
      <w:ind w:left="425" w:hanging="425"/>
    </w:pPr>
    <w:rPr>
      <w:rFonts w:eastAsia="仿宋_GB2312" w:cs="宋体"/>
      <w:sz w:val="28"/>
      <w:szCs w:val="20"/>
    </w:rPr>
  </w:style>
  <w:style w:type="paragraph" w:customStyle="1" w:styleId="2321">
    <w:name w:val="样式 宋体 小四 行距: 多倍行距 1.25 字行"/>
    <w:basedOn w:val="1"/>
    <w:autoRedefine/>
    <w:qFormat/>
    <w:uiPriority w:val="0"/>
    <w:pPr>
      <w:spacing w:line="360" w:lineRule="auto"/>
      <w:ind w:firstLine="200" w:firstLineChars="200"/>
    </w:pPr>
    <w:rPr>
      <w:rFonts w:eastAsia="仿宋_GB2312" w:cs="宋体"/>
      <w:szCs w:val="20"/>
    </w:rPr>
  </w:style>
  <w:style w:type="paragraph" w:customStyle="1" w:styleId="2322">
    <w:name w:val="标题 3 + 黑色 段前: 0.5 行 行距: 多倍行距 1.35 字行3"/>
    <w:basedOn w:val="5"/>
    <w:autoRedefine/>
    <w:qFormat/>
    <w:uiPriority w:val="0"/>
    <w:pPr>
      <w:keepLines w:val="0"/>
      <w:widowControl/>
      <w:tabs>
        <w:tab w:val="left" w:pos="7088"/>
      </w:tabs>
      <w:suppressAutoHyphens/>
      <w:adjustRightInd w:val="0"/>
      <w:spacing w:beforeLines="50" w:after="0" w:line="324" w:lineRule="auto"/>
      <w:jc w:val="left"/>
    </w:pPr>
    <w:rPr>
      <w:rFonts w:ascii="Times New Roman" w:hAnsi="Times New Roman" w:eastAsia="仿宋_GB2312" w:cs="宋体"/>
      <w:b w:val="0"/>
      <w:color w:val="000000"/>
      <w:kern w:val="24"/>
      <w:sz w:val="30"/>
      <w:szCs w:val="20"/>
      <w:lang w:val="zh-CN"/>
    </w:rPr>
  </w:style>
  <w:style w:type="paragraph" w:customStyle="1" w:styleId="2323">
    <w:name w:val="普通 (Web)17"/>
    <w:basedOn w:val="1"/>
    <w:autoRedefine/>
    <w:qFormat/>
    <w:uiPriority w:val="0"/>
    <w:pPr>
      <w:widowControl/>
      <w:spacing w:before="100" w:beforeAutospacing="1" w:after="100" w:afterAutospacing="1"/>
      <w:jc w:val="left"/>
    </w:pPr>
    <w:rPr>
      <w:rFonts w:ascii="Arial Unicode MS" w:hAnsi="Arial Unicode MS" w:eastAsia="Times New Roman"/>
      <w:kern w:val="0"/>
      <w:sz w:val="18"/>
      <w:szCs w:val="18"/>
    </w:rPr>
  </w:style>
  <w:style w:type="paragraph" w:customStyle="1" w:styleId="2324">
    <w:name w:val="样式 标题 3 + 宋体 四号"/>
    <w:basedOn w:val="5"/>
    <w:autoRedefine/>
    <w:qFormat/>
    <w:uiPriority w:val="0"/>
    <w:pPr>
      <w:widowControl/>
      <w:tabs>
        <w:tab w:val="left" w:pos="0"/>
        <w:tab w:val="left" w:pos="7088"/>
      </w:tabs>
      <w:adjustRightInd w:val="0"/>
      <w:spacing w:beforeLines="50" w:line="415" w:lineRule="auto"/>
      <w:jc w:val="left"/>
    </w:pPr>
    <w:rPr>
      <w:rFonts w:ascii="宋体" w:hAnsi="Times New Roman" w:eastAsia="仿宋_GB2312" w:cs="Times New Roman"/>
      <w:sz w:val="24"/>
      <w:szCs w:val="30"/>
      <w:lang w:val="zh-CN"/>
    </w:rPr>
  </w:style>
  <w:style w:type="paragraph" w:customStyle="1" w:styleId="2325">
    <w:name w:val="正文文本31"/>
    <w:basedOn w:val="1"/>
    <w:autoRedefine/>
    <w:qFormat/>
    <w:uiPriority w:val="0"/>
    <w:pPr>
      <w:spacing w:after="120"/>
    </w:pPr>
    <w:rPr>
      <w:rFonts w:eastAsia="仿宋_GB2312"/>
      <w:sz w:val="28"/>
      <w:szCs w:val="20"/>
    </w:rPr>
  </w:style>
  <w:style w:type="paragraph" w:customStyle="1" w:styleId="2326">
    <w:name w:val="小表格"/>
    <w:basedOn w:val="1"/>
    <w:autoRedefine/>
    <w:qFormat/>
    <w:uiPriority w:val="0"/>
    <w:pPr>
      <w:widowControl/>
      <w:autoSpaceDE w:val="0"/>
      <w:autoSpaceDN w:val="0"/>
      <w:adjustRightInd w:val="0"/>
      <w:snapToGrid w:val="0"/>
      <w:spacing w:line="360" w:lineRule="auto"/>
      <w:jc w:val="center"/>
    </w:pPr>
    <w:rPr>
      <w:rFonts w:hAnsi="Arial" w:eastAsia="Courier New" w:cs="宋体"/>
      <w:kern w:val="0"/>
      <w:szCs w:val="21"/>
    </w:rPr>
  </w:style>
  <w:style w:type="paragraph" w:customStyle="1" w:styleId="2327">
    <w:name w:val="高段文"/>
    <w:basedOn w:val="1"/>
    <w:autoRedefine/>
    <w:qFormat/>
    <w:uiPriority w:val="0"/>
    <w:pPr>
      <w:spacing w:line="300" w:lineRule="auto"/>
      <w:ind w:firstLine="200" w:firstLineChars="200"/>
    </w:pPr>
    <w:rPr>
      <w:rFonts w:ascii="Arial" w:hAnsi="Arial" w:eastAsia="楷体_GB2312"/>
      <w:sz w:val="28"/>
      <w:szCs w:val="28"/>
    </w:rPr>
  </w:style>
  <w:style w:type="paragraph" w:customStyle="1" w:styleId="2328">
    <w:name w:val="样式 标题 2二级标题标题 lxb2标题21.1H2h2第一层条二级标题 Char单位名4.1SeHea..."/>
    <w:basedOn w:val="1332"/>
    <w:next w:val="1332"/>
    <w:autoRedefine/>
    <w:qFormat/>
    <w:uiPriority w:val="0"/>
    <w:pPr>
      <w:widowControl/>
      <w:adjustRightInd/>
      <w:snapToGrid/>
      <w:spacing w:line="240" w:lineRule="auto"/>
      <w:ind w:firstLine="0"/>
      <w:jc w:val="left"/>
      <w:textAlignment w:val="auto"/>
    </w:pPr>
    <w:rPr>
      <w:rFonts w:ascii="Times New Roman" w:hAnsi="Times New Roman" w:eastAsia="黑体" w:cs="宋体"/>
      <w:b/>
      <w:szCs w:val="21"/>
    </w:rPr>
  </w:style>
  <w:style w:type="paragraph" w:customStyle="1" w:styleId="2329">
    <w:name w:val="Char Char2 Char Char Char Char Char Char"/>
    <w:basedOn w:val="1"/>
    <w:autoRedefine/>
    <w:qFormat/>
    <w:uiPriority w:val="0"/>
    <w:pPr>
      <w:spacing w:line="480" w:lineRule="exact"/>
    </w:pPr>
    <w:rPr>
      <w:rFonts w:eastAsia="仿宋_GB2312"/>
      <w:sz w:val="22"/>
      <w:szCs w:val="21"/>
    </w:rPr>
  </w:style>
  <w:style w:type="paragraph" w:customStyle="1" w:styleId="2330">
    <w:name w:val="表格内"/>
    <w:basedOn w:val="1"/>
    <w:autoRedefine/>
    <w:qFormat/>
    <w:uiPriority w:val="0"/>
    <w:pPr>
      <w:adjustRightInd w:val="0"/>
      <w:spacing w:line="240" w:lineRule="atLeast"/>
      <w:jc w:val="center"/>
      <w:textAlignment w:val="baseline"/>
    </w:pPr>
    <w:rPr>
      <w:rFonts w:eastAsia="仿宋_GB2312"/>
      <w:kern w:val="0"/>
      <w:sz w:val="28"/>
      <w:szCs w:val="28"/>
    </w:rPr>
  </w:style>
  <w:style w:type="paragraph" w:customStyle="1" w:styleId="2331">
    <w:name w:val="hhcwt标题3"/>
    <w:basedOn w:val="1"/>
    <w:autoRedefine/>
    <w:qFormat/>
    <w:uiPriority w:val="0"/>
    <w:pPr>
      <w:keepNext/>
      <w:keepLines/>
      <w:spacing w:line="336" w:lineRule="auto"/>
      <w:outlineLvl w:val="2"/>
    </w:pPr>
    <w:rPr>
      <w:rFonts w:eastAsia="楷体_GB2312"/>
      <w:bCs/>
      <w:sz w:val="28"/>
      <w:szCs w:val="20"/>
    </w:rPr>
  </w:style>
  <w:style w:type="paragraph" w:customStyle="1" w:styleId="2332">
    <w:name w:val="wg"/>
    <w:basedOn w:val="1"/>
    <w:autoRedefine/>
    <w:qFormat/>
    <w:uiPriority w:val="0"/>
    <w:rPr>
      <w:rFonts w:eastAsia="仿宋_GB2312"/>
      <w:sz w:val="28"/>
      <w:szCs w:val="20"/>
    </w:rPr>
  </w:style>
  <w:style w:type="paragraph" w:customStyle="1" w:styleId="2333">
    <w:name w:val="标题A"/>
    <w:basedOn w:val="1"/>
    <w:autoRedefine/>
    <w:qFormat/>
    <w:uiPriority w:val="0"/>
    <w:pPr>
      <w:widowControl/>
      <w:spacing w:beforeLines="50" w:afterLines="50" w:line="420" w:lineRule="atLeast"/>
      <w:jc w:val="left"/>
    </w:pPr>
    <w:rPr>
      <w:rFonts w:eastAsia="黑体"/>
      <w:b/>
      <w:sz w:val="36"/>
      <w:szCs w:val="21"/>
    </w:rPr>
  </w:style>
  <w:style w:type="paragraph" w:customStyle="1" w:styleId="2334">
    <w:name w:val="Char Char Char Char Char Char Char Char Char Char Char Char Char Char Char Char Char Char Char Char Char Char Char Char Char Char Char Char Char Char Char Char Char Char Char Char Char Char Char Char Char Char"/>
    <w:basedOn w:val="1"/>
    <w:autoRedefine/>
    <w:qFormat/>
    <w:uiPriority w:val="0"/>
    <w:pPr>
      <w:widowControl/>
      <w:jc w:val="left"/>
    </w:pPr>
    <w:rPr>
      <w:rFonts w:eastAsia="仿宋_GB2312"/>
      <w:sz w:val="28"/>
      <w:szCs w:val="21"/>
    </w:rPr>
  </w:style>
  <w:style w:type="paragraph" w:customStyle="1" w:styleId="2335">
    <w:name w:val="Char Char Char1 Char Char Char Char3"/>
    <w:basedOn w:val="1"/>
    <w:autoRedefine/>
    <w:qFormat/>
    <w:uiPriority w:val="0"/>
    <w:rPr>
      <w:rFonts w:eastAsia="仿宋_GB2312"/>
      <w:sz w:val="28"/>
      <w:szCs w:val="21"/>
    </w:rPr>
  </w:style>
  <w:style w:type="paragraph" w:customStyle="1" w:styleId="2336">
    <w:name w:val="Char4 Char Char Char6"/>
    <w:basedOn w:val="1"/>
    <w:autoRedefine/>
    <w:qFormat/>
    <w:uiPriority w:val="0"/>
    <w:rPr>
      <w:rFonts w:eastAsia="仿宋_GB2312"/>
      <w:sz w:val="28"/>
      <w:szCs w:val="21"/>
    </w:rPr>
  </w:style>
  <w:style w:type="paragraph" w:customStyle="1" w:styleId="2337">
    <w:name w:val="样式 标题 2 + 首行缩进:  2 字符"/>
    <w:basedOn w:val="3"/>
    <w:autoRedefine/>
    <w:qFormat/>
    <w:uiPriority w:val="0"/>
    <w:pPr>
      <w:keepNext w:val="0"/>
      <w:keepLines w:val="0"/>
      <w:spacing w:before="0" w:after="0" w:line="400" w:lineRule="exact"/>
      <w:jc w:val="center"/>
      <w:outlineLvl w:val="9"/>
    </w:pPr>
    <w:rPr>
      <w:rFonts w:eastAsia="华文中宋"/>
      <w:bCs/>
      <w:color w:val="0000FF"/>
      <w:spacing w:val="-2"/>
      <w:kern w:val="2"/>
      <w:szCs w:val="24"/>
      <w:lang w:val="zh-CN"/>
    </w:rPr>
  </w:style>
  <w:style w:type="paragraph" w:customStyle="1" w:styleId="2338">
    <w:name w:val="Char Char Char1 Char Char Char Char Char Char Char Char Char Char Char Char Char Char Char Char"/>
    <w:basedOn w:val="1"/>
    <w:autoRedefine/>
    <w:qFormat/>
    <w:uiPriority w:val="0"/>
    <w:rPr>
      <w:rFonts w:eastAsia="仿宋_GB2312"/>
      <w:sz w:val="28"/>
      <w:szCs w:val="21"/>
    </w:rPr>
  </w:style>
  <w:style w:type="paragraph" w:customStyle="1" w:styleId="2339">
    <w:name w:val="列出段落11"/>
    <w:basedOn w:val="1"/>
    <w:autoRedefine/>
    <w:qFormat/>
    <w:uiPriority w:val="0"/>
    <w:pPr>
      <w:widowControl/>
      <w:ind w:firstLine="420"/>
      <w:jc w:val="left"/>
    </w:pPr>
    <w:rPr>
      <w:rFonts w:eastAsia="仿宋_GB2312"/>
      <w:sz w:val="28"/>
      <w:szCs w:val="21"/>
    </w:rPr>
  </w:style>
  <w:style w:type="paragraph" w:customStyle="1" w:styleId="2340">
    <w:name w:val="报告名"/>
    <w:basedOn w:val="1"/>
    <w:autoRedefine/>
    <w:qFormat/>
    <w:uiPriority w:val="0"/>
    <w:pPr>
      <w:tabs>
        <w:tab w:val="left" w:pos="1727"/>
        <w:tab w:val="left" w:pos="1884"/>
      </w:tabs>
      <w:adjustRightInd w:val="0"/>
      <w:snapToGrid w:val="0"/>
      <w:spacing w:line="360" w:lineRule="auto"/>
      <w:ind w:left="26"/>
      <w:jc w:val="center"/>
      <w:outlineLvl w:val="0"/>
    </w:pPr>
    <w:rPr>
      <w:rFonts w:ascii="文鼎大标宋简" w:eastAsia="文鼎大标宋简"/>
      <w:sz w:val="56"/>
      <w:szCs w:val="20"/>
    </w:rPr>
  </w:style>
  <w:style w:type="paragraph" w:customStyle="1" w:styleId="2341">
    <w:name w:val="标题样式3"/>
    <w:basedOn w:val="5"/>
    <w:autoRedefine/>
    <w:qFormat/>
    <w:uiPriority w:val="0"/>
    <w:pPr>
      <w:tabs>
        <w:tab w:val="left" w:pos="7088"/>
      </w:tabs>
      <w:adjustRightInd w:val="0"/>
      <w:spacing w:beforeLines="50" w:after="0" w:line="360" w:lineRule="auto"/>
    </w:pPr>
    <w:rPr>
      <w:rFonts w:ascii="黑体" w:hAnsi="Times New Roman" w:eastAsia="黑体" w:cs="Times New Roman"/>
      <w:sz w:val="24"/>
      <w:szCs w:val="30"/>
      <w:lang w:val="zh-CN"/>
    </w:rPr>
  </w:style>
  <w:style w:type="paragraph" w:customStyle="1" w:styleId="2342">
    <w:name w:val="表文_L5"/>
    <w:autoRedefine/>
    <w:qFormat/>
    <w:uiPriority w:val="0"/>
    <w:rPr>
      <w:rFonts w:ascii="Garamond" w:hAnsi="Garamond" w:eastAsia="楷体_GB2312" w:cs="宋体"/>
      <w:bCs/>
      <w:kern w:val="2"/>
      <w:sz w:val="21"/>
      <w:szCs w:val="21"/>
      <w:lang w:val="en-US" w:eastAsia="zh-CN" w:bidi="ar-SA"/>
    </w:rPr>
  </w:style>
  <w:style w:type="paragraph" w:customStyle="1" w:styleId="2343">
    <w:name w:val="hhcwt表头"/>
    <w:basedOn w:val="1"/>
    <w:autoRedefine/>
    <w:qFormat/>
    <w:uiPriority w:val="0"/>
    <w:pPr>
      <w:spacing w:after="120" w:line="500" w:lineRule="exact"/>
      <w:jc w:val="center"/>
    </w:pPr>
    <w:rPr>
      <w:rFonts w:ascii="楷体_GB2312" w:eastAsia="楷体_GB2312"/>
      <w:b/>
      <w:bCs/>
      <w:kern w:val="0"/>
      <w:szCs w:val="20"/>
    </w:rPr>
  </w:style>
  <w:style w:type="paragraph" w:customStyle="1" w:styleId="2344">
    <w:name w:val="样式 标题 2 + 左侧:  0 厘米 首行缩进:  0 厘米 段前: 0.5 行"/>
    <w:basedOn w:val="4"/>
    <w:autoRedefine/>
    <w:qFormat/>
    <w:uiPriority w:val="0"/>
    <w:pPr>
      <w:keepNext w:val="0"/>
      <w:keepLines w:val="0"/>
      <w:tabs>
        <w:tab w:val="left" w:pos="969"/>
        <w:tab w:val="clear" w:pos="1276"/>
      </w:tabs>
      <w:autoSpaceDE w:val="0"/>
      <w:autoSpaceDN w:val="0"/>
      <w:snapToGrid w:val="0"/>
      <w:spacing w:before="0" w:beforeLines="100" w:after="0"/>
      <w:ind w:left="0"/>
      <w:contextualSpacing/>
    </w:pPr>
    <w:rPr>
      <w:rFonts w:ascii="Times New Roman" w:hAnsi="Times New Roman" w:cs="宋体"/>
      <w:b w:val="0"/>
      <w:snapToGrid w:val="0"/>
      <w:kern w:val="44"/>
      <w:sz w:val="32"/>
      <w:szCs w:val="32"/>
      <w:lang w:val="zh-CN"/>
    </w:rPr>
  </w:style>
  <w:style w:type="paragraph" w:customStyle="1" w:styleId="2345">
    <w:name w:val="样式 小四 加粗 行距: 1.5 倍行距"/>
    <w:basedOn w:val="1"/>
    <w:autoRedefine/>
    <w:qFormat/>
    <w:uiPriority w:val="0"/>
    <w:pPr>
      <w:widowControl/>
      <w:jc w:val="left"/>
    </w:pPr>
    <w:rPr>
      <w:rFonts w:eastAsia="仿宋_GB2312" w:cs="宋体"/>
      <w:b/>
      <w:bCs/>
      <w:szCs w:val="20"/>
    </w:rPr>
  </w:style>
  <w:style w:type="paragraph" w:customStyle="1" w:styleId="2346">
    <w:name w:val="样式 首行缩进:  2 字符 行距: 1.5 倍行距"/>
    <w:basedOn w:val="1"/>
    <w:autoRedefine/>
    <w:qFormat/>
    <w:uiPriority w:val="0"/>
    <w:pPr>
      <w:spacing w:line="360" w:lineRule="auto"/>
      <w:ind w:firstLine="200" w:firstLineChars="200"/>
      <w:jc w:val="left"/>
    </w:pPr>
    <w:rPr>
      <w:rFonts w:eastAsia="仿宋_GB2312" w:cs="宋体"/>
      <w:snapToGrid w:val="0"/>
      <w:kern w:val="0"/>
      <w:szCs w:val="21"/>
    </w:rPr>
  </w:style>
  <w:style w:type="paragraph" w:customStyle="1" w:styleId="2347">
    <w:name w:val="AAAAAAAAAAAA"/>
    <w:basedOn w:val="1"/>
    <w:autoRedefine/>
    <w:qFormat/>
    <w:uiPriority w:val="0"/>
    <w:pPr>
      <w:jc w:val="center"/>
    </w:pPr>
    <w:rPr>
      <w:rFonts w:eastAsia="仿宋_GB2312"/>
      <w:bCs/>
      <w:sz w:val="28"/>
      <w:szCs w:val="21"/>
    </w:rPr>
  </w:style>
  <w:style w:type="paragraph" w:customStyle="1" w:styleId="2348">
    <w:name w:val="标题 二级"/>
    <w:basedOn w:val="1"/>
    <w:autoRedefine/>
    <w:qFormat/>
    <w:uiPriority w:val="0"/>
    <w:pPr>
      <w:widowControl/>
      <w:adjustRightInd w:val="0"/>
      <w:snapToGrid w:val="0"/>
      <w:spacing w:line="360" w:lineRule="auto"/>
      <w:jc w:val="left"/>
      <w:outlineLvl w:val="1"/>
    </w:pPr>
    <w:rPr>
      <w:rFonts w:eastAsia="仿宋_GB2312" w:cs="宋体"/>
      <w:b/>
      <w:kern w:val="0"/>
      <w:sz w:val="30"/>
      <w:szCs w:val="30"/>
    </w:rPr>
  </w:style>
  <w:style w:type="paragraph" w:customStyle="1" w:styleId="2349">
    <w:name w:val="样式 标题 1 + 左侧:  2 字符"/>
    <w:basedOn w:val="3"/>
    <w:next w:val="1"/>
    <w:autoRedefine/>
    <w:qFormat/>
    <w:uiPriority w:val="0"/>
    <w:pPr>
      <w:widowControl/>
      <w:tabs>
        <w:tab w:val="left" w:pos="0"/>
      </w:tabs>
      <w:spacing w:before="0" w:after="0" w:line="480" w:lineRule="auto"/>
      <w:ind w:left="912" w:hanging="914"/>
      <w:jc w:val="left"/>
    </w:pPr>
    <w:rPr>
      <w:rFonts w:eastAsia="仿宋_GB2312"/>
      <w:sz w:val="24"/>
      <w:szCs w:val="24"/>
      <w:lang w:val="zh-CN"/>
    </w:rPr>
  </w:style>
  <w:style w:type="paragraph" w:customStyle="1" w:styleId="2350">
    <w:name w:val="题注 + 居中"/>
    <w:basedOn w:val="22"/>
    <w:autoRedefine/>
    <w:qFormat/>
    <w:uiPriority w:val="0"/>
    <w:pPr>
      <w:keepNext/>
      <w:snapToGrid w:val="0"/>
      <w:spacing w:line="240" w:lineRule="auto"/>
      <w:ind w:firstLine="0"/>
      <w:jc w:val="center"/>
      <w:textAlignment w:val="auto"/>
    </w:pPr>
    <w:rPr>
      <w:spacing w:val="0"/>
      <w:kern w:val="2"/>
      <w:sz w:val="24"/>
      <w:szCs w:val="22"/>
    </w:rPr>
  </w:style>
  <w:style w:type="paragraph" w:customStyle="1" w:styleId="2351">
    <w:name w:val="标题5"/>
    <w:basedOn w:val="3"/>
    <w:autoRedefine/>
    <w:qFormat/>
    <w:uiPriority w:val="0"/>
    <w:pPr>
      <w:widowControl/>
      <w:overflowPunct w:val="0"/>
      <w:snapToGrid w:val="0"/>
      <w:spacing w:before="0" w:after="0" w:line="240" w:lineRule="auto"/>
      <w:outlineLvl w:val="4"/>
    </w:pPr>
    <w:rPr>
      <w:rFonts w:eastAsia="仿宋_GB2312"/>
      <w:kern w:val="0"/>
      <w:sz w:val="28"/>
      <w:lang w:val="zh-CN"/>
    </w:rPr>
  </w:style>
  <w:style w:type="paragraph" w:customStyle="1" w:styleId="2352">
    <w:name w:val="Char1 Char Char Char Char Char Char11"/>
    <w:basedOn w:val="1"/>
    <w:autoRedefine/>
    <w:qFormat/>
    <w:uiPriority w:val="0"/>
    <w:pPr>
      <w:widowControl/>
      <w:jc w:val="left"/>
    </w:pPr>
    <w:rPr>
      <w:rFonts w:eastAsia="仿宋_GB2312"/>
      <w:szCs w:val="21"/>
    </w:rPr>
  </w:style>
  <w:style w:type="paragraph" w:customStyle="1" w:styleId="2353">
    <w:name w:val="正文图五"/>
    <w:basedOn w:val="1"/>
    <w:autoRedefine/>
    <w:qFormat/>
    <w:uiPriority w:val="0"/>
    <w:pPr>
      <w:widowControl/>
      <w:adjustRightInd w:val="0"/>
      <w:snapToGrid w:val="0"/>
      <w:jc w:val="center"/>
    </w:pPr>
    <w:rPr>
      <w:rFonts w:eastAsia="仿宋_GB2312"/>
      <w:snapToGrid w:val="0"/>
      <w:spacing w:val="6"/>
      <w:sz w:val="28"/>
      <w:szCs w:val="20"/>
    </w:rPr>
  </w:style>
  <w:style w:type="paragraph" w:customStyle="1" w:styleId="2354">
    <w:name w:val="正文缩进2"/>
    <w:basedOn w:val="1"/>
    <w:autoRedefine/>
    <w:qFormat/>
    <w:uiPriority w:val="0"/>
    <w:pPr>
      <w:ind w:firstLine="200" w:firstLineChars="200"/>
    </w:pPr>
    <w:rPr>
      <w:rFonts w:eastAsia="仿宋_GB2312"/>
      <w:szCs w:val="21"/>
    </w:rPr>
  </w:style>
  <w:style w:type="paragraph" w:customStyle="1" w:styleId="2355">
    <w:name w:val="样式 表格 + 左  25 字符1"/>
    <w:basedOn w:val="373"/>
    <w:autoRedefine/>
    <w:qFormat/>
    <w:uiPriority w:val="0"/>
    <w:pPr>
      <w:widowControl/>
      <w:adjustRightInd w:val="0"/>
      <w:snapToGrid w:val="0"/>
      <w:ind w:firstLine="14"/>
    </w:pPr>
    <w:rPr>
      <w:rFonts w:ascii="Times New Roman" w:hAnsi="Times New Roman" w:cs="宋体"/>
      <w:sz w:val="18"/>
      <w:szCs w:val="22"/>
    </w:rPr>
  </w:style>
  <w:style w:type="paragraph" w:customStyle="1" w:styleId="2356">
    <w:name w:val="Char Char Char Char Char Char Char Char Char Char Char Char Char Char Char1 Char Char Char Char Char Char Char Char Char Char Char Char Char"/>
    <w:basedOn w:val="1"/>
    <w:autoRedefine/>
    <w:qFormat/>
    <w:uiPriority w:val="0"/>
    <w:pPr>
      <w:autoSpaceDE w:val="0"/>
      <w:autoSpaceDN w:val="0"/>
      <w:adjustRightInd w:val="0"/>
      <w:snapToGrid w:val="0"/>
      <w:spacing w:before="50" w:after="50" w:line="360" w:lineRule="auto"/>
      <w:ind w:firstLine="200" w:firstLineChars="200"/>
    </w:pPr>
    <w:rPr>
      <w:rFonts w:eastAsia="仿宋_GB2312"/>
      <w:color w:val="000000"/>
      <w:szCs w:val="21"/>
    </w:rPr>
  </w:style>
  <w:style w:type="paragraph" w:customStyle="1" w:styleId="2357">
    <w:name w:val="11 Char Char Char Char Char Char Char Char Char Char Char Char Char Char Char1 Char"/>
    <w:basedOn w:val="1"/>
    <w:autoRedefine/>
    <w:qFormat/>
    <w:uiPriority w:val="0"/>
    <w:pPr>
      <w:snapToGrid w:val="0"/>
      <w:spacing w:line="360" w:lineRule="auto"/>
      <w:ind w:firstLine="200" w:firstLineChars="200"/>
    </w:pPr>
    <w:rPr>
      <w:rFonts w:eastAsia="仿宋_GB2312"/>
      <w:szCs w:val="21"/>
    </w:rPr>
  </w:style>
  <w:style w:type="paragraph" w:customStyle="1" w:styleId="2358">
    <w:name w:val="??"/>
    <w:autoRedefine/>
    <w:qFormat/>
    <w:uiPriority w:val="0"/>
    <w:pPr>
      <w:widowControl w:val="0"/>
      <w:overflowPunct w:val="0"/>
      <w:autoSpaceDE w:val="0"/>
      <w:autoSpaceDN w:val="0"/>
      <w:adjustRightInd w:val="0"/>
      <w:jc w:val="both"/>
      <w:textAlignment w:val="baseline"/>
    </w:pPr>
    <w:rPr>
      <w:rFonts w:ascii="Times New Roman" w:hAnsi="Times New Roman" w:eastAsia="仿宋_GB2312" w:cs="宋体"/>
      <w:kern w:val="2"/>
      <w:sz w:val="21"/>
      <w:szCs w:val="21"/>
      <w:lang w:val="en-US" w:eastAsia="zh-CN" w:bidi="ar-SA"/>
    </w:rPr>
  </w:style>
  <w:style w:type="paragraph" w:customStyle="1" w:styleId="2359">
    <w:name w:val="Char4 Char Char Char Char Char Char Char Char Char Char Char Char Char Char Char Char Char1 Char Char Char Char"/>
    <w:basedOn w:val="1"/>
    <w:autoRedefine/>
    <w:qFormat/>
    <w:uiPriority w:val="0"/>
    <w:pPr>
      <w:widowControl/>
      <w:spacing w:line="240" w:lineRule="exact"/>
      <w:jc w:val="left"/>
    </w:pPr>
    <w:rPr>
      <w:rFonts w:eastAsia="仿宋_GB2312"/>
      <w:sz w:val="28"/>
      <w:szCs w:val="28"/>
    </w:rPr>
  </w:style>
  <w:style w:type="paragraph" w:customStyle="1" w:styleId="2360">
    <w:name w:val="正文文本缩进2"/>
    <w:basedOn w:val="1"/>
    <w:autoRedefine/>
    <w:qFormat/>
    <w:uiPriority w:val="0"/>
    <w:pPr>
      <w:widowControl/>
      <w:spacing w:after="120"/>
      <w:ind w:left="200" w:leftChars="200"/>
      <w:jc w:val="left"/>
    </w:pPr>
    <w:rPr>
      <w:rFonts w:eastAsia="仿宋_GB2312"/>
      <w:szCs w:val="21"/>
    </w:rPr>
  </w:style>
  <w:style w:type="paragraph" w:customStyle="1" w:styleId="2361">
    <w:name w:val="表格001"/>
    <w:basedOn w:val="1"/>
    <w:autoRedefine/>
    <w:qFormat/>
    <w:uiPriority w:val="0"/>
    <w:pPr>
      <w:jc w:val="center"/>
    </w:pPr>
    <w:rPr>
      <w:rFonts w:eastAsia="仿宋_GB2312"/>
      <w:sz w:val="28"/>
      <w:szCs w:val="20"/>
    </w:rPr>
  </w:style>
  <w:style w:type="paragraph" w:customStyle="1" w:styleId="2362">
    <w:name w:val="样式 样式1 + 首行缩进:  2 字符"/>
    <w:basedOn w:val="1"/>
    <w:autoRedefine/>
    <w:qFormat/>
    <w:uiPriority w:val="0"/>
    <w:pPr>
      <w:spacing w:line="500" w:lineRule="exact"/>
      <w:ind w:firstLine="200" w:firstLineChars="200"/>
    </w:pPr>
    <w:rPr>
      <w:rFonts w:eastAsia="仿宋_GB2312" w:cs="宋体"/>
      <w:sz w:val="28"/>
      <w:szCs w:val="20"/>
    </w:rPr>
  </w:style>
  <w:style w:type="paragraph" w:customStyle="1" w:styleId="2363">
    <w:name w:val="样式 标题 1 + 段前: 8.25 磅"/>
    <w:basedOn w:val="3"/>
    <w:autoRedefine/>
    <w:qFormat/>
    <w:uiPriority w:val="0"/>
    <w:pPr>
      <w:pageBreakBefore/>
      <w:tabs>
        <w:tab w:val="left" w:pos="0"/>
      </w:tabs>
      <w:autoSpaceDE w:val="0"/>
      <w:autoSpaceDN w:val="0"/>
      <w:adjustRightInd w:val="0"/>
      <w:spacing w:before="0" w:beforeLines="100" w:after="0" w:line="360" w:lineRule="auto"/>
      <w:ind w:left="572" w:hanging="567"/>
      <w:jc w:val="center"/>
      <w:textAlignment w:val="baseline"/>
    </w:pPr>
    <w:rPr>
      <w:rFonts w:eastAsia="黑体" w:cs="宋体"/>
      <w:b w:val="0"/>
      <w:snapToGrid w:val="0"/>
      <w:spacing w:val="10"/>
      <w:sz w:val="36"/>
      <w:lang w:val="zh-CN"/>
    </w:rPr>
  </w:style>
  <w:style w:type="paragraph" w:customStyle="1" w:styleId="2364">
    <w:name w:val="Char Char Char Char Char Char Char Char Char1 Char Char Char Char Char Char Char Char"/>
    <w:basedOn w:val="1"/>
    <w:autoRedefine/>
    <w:qFormat/>
    <w:uiPriority w:val="0"/>
    <w:pPr>
      <w:snapToGrid w:val="0"/>
      <w:spacing w:line="360" w:lineRule="auto"/>
      <w:ind w:firstLine="200" w:firstLineChars="200"/>
    </w:pPr>
    <w:rPr>
      <w:rFonts w:eastAsia="仿宋_GB2312"/>
      <w:szCs w:val="21"/>
    </w:rPr>
  </w:style>
  <w:style w:type="paragraph" w:customStyle="1" w:styleId="2365">
    <w:name w:val="样式 居中 首行缩进:  0.85 厘米 行距: 固定值 25 磅"/>
    <w:basedOn w:val="1"/>
    <w:autoRedefine/>
    <w:qFormat/>
    <w:uiPriority w:val="0"/>
    <w:pPr>
      <w:widowControl/>
      <w:spacing w:line="500" w:lineRule="exact"/>
      <w:jc w:val="center"/>
    </w:pPr>
    <w:rPr>
      <w:rFonts w:eastAsia="仿宋_GB2312"/>
      <w:sz w:val="28"/>
      <w:szCs w:val="20"/>
    </w:rPr>
  </w:style>
  <w:style w:type="paragraph" w:customStyle="1" w:styleId="2366">
    <w:name w:val="b14-1-no"/>
    <w:basedOn w:val="1"/>
    <w:autoRedefine/>
    <w:qFormat/>
    <w:uiPriority w:val="0"/>
    <w:pPr>
      <w:widowControl/>
      <w:spacing w:before="100" w:beforeAutospacing="1" w:after="100" w:afterAutospacing="1" w:line="270" w:lineRule="atLeast"/>
      <w:jc w:val="left"/>
    </w:pPr>
    <w:rPr>
      <w:rFonts w:eastAsia="Arial Unicode MS" w:cs="Arial Unicode MS"/>
      <w:color w:val="2E2E2E"/>
      <w:kern w:val="0"/>
      <w:sz w:val="20"/>
      <w:szCs w:val="20"/>
    </w:rPr>
  </w:style>
  <w:style w:type="paragraph" w:customStyle="1" w:styleId="2367">
    <w:name w:val="样式 标题 3 + 段前: 0.5 行 行距: 1.5 倍行距"/>
    <w:basedOn w:val="5"/>
    <w:autoRedefine/>
    <w:qFormat/>
    <w:uiPriority w:val="0"/>
    <w:pPr>
      <w:keepNext w:val="0"/>
      <w:keepLines w:val="0"/>
      <w:tabs>
        <w:tab w:val="left" w:pos="720"/>
        <w:tab w:val="left" w:pos="1085"/>
        <w:tab w:val="left" w:pos="7088"/>
      </w:tabs>
      <w:autoSpaceDE w:val="0"/>
      <w:autoSpaceDN w:val="0"/>
      <w:adjustRightInd w:val="0"/>
      <w:snapToGrid w:val="0"/>
      <w:spacing w:beforeLines="100" w:after="0" w:line="360" w:lineRule="auto"/>
      <w:ind w:left="232" w:hanging="227"/>
      <w:jc w:val="left"/>
      <w:textAlignment w:val="baseline"/>
    </w:pPr>
    <w:rPr>
      <w:rFonts w:ascii="Times New Roman" w:hAnsi="Times New Roman" w:eastAsia="黑体" w:cs="宋体"/>
      <w:b w:val="0"/>
      <w:bCs w:val="0"/>
      <w:snapToGrid w:val="0"/>
      <w:kern w:val="0"/>
      <w:sz w:val="30"/>
      <w:szCs w:val="30"/>
      <w:lang w:val="zh-CN"/>
    </w:rPr>
  </w:style>
  <w:style w:type="paragraph" w:customStyle="1" w:styleId="2368">
    <w:name w:val="标题 一级"/>
    <w:basedOn w:val="1"/>
    <w:autoRedefine/>
    <w:qFormat/>
    <w:uiPriority w:val="0"/>
    <w:pPr>
      <w:widowControl/>
      <w:adjustRightInd w:val="0"/>
      <w:snapToGrid w:val="0"/>
      <w:spacing w:line="360" w:lineRule="auto"/>
      <w:jc w:val="left"/>
      <w:outlineLvl w:val="0"/>
    </w:pPr>
    <w:rPr>
      <w:rFonts w:eastAsia="仿宋_GB2312" w:cs="宋体"/>
      <w:b/>
      <w:kern w:val="0"/>
      <w:sz w:val="32"/>
      <w:szCs w:val="32"/>
    </w:rPr>
  </w:style>
  <w:style w:type="paragraph" w:customStyle="1" w:styleId="2369">
    <w:name w:val="hhcwt标题1"/>
    <w:basedOn w:val="1"/>
    <w:autoRedefine/>
    <w:qFormat/>
    <w:uiPriority w:val="0"/>
    <w:pPr>
      <w:keepNext/>
      <w:keepLines/>
      <w:autoSpaceDE w:val="0"/>
      <w:autoSpaceDN w:val="0"/>
      <w:adjustRightInd w:val="0"/>
      <w:spacing w:before="120" w:after="120" w:line="336" w:lineRule="auto"/>
      <w:outlineLvl w:val="0"/>
    </w:pPr>
    <w:rPr>
      <w:rFonts w:eastAsia="黑体"/>
      <w:kern w:val="44"/>
      <w:sz w:val="36"/>
      <w:szCs w:val="20"/>
      <w:lang w:val="zh-CN"/>
    </w:rPr>
  </w:style>
  <w:style w:type="paragraph" w:customStyle="1" w:styleId="2370">
    <w:name w:val="Char Char Char Char Char Char Char Char Char Char Char Char Char Char Char Char Char Char Char Char Char Char Char Char Char Char Char Char Char Char Char Char Char Char Char Char Char Char Char Char Char Char1"/>
    <w:basedOn w:val="1"/>
    <w:autoRedefine/>
    <w:qFormat/>
    <w:uiPriority w:val="0"/>
    <w:pPr>
      <w:widowControl/>
      <w:jc w:val="left"/>
    </w:pPr>
    <w:rPr>
      <w:rFonts w:eastAsia="仿宋_GB2312"/>
      <w:sz w:val="28"/>
      <w:szCs w:val="21"/>
    </w:rPr>
  </w:style>
  <w:style w:type="paragraph" w:customStyle="1" w:styleId="2371">
    <w:name w:val="zg1"/>
    <w:basedOn w:val="35"/>
    <w:autoRedefine/>
    <w:qFormat/>
    <w:uiPriority w:val="0"/>
    <w:pPr>
      <w:snapToGrid/>
      <w:spacing w:before="0" w:line="360" w:lineRule="auto"/>
      <w:ind w:firstLine="200" w:firstLineChars="200"/>
    </w:pPr>
    <w:rPr>
      <w:rFonts w:ascii="仿宋_GB2312" w:eastAsia="仿宋_GB2312"/>
      <w:sz w:val="28"/>
      <w:lang w:val="zh-CN"/>
    </w:rPr>
  </w:style>
  <w:style w:type="paragraph" w:customStyle="1" w:styleId="2372">
    <w:name w:val="hhcwt标题4"/>
    <w:basedOn w:val="6"/>
    <w:autoRedefine/>
    <w:qFormat/>
    <w:uiPriority w:val="0"/>
    <w:pPr>
      <w:tabs>
        <w:tab w:val="left" w:pos="969"/>
        <w:tab w:val="clear" w:pos="2976"/>
      </w:tabs>
      <w:autoSpaceDE w:val="0"/>
      <w:autoSpaceDN w:val="0"/>
      <w:adjustRightInd w:val="0"/>
      <w:snapToGrid w:val="0"/>
      <w:spacing w:beforeLines="100" w:after="0" w:line="360" w:lineRule="auto"/>
      <w:ind w:left="0"/>
      <w:textAlignment w:val="baseline"/>
    </w:pPr>
    <w:rPr>
      <w:rFonts w:ascii="Times New Roman" w:hAnsi="Times New Roman" w:eastAsia="仿宋_GB2312"/>
      <w:b w:val="0"/>
      <w:bCs w:val="0"/>
      <w:snapToGrid w:val="0"/>
      <w:sz w:val="21"/>
      <w:szCs w:val="20"/>
      <w:lang w:val="zh-CN"/>
    </w:rPr>
  </w:style>
  <w:style w:type="paragraph" w:customStyle="1" w:styleId="2373">
    <w:name w:val="样式 标题 3条标题1.1.1条标题1.1.11条标题1.1.12条标题1.1.13条标题1.1.111条标题1.1...2"/>
    <w:basedOn w:val="5"/>
    <w:autoRedefine/>
    <w:qFormat/>
    <w:uiPriority w:val="0"/>
    <w:pPr>
      <w:widowControl/>
      <w:tabs>
        <w:tab w:val="left" w:pos="0"/>
        <w:tab w:val="left" w:pos="7088"/>
      </w:tabs>
      <w:adjustRightInd w:val="0"/>
      <w:spacing w:beforeLines="50" w:after="0" w:line="500" w:lineRule="exact"/>
      <w:jc w:val="left"/>
    </w:pPr>
    <w:rPr>
      <w:rFonts w:ascii="宋体" w:hAnsi="Times New Roman" w:eastAsia="仿宋_GB2312" w:cs="宋体"/>
      <w:kern w:val="0"/>
      <w:sz w:val="24"/>
      <w:szCs w:val="20"/>
      <w:lang w:val="zh-CN"/>
    </w:rPr>
  </w:style>
  <w:style w:type="paragraph" w:customStyle="1" w:styleId="2374">
    <w:name w:val="无框文本框"/>
    <w:basedOn w:val="1"/>
    <w:autoRedefine/>
    <w:qFormat/>
    <w:uiPriority w:val="0"/>
    <w:pPr>
      <w:spacing w:line="240" w:lineRule="exact"/>
    </w:pPr>
    <w:rPr>
      <w:rFonts w:eastAsia="仿宋_GB2312"/>
      <w:spacing w:val="-10"/>
      <w:sz w:val="28"/>
      <w:szCs w:val="21"/>
      <w:lang w:val="en-GB"/>
    </w:rPr>
  </w:style>
  <w:style w:type="paragraph" w:customStyle="1" w:styleId="2375">
    <w:name w:val="样式 标题 4 + 四号 段前: 1 行"/>
    <w:basedOn w:val="6"/>
    <w:autoRedefine/>
    <w:qFormat/>
    <w:uiPriority w:val="0"/>
    <w:pPr>
      <w:tabs>
        <w:tab w:val="left" w:pos="2160"/>
        <w:tab w:val="clear" w:pos="2976"/>
      </w:tabs>
      <w:adjustRightInd w:val="0"/>
      <w:snapToGrid w:val="0"/>
      <w:spacing w:before="312" w:after="0" w:line="420" w:lineRule="exact"/>
      <w:ind w:left="560"/>
    </w:pPr>
    <w:rPr>
      <w:b w:val="0"/>
      <w:bCs w:val="0"/>
      <w:snapToGrid w:val="0"/>
      <w:color w:val="000000"/>
      <w:kern w:val="0"/>
      <w:szCs w:val="20"/>
      <w:lang w:val="zh-CN"/>
    </w:rPr>
  </w:style>
  <w:style w:type="paragraph" w:customStyle="1" w:styleId="2376">
    <w:name w:val="文-1"/>
    <w:basedOn w:val="1"/>
    <w:autoRedefine/>
    <w:qFormat/>
    <w:uiPriority w:val="0"/>
    <w:pPr>
      <w:widowControl/>
      <w:spacing w:before="120"/>
      <w:ind w:left="851" w:firstLine="482"/>
      <w:jc w:val="left"/>
    </w:pPr>
    <w:rPr>
      <w:rFonts w:eastAsia="仿宋_GB2312"/>
      <w:szCs w:val="20"/>
    </w:rPr>
  </w:style>
  <w:style w:type="paragraph" w:customStyle="1" w:styleId="2377">
    <w:name w:val="表文字（小行距）"/>
    <w:basedOn w:val="1268"/>
    <w:autoRedefine/>
    <w:qFormat/>
    <w:uiPriority w:val="0"/>
    <w:pPr>
      <w:widowControl w:val="0"/>
      <w:spacing w:line="240" w:lineRule="exact"/>
      <w:ind w:firstLine="0"/>
      <w:jc w:val="both"/>
    </w:pPr>
    <w:rPr>
      <w:rFonts w:ascii="Times New Roman" w:eastAsia="仿宋_GB2312" w:cs="宋体"/>
      <w:bCs/>
      <w:spacing w:val="0"/>
      <w:kern w:val="2"/>
    </w:rPr>
  </w:style>
  <w:style w:type="paragraph" w:customStyle="1" w:styleId="2378">
    <w:name w:val="Char4 Char Char Char4"/>
    <w:basedOn w:val="1"/>
    <w:autoRedefine/>
    <w:qFormat/>
    <w:uiPriority w:val="0"/>
    <w:rPr>
      <w:rFonts w:eastAsia="仿宋_GB2312"/>
      <w:sz w:val="28"/>
      <w:szCs w:val="21"/>
    </w:rPr>
  </w:style>
  <w:style w:type="paragraph" w:customStyle="1" w:styleId="2379">
    <w:name w:val="表体宋旭峰"/>
    <w:basedOn w:val="45"/>
    <w:autoRedefine/>
    <w:qFormat/>
    <w:uiPriority w:val="0"/>
    <w:pPr>
      <w:widowControl/>
      <w:overflowPunct w:val="0"/>
      <w:adjustRightInd/>
      <w:spacing w:before="0" w:line="280" w:lineRule="atLeast"/>
      <w:jc w:val="center"/>
    </w:pPr>
    <w:rPr>
      <w:rFonts w:hAnsi="Times New Roman" w:eastAsia="仿宋_GB2312" w:cs="Courier New"/>
      <w:snapToGrid w:val="0"/>
      <w:spacing w:val="0"/>
      <w:kern w:val="24"/>
      <w:sz w:val="18"/>
      <w:szCs w:val="22"/>
    </w:rPr>
  </w:style>
  <w:style w:type="paragraph" w:customStyle="1" w:styleId="2380">
    <w:name w:val="二级标题 Char Char Char"/>
    <w:basedOn w:val="1"/>
    <w:next w:val="1"/>
    <w:autoRedefine/>
    <w:qFormat/>
    <w:uiPriority w:val="0"/>
    <w:pPr>
      <w:spacing w:line="529" w:lineRule="exact"/>
      <w:ind w:firstLine="200" w:firstLineChars="200"/>
    </w:pPr>
    <w:rPr>
      <w:rFonts w:eastAsia="仿宋_GB2312" w:cs="宋体"/>
      <w:szCs w:val="21"/>
    </w:rPr>
  </w:style>
  <w:style w:type="paragraph" w:customStyle="1" w:styleId="2381">
    <w:name w:val="Char Char Char Char Char Char Char11"/>
    <w:basedOn w:val="1"/>
    <w:autoRedefine/>
    <w:qFormat/>
    <w:uiPriority w:val="0"/>
    <w:rPr>
      <w:rFonts w:eastAsia="仿宋_GB2312"/>
      <w:sz w:val="28"/>
      <w:szCs w:val="21"/>
    </w:rPr>
  </w:style>
  <w:style w:type="paragraph" w:customStyle="1" w:styleId="2382">
    <w:name w:val="表样式"/>
    <w:basedOn w:val="1"/>
    <w:autoRedefine/>
    <w:qFormat/>
    <w:uiPriority w:val="0"/>
    <w:pPr>
      <w:jc w:val="center"/>
    </w:pPr>
    <w:rPr>
      <w:rFonts w:ascii="仿宋_GB2312" w:hAnsi="仿宋_GB2312" w:eastAsia="黑体"/>
      <w:sz w:val="28"/>
      <w:szCs w:val="21"/>
    </w:rPr>
  </w:style>
  <w:style w:type="paragraph" w:customStyle="1" w:styleId="2383">
    <w:name w:val="00000000000000"/>
    <w:basedOn w:val="4"/>
    <w:autoRedefine/>
    <w:qFormat/>
    <w:uiPriority w:val="0"/>
    <w:pPr>
      <w:keepNext w:val="0"/>
      <w:keepLines w:val="0"/>
      <w:tabs>
        <w:tab w:val="clear" w:pos="1276"/>
      </w:tabs>
      <w:snapToGrid w:val="0"/>
      <w:spacing w:before="0" w:after="0"/>
      <w:ind w:left="0" w:firstLine="200" w:firstLineChars="200"/>
      <w:contextualSpacing/>
      <w:jc w:val="both"/>
      <w:textAlignment w:val="auto"/>
      <w:outlineLvl w:val="9"/>
    </w:pPr>
    <w:rPr>
      <w:rFonts w:ascii="宋体" w:hAnsi="Times New Roman" w:eastAsia="仿宋_GB2312"/>
      <w:b w:val="0"/>
      <w:bCs/>
      <w:kern w:val="18"/>
      <w:sz w:val="24"/>
      <w:szCs w:val="21"/>
      <w:lang w:val="zh-CN"/>
    </w:rPr>
  </w:style>
  <w:style w:type="paragraph" w:customStyle="1" w:styleId="2384">
    <w:name w:val="样式 标题 3 + 段前: 1 行2"/>
    <w:basedOn w:val="5"/>
    <w:autoRedefine/>
    <w:qFormat/>
    <w:uiPriority w:val="0"/>
    <w:pPr>
      <w:keepNext w:val="0"/>
      <w:keepLines w:val="0"/>
      <w:tabs>
        <w:tab w:val="left" w:pos="720"/>
        <w:tab w:val="left" w:pos="1085"/>
        <w:tab w:val="left" w:pos="7088"/>
      </w:tabs>
      <w:autoSpaceDE w:val="0"/>
      <w:autoSpaceDN w:val="0"/>
      <w:adjustRightInd w:val="0"/>
      <w:snapToGrid w:val="0"/>
      <w:spacing w:beforeLines="50" w:after="0" w:line="500" w:lineRule="exact"/>
      <w:ind w:left="232" w:hanging="227"/>
      <w:jc w:val="left"/>
      <w:textAlignment w:val="baseline"/>
    </w:pPr>
    <w:rPr>
      <w:rFonts w:ascii="Times New Roman" w:hAnsi="Times New Roman" w:eastAsia="黑体" w:cs="宋体"/>
      <w:b w:val="0"/>
      <w:bCs w:val="0"/>
      <w:snapToGrid w:val="0"/>
      <w:spacing w:val="10"/>
      <w:kern w:val="0"/>
      <w:sz w:val="30"/>
      <w:szCs w:val="20"/>
      <w:lang w:val="zh-CN"/>
    </w:rPr>
  </w:style>
  <w:style w:type="paragraph" w:customStyle="1" w:styleId="2385">
    <w:name w:val="标题06"/>
    <w:basedOn w:val="1"/>
    <w:autoRedefine/>
    <w:qFormat/>
    <w:uiPriority w:val="0"/>
    <w:pPr>
      <w:adjustRightInd w:val="0"/>
      <w:spacing w:before="2040" w:line="400" w:lineRule="atLeast"/>
      <w:textAlignment w:val="baseline"/>
    </w:pPr>
    <w:rPr>
      <w:rFonts w:eastAsia="黑体"/>
      <w:spacing w:val="10"/>
      <w:kern w:val="0"/>
      <w:sz w:val="28"/>
      <w:szCs w:val="20"/>
    </w:rPr>
  </w:style>
  <w:style w:type="paragraph" w:customStyle="1" w:styleId="2386">
    <w:name w:val="正文样式"/>
    <w:basedOn w:val="1"/>
    <w:autoRedefine/>
    <w:qFormat/>
    <w:uiPriority w:val="0"/>
    <w:pPr>
      <w:widowControl/>
      <w:ind w:firstLine="480"/>
      <w:jc w:val="left"/>
    </w:pPr>
    <w:rPr>
      <w:rFonts w:eastAsia="仿宋_GB2312"/>
      <w:color w:val="000000"/>
      <w:szCs w:val="21"/>
    </w:rPr>
  </w:style>
  <w:style w:type="paragraph" w:customStyle="1" w:styleId="2387">
    <w:name w:val="qilu"/>
    <w:basedOn w:val="1"/>
    <w:autoRedefine/>
    <w:qFormat/>
    <w:uiPriority w:val="0"/>
    <w:rPr>
      <w:rFonts w:eastAsia="仿宋_GB2312"/>
      <w:snapToGrid w:val="0"/>
      <w:kern w:val="0"/>
      <w:szCs w:val="21"/>
    </w:rPr>
  </w:style>
  <w:style w:type="paragraph" w:customStyle="1" w:styleId="2388">
    <w:name w:val="Char1 Char Char Char1"/>
    <w:basedOn w:val="1"/>
    <w:autoRedefine/>
    <w:qFormat/>
    <w:uiPriority w:val="0"/>
    <w:pPr>
      <w:widowControl/>
      <w:jc w:val="left"/>
    </w:pPr>
    <w:rPr>
      <w:rFonts w:eastAsia="仿宋_GB2312"/>
      <w:szCs w:val="21"/>
    </w:rPr>
  </w:style>
  <w:style w:type="paragraph" w:customStyle="1" w:styleId="2389">
    <w:name w:val="宏福3"/>
    <w:basedOn w:val="5"/>
    <w:autoRedefine/>
    <w:qFormat/>
    <w:uiPriority w:val="0"/>
    <w:pPr>
      <w:tabs>
        <w:tab w:val="left" w:pos="7088"/>
      </w:tabs>
      <w:adjustRightInd w:val="0"/>
      <w:spacing w:beforeLines="50" w:after="0" w:line="240" w:lineRule="auto"/>
      <w:outlineLvl w:val="9"/>
    </w:pPr>
    <w:rPr>
      <w:rFonts w:ascii="Times New Roman" w:hAnsi="Times New Roman" w:eastAsia="仿宋_GB2312" w:cs="Times New Roman"/>
      <w:sz w:val="30"/>
      <w:lang w:val="zh-CN"/>
    </w:rPr>
  </w:style>
  <w:style w:type="paragraph" w:customStyle="1" w:styleId="2390">
    <w:name w:val="文本框小字"/>
    <w:basedOn w:val="1"/>
    <w:autoRedefine/>
    <w:qFormat/>
    <w:uiPriority w:val="0"/>
    <w:pPr>
      <w:adjustRightInd w:val="0"/>
      <w:spacing w:line="240" w:lineRule="exact"/>
      <w:jc w:val="center"/>
      <w:textAlignment w:val="baseline"/>
    </w:pPr>
    <w:rPr>
      <w:rFonts w:eastAsia="仿宋_GB2312"/>
      <w:snapToGrid w:val="0"/>
      <w:kern w:val="0"/>
      <w:sz w:val="28"/>
      <w:szCs w:val="20"/>
    </w:rPr>
  </w:style>
  <w:style w:type="paragraph" w:customStyle="1" w:styleId="2391">
    <w:name w:val="源程序"/>
    <w:autoRedefine/>
    <w:qFormat/>
    <w:uiPriority w:val="0"/>
    <w:pPr>
      <w:widowControl w:val="0"/>
      <w:kinsoku w:val="0"/>
      <w:wordWrap w:val="0"/>
      <w:overflowPunct w:val="0"/>
      <w:autoSpaceDE w:val="0"/>
      <w:autoSpaceDN w:val="0"/>
      <w:adjustRightInd w:val="0"/>
      <w:ind w:left="482"/>
    </w:pPr>
    <w:rPr>
      <w:rFonts w:ascii="Courier New" w:hAnsi="Courier New" w:eastAsia="仿宋_GB2312" w:cs="宋体"/>
      <w:snapToGrid w:val="0"/>
      <w:sz w:val="24"/>
      <w:szCs w:val="21"/>
      <w:lang w:val="en-US" w:eastAsia="zh-CN" w:bidi="ar-SA"/>
    </w:rPr>
  </w:style>
  <w:style w:type="paragraph" w:customStyle="1" w:styleId="2392">
    <w:name w:val="正文(1)"/>
    <w:basedOn w:val="1"/>
    <w:autoRedefine/>
    <w:qFormat/>
    <w:uiPriority w:val="0"/>
    <w:pPr>
      <w:adjustRightInd w:val="0"/>
      <w:snapToGrid w:val="0"/>
      <w:spacing w:before="60" w:line="300" w:lineRule="auto"/>
      <w:ind w:firstLine="200" w:firstLineChars="200"/>
    </w:pPr>
    <w:rPr>
      <w:rFonts w:ascii="黑体" w:eastAsia="黑体"/>
      <w:b/>
      <w:snapToGrid w:val="0"/>
      <w:kern w:val="0"/>
      <w:szCs w:val="21"/>
    </w:rPr>
  </w:style>
  <w:style w:type="paragraph" w:customStyle="1" w:styleId="2393">
    <w:name w:val="封面"/>
    <w:basedOn w:val="1"/>
    <w:autoRedefine/>
    <w:qFormat/>
    <w:uiPriority w:val="0"/>
    <w:pPr>
      <w:adjustRightInd w:val="0"/>
      <w:spacing w:before="60" w:line="360" w:lineRule="auto"/>
      <w:ind w:firstLine="482"/>
      <w:jc w:val="center"/>
      <w:textAlignment w:val="baseline"/>
    </w:pPr>
    <w:rPr>
      <w:rFonts w:ascii="Arial" w:hAnsi="Arial" w:eastAsia="仿宋_GB2312"/>
      <w:b/>
      <w:kern w:val="0"/>
      <w:sz w:val="30"/>
      <w:szCs w:val="20"/>
    </w:rPr>
  </w:style>
  <w:style w:type="paragraph" w:customStyle="1" w:styleId="2394">
    <w:name w:val="Char3 Char Char Char Char Char Char Char Char Char Char"/>
    <w:basedOn w:val="1"/>
    <w:autoRedefine/>
    <w:qFormat/>
    <w:uiPriority w:val="0"/>
    <w:pPr>
      <w:spacing w:line="340" w:lineRule="exact"/>
      <w:ind w:firstLine="4" w:firstLineChars="4"/>
    </w:pPr>
    <w:rPr>
      <w:rFonts w:eastAsia="仿宋_GB2312"/>
      <w:sz w:val="28"/>
      <w:szCs w:val="28"/>
    </w:rPr>
  </w:style>
  <w:style w:type="paragraph" w:customStyle="1" w:styleId="2395">
    <w:name w:val="Paratitre"/>
    <w:basedOn w:val="1"/>
    <w:autoRedefine/>
    <w:qFormat/>
    <w:uiPriority w:val="0"/>
    <w:pPr>
      <w:widowControl/>
      <w:overflowPunct w:val="0"/>
      <w:autoSpaceDE w:val="0"/>
      <w:autoSpaceDN w:val="0"/>
      <w:adjustRightInd w:val="0"/>
      <w:spacing w:before="240"/>
      <w:ind w:left="700"/>
      <w:textAlignment w:val="baseline"/>
    </w:pPr>
    <w:rPr>
      <w:rFonts w:ascii="Arial" w:hAnsi="Arial" w:eastAsia="仿宋_GB2312"/>
      <w:kern w:val="0"/>
      <w:sz w:val="20"/>
      <w:szCs w:val="20"/>
      <w:lang w:val="fr-FR"/>
    </w:rPr>
  </w:style>
  <w:style w:type="paragraph" w:customStyle="1" w:styleId="2396">
    <w:name w:val="Char Char Char1 Char2"/>
    <w:basedOn w:val="1"/>
    <w:autoRedefine/>
    <w:qFormat/>
    <w:uiPriority w:val="0"/>
    <w:pPr>
      <w:widowControl/>
      <w:jc w:val="left"/>
    </w:pPr>
    <w:rPr>
      <w:rFonts w:eastAsia="仿宋_GB2312"/>
      <w:sz w:val="28"/>
      <w:szCs w:val="21"/>
    </w:rPr>
  </w:style>
  <w:style w:type="paragraph" w:customStyle="1" w:styleId="2397">
    <w:name w:val="样式19"/>
    <w:basedOn w:val="4"/>
    <w:autoRedefine/>
    <w:qFormat/>
    <w:uiPriority w:val="0"/>
    <w:pPr>
      <w:keepNext w:val="0"/>
      <w:keepLines w:val="0"/>
      <w:tabs>
        <w:tab w:val="left" w:pos="630"/>
        <w:tab w:val="left" w:pos="840"/>
        <w:tab w:val="left" w:pos="1287"/>
        <w:tab w:val="left" w:pos="3920"/>
        <w:tab w:val="left" w:pos="5670"/>
        <w:tab w:val="clear" w:pos="1276"/>
      </w:tabs>
      <w:adjustRightInd/>
      <w:snapToGrid w:val="0"/>
      <w:spacing w:before="60" w:after="60" w:line="520" w:lineRule="exact"/>
      <w:ind w:left="0" w:firstLine="567"/>
      <w:contextualSpacing/>
      <w:jc w:val="both"/>
      <w:textAlignment w:val="auto"/>
    </w:pPr>
    <w:rPr>
      <w:rFonts w:ascii="Times New Roman" w:hAnsi="Times New Roman" w:eastAsia="华文行楷"/>
      <w:bCs/>
      <w:color w:val="000000"/>
      <w:kern w:val="0"/>
      <w:sz w:val="30"/>
      <w:szCs w:val="30"/>
      <w:lang w:val="zh-CN"/>
    </w:rPr>
  </w:style>
  <w:style w:type="paragraph" w:customStyle="1" w:styleId="2398">
    <w:name w:val="样式 标题 2 + 段前: 0.5 行 行距: 单倍行距1"/>
    <w:basedOn w:val="4"/>
    <w:autoRedefine/>
    <w:qFormat/>
    <w:uiPriority w:val="0"/>
    <w:pPr>
      <w:keepNext w:val="0"/>
      <w:keepLines w:val="0"/>
      <w:tabs>
        <w:tab w:val="left" w:pos="969"/>
        <w:tab w:val="clear" w:pos="1276"/>
      </w:tabs>
      <w:autoSpaceDE w:val="0"/>
      <w:autoSpaceDN w:val="0"/>
      <w:snapToGrid w:val="0"/>
      <w:spacing w:before="0" w:beforeLines="100" w:after="0" w:afterLines="50" w:line="240" w:lineRule="auto"/>
      <w:ind w:left="969" w:hanging="737"/>
      <w:contextualSpacing/>
    </w:pPr>
    <w:rPr>
      <w:rFonts w:ascii="Times New Roman" w:hAnsi="Times New Roman" w:cs="宋体"/>
      <w:b w:val="0"/>
      <w:snapToGrid w:val="0"/>
      <w:kern w:val="0"/>
      <w:sz w:val="32"/>
      <w:lang w:val="zh-CN"/>
    </w:rPr>
  </w:style>
  <w:style w:type="paragraph" w:customStyle="1" w:styleId="2399">
    <w:name w:val="标题9"/>
    <w:next w:val="1"/>
    <w:autoRedefine/>
    <w:qFormat/>
    <w:uiPriority w:val="0"/>
    <w:pPr>
      <w:adjustRightInd w:val="0"/>
      <w:snapToGrid w:val="0"/>
      <w:spacing w:line="360" w:lineRule="auto"/>
      <w:jc w:val="center"/>
    </w:pPr>
    <w:rPr>
      <w:rFonts w:ascii="Times New Roman" w:hAnsi="Times New Roman" w:eastAsia="黑体" w:cs="宋体"/>
      <w:sz w:val="21"/>
      <w:szCs w:val="21"/>
      <w:lang w:val="en-US" w:eastAsia="zh-CN" w:bidi="ar-SA"/>
    </w:rPr>
  </w:style>
  <w:style w:type="paragraph" w:customStyle="1" w:styleId="2400">
    <w:name w:val="Char Char1 Char Char Char Char"/>
    <w:basedOn w:val="1"/>
    <w:autoRedefine/>
    <w:qFormat/>
    <w:uiPriority w:val="0"/>
    <w:pPr>
      <w:widowControl/>
      <w:jc w:val="left"/>
    </w:pPr>
    <w:rPr>
      <w:rFonts w:eastAsia="仿宋_GB2312"/>
      <w:szCs w:val="21"/>
    </w:rPr>
  </w:style>
  <w:style w:type="paragraph" w:customStyle="1" w:styleId="2401">
    <w:name w:val="样式 宋体 小四 行距: 固定值 25 磅"/>
    <w:basedOn w:val="1"/>
    <w:autoRedefine/>
    <w:qFormat/>
    <w:uiPriority w:val="0"/>
    <w:pPr>
      <w:tabs>
        <w:tab w:val="left" w:pos="1875"/>
      </w:tabs>
      <w:spacing w:line="500" w:lineRule="exact"/>
      <w:ind w:firstLine="200" w:firstLineChars="200"/>
    </w:pPr>
    <w:rPr>
      <w:rFonts w:eastAsia="仿宋_GB2312" w:cs="宋体"/>
      <w:spacing w:val="2"/>
      <w:szCs w:val="21"/>
    </w:rPr>
  </w:style>
  <w:style w:type="paragraph" w:customStyle="1" w:styleId="2402">
    <w:name w:val="表文_M5"/>
    <w:autoRedefine/>
    <w:qFormat/>
    <w:uiPriority w:val="0"/>
    <w:pPr>
      <w:widowControl w:val="0"/>
      <w:tabs>
        <w:tab w:val="left" w:pos="1260"/>
      </w:tabs>
      <w:adjustRightInd w:val="0"/>
      <w:snapToGrid w:val="0"/>
      <w:jc w:val="center"/>
    </w:pPr>
    <w:rPr>
      <w:rFonts w:ascii="Garamond" w:hAnsi="Garamond" w:eastAsia="楷体_GB2312" w:cs="宋体"/>
      <w:spacing w:val="-8"/>
      <w:kern w:val="2"/>
      <w:sz w:val="24"/>
      <w:szCs w:val="24"/>
      <w:lang w:val="en-US" w:eastAsia="zh-CN" w:bidi="ar-SA"/>
    </w:rPr>
  </w:style>
  <w:style w:type="paragraph" w:customStyle="1" w:styleId="2403">
    <w:name w:val="內文1階"/>
    <w:basedOn w:val="1"/>
    <w:autoRedefine/>
    <w:qFormat/>
    <w:uiPriority w:val="0"/>
    <w:pPr>
      <w:tabs>
        <w:tab w:val="left" w:pos="1080"/>
      </w:tabs>
      <w:ind w:left="1080" w:hanging="1080"/>
      <w:jc w:val="left"/>
    </w:pPr>
    <w:rPr>
      <w:rFonts w:eastAsia="PMingLiU"/>
      <w:szCs w:val="20"/>
      <w:lang w:eastAsia="zh-TW"/>
    </w:rPr>
  </w:style>
  <w:style w:type="paragraph" w:customStyle="1" w:styleId="2404">
    <w:name w:val="段落标题 Char Char"/>
    <w:basedOn w:val="22"/>
    <w:autoRedefine/>
    <w:qFormat/>
    <w:uiPriority w:val="0"/>
    <w:pPr>
      <w:adjustRightInd/>
      <w:spacing w:line="500" w:lineRule="exact"/>
      <w:ind w:firstLine="200" w:firstLineChars="200"/>
      <w:textAlignment w:val="auto"/>
    </w:pPr>
    <w:rPr>
      <w:rFonts w:ascii="宋体" w:hAnsi="Cambria" w:eastAsia="宋体"/>
      <w:spacing w:val="0"/>
      <w:kern w:val="2"/>
      <w:sz w:val="24"/>
      <w:szCs w:val="24"/>
    </w:rPr>
  </w:style>
  <w:style w:type="paragraph" w:customStyle="1" w:styleId="2405">
    <w:name w:val="正本文字"/>
    <w:basedOn w:val="1"/>
    <w:autoRedefine/>
    <w:qFormat/>
    <w:uiPriority w:val="0"/>
    <w:pPr>
      <w:widowControl/>
      <w:adjustRightInd w:val="0"/>
      <w:snapToGrid w:val="0"/>
      <w:spacing w:line="360" w:lineRule="auto"/>
      <w:ind w:firstLine="480" w:firstLineChars="200"/>
      <w:jc w:val="left"/>
    </w:pPr>
    <w:rPr>
      <w:rFonts w:cs="宋体"/>
      <w:kern w:val="18"/>
      <w:sz w:val="24"/>
      <w:szCs w:val="21"/>
    </w:rPr>
  </w:style>
  <w:style w:type="paragraph" w:customStyle="1" w:styleId="2406">
    <w:name w:val="chen表头1"/>
    <w:basedOn w:val="1"/>
    <w:autoRedefine/>
    <w:qFormat/>
    <w:uiPriority w:val="0"/>
    <w:pPr>
      <w:spacing w:after="120" w:line="500" w:lineRule="exact"/>
      <w:jc w:val="center"/>
    </w:pPr>
    <w:rPr>
      <w:rFonts w:eastAsia="楷体_GB2312"/>
      <w:b/>
      <w:kern w:val="0"/>
      <w:szCs w:val="20"/>
    </w:rPr>
  </w:style>
  <w:style w:type="paragraph" w:customStyle="1" w:styleId="2407">
    <w:name w:val="题注 + 居中!"/>
    <w:basedOn w:val="22"/>
    <w:autoRedefine/>
    <w:qFormat/>
    <w:uiPriority w:val="0"/>
    <w:pPr>
      <w:snapToGrid w:val="0"/>
      <w:spacing w:line="360" w:lineRule="auto"/>
      <w:ind w:firstLine="200" w:firstLineChars="200"/>
      <w:jc w:val="center"/>
      <w:textAlignment w:val="auto"/>
    </w:pPr>
    <w:rPr>
      <w:rFonts w:ascii="黑体" w:hAnsi="Cambria"/>
      <w:spacing w:val="0"/>
      <w:kern w:val="2"/>
      <w:sz w:val="24"/>
      <w:szCs w:val="24"/>
    </w:rPr>
  </w:style>
  <w:style w:type="paragraph" w:customStyle="1" w:styleId="2408">
    <w:name w:val="Char13"/>
    <w:basedOn w:val="1"/>
    <w:next w:val="1"/>
    <w:autoRedefine/>
    <w:qFormat/>
    <w:uiPriority w:val="0"/>
    <w:pPr>
      <w:spacing w:line="360" w:lineRule="auto"/>
      <w:ind w:firstLine="200" w:firstLineChars="200"/>
    </w:pPr>
    <w:rPr>
      <w:rFonts w:eastAsia="仿宋_GB2312" w:cs="宋体"/>
      <w:szCs w:val="21"/>
    </w:rPr>
  </w:style>
  <w:style w:type="paragraph" w:customStyle="1" w:styleId="2409">
    <w:name w:val="正文（缩进）"/>
    <w:basedOn w:val="1"/>
    <w:autoRedefine/>
    <w:qFormat/>
    <w:uiPriority w:val="0"/>
    <w:pPr>
      <w:widowControl/>
      <w:adjustRightInd w:val="0"/>
      <w:snapToGrid w:val="0"/>
      <w:jc w:val="left"/>
    </w:pPr>
    <w:rPr>
      <w:rFonts w:eastAsia="仿宋_GB2312"/>
      <w:snapToGrid w:val="0"/>
      <w:kern w:val="0"/>
      <w:szCs w:val="21"/>
    </w:rPr>
  </w:style>
  <w:style w:type="paragraph" w:customStyle="1" w:styleId="2410">
    <w:name w:val="Char3 Char Char Char Char Char Char Char Char Char"/>
    <w:basedOn w:val="1"/>
    <w:autoRedefine/>
    <w:qFormat/>
    <w:uiPriority w:val="0"/>
    <w:rPr>
      <w:rFonts w:eastAsia="仿宋_GB2312"/>
      <w:sz w:val="28"/>
      <w:szCs w:val="21"/>
    </w:rPr>
  </w:style>
  <w:style w:type="paragraph" w:customStyle="1" w:styleId="2411">
    <w:name w:val="样式 标题 1 + (西文) Arial (中文) 黑体 三号 段后: 2 磅"/>
    <w:basedOn w:val="1"/>
    <w:autoRedefine/>
    <w:qFormat/>
    <w:uiPriority w:val="0"/>
    <w:pPr>
      <w:tabs>
        <w:tab w:val="left" w:pos="0"/>
      </w:tabs>
      <w:adjustRightInd w:val="0"/>
      <w:spacing w:line="312" w:lineRule="atLeast"/>
      <w:textAlignment w:val="baseline"/>
    </w:pPr>
    <w:rPr>
      <w:rFonts w:eastAsia="仿宋_GB2312"/>
      <w:kern w:val="0"/>
      <w:szCs w:val="20"/>
    </w:rPr>
  </w:style>
  <w:style w:type="paragraph" w:customStyle="1" w:styleId="2412">
    <w:name w:val="标题31"/>
    <w:basedOn w:val="1"/>
    <w:next w:val="1"/>
    <w:autoRedefine/>
    <w:qFormat/>
    <w:uiPriority w:val="0"/>
    <w:pPr>
      <w:widowControl/>
      <w:autoSpaceDE w:val="0"/>
      <w:autoSpaceDN w:val="0"/>
      <w:snapToGrid w:val="0"/>
      <w:spacing w:line="590" w:lineRule="atLeast"/>
      <w:ind w:firstLine="624"/>
      <w:jc w:val="left"/>
    </w:pPr>
    <w:rPr>
      <w:rFonts w:eastAsia="方正黑体_GBK"/>
      <w:snapToGrid w:val="0"/>
      <w:kern w:val="0"/>
      <w:sz w:val="32"/>
      <w:szCs w:val="20"/>
    </w:rPr>
  </w:style>
  <w:style w:type="paragraph" w:customStyle="1" w:styleId="2413">
    <w:name w:val="样式 样式 首行缩进:  2 字符1 + 首行缩进:  2 字符"/>
    <w:basedOn w:val="1"/>
    <w:autoRedefine/>
    <w:qFormat/>
    <w:uiPriority w:val="0"/>
    <w:pPr>
      <w:widowControl/>
      <w:spacing w:line="480" w:lineRule="exact"/>
      <w:jc w:val="left"/>
    </w:pPr>
    <w:rPr>
      <w:rFonts w:eastAsia="楷体_GB2312"/>
      <w:szCs w:val="20"/>
    </w:rPr>
  </w:style>
  <w:style w:type="paragraph" w:customStyle="1" w:styleId="2414">
    <w:name w:val="列出段落2"/>
    <w:basedOn w:val="1"/>
    <w:autoRedefine/>
    <w:qFormat/>
    <w:uiPriority w:val="0"/>
    <w:pPr>
      <w:widowControl/>
      <w:ind w:firstLine="420"/>
      <w:jc w:val="left"/>
    </w:pPr>
    <w:rPr>
      <w:rFonts w:ascii="Calibri" w:hAnsi="Calibri" w:eastAsia="仿宋_GB2312"/>
      <w:sz w:val="28"/>
      <w:szCs w:val="22"/>
    </w:rPr>
  </w:style>
  <w:style w:type="paragraph" w:customStyle="1" w:styleId="2415">
    <w:name w:val="样式 小四 居中"/>
    <w:basedOn w:val="1"/>
    <w:autoRedefine/>
    <w:qFormat/>
    <w:uiPriority w:val="0"/>
    <w:pPr>
      <w:snapToGrid w:val="0"/>
      <w:jc w:val="center"/>
    </w:pPr>
    <w:rPr>
      <w:rFonts w:eastAsia="仿宋_GB2312" w:cs="宋体"/>
      <w:szCs w:val="20"/>
    </w:rPr>
  </w:style>
  <w:style w:type="paragraph" w:customStyle="1" w:styleId="2416">
    <w:name w:val="Char Char Char Char Char Char1 Char Char Char Char7"/>
    <w:basedOn w:val="1"/>
    <w:autoRedefine/>
    <w:qFormat/>
    <w:uiPriority w:val="0"/>
    <w:rPr>
      <w:kern w:val="0"/>
      <w:sz w:val="24"/>
      <w:lang w:eastAsia="zh-TW"/>
    </w:rPr>
  </w:style>
  <w:style w:type="paragraph" w:customStyle="1" w:styleId="2417">
    <w:name w:val="样式 正文样式 + 小四 首行缩进:  2 字符"/>
    <w:basedOn w:val="1"/>
    <w:autoRedefine/>
    <w:qFormat/>
    <w:uiPriority w:val="0"/>
    <w:pPr>
      <w:autoSpaceDE w:val="0"/>
      <w:autoSpaceDN w:val="0"/>
      <w:spacing w:line="400" w:lineRule="exact"/>
      <w:ind w:firstLine="200" w:firstLineChars="200"/>
    </w:pPr>
    <w:rPr>
      <w:rFonts w:eastAsia="仿宋_GB2312" w:cs="宋体"/>
      <w:szCs w:val="20"/>
    </w:rPr>
  </w:style>
  <w:style w:type="paragraph" w:customStyle="1" w:styleId="2418">
    <w:name w:val="小4黑居中行1"/>
    <w:autoRedefine/>
    <w:qFormat/>
    <w:uiPriority w:val="0"/>
    <w:pPr>
      <w:spacing w:line="360" w:lineRule="auto"/>
      <w:jc w:val="center"/>
    </w:pPr>
    <w:rPr>
      <w:rFonts w:ascii="Times New Roman" w:hAnsi="Times New Roman" w:eastAsia="仿宋_GB2312" w:cs="宋体"/>
      <w:kern w:val="2"/>
      <w:sz w:val="21"/>
      <w:szCs w:val="21"/>
      <w:lang w:val="en-US" w:eastAsia="zh-CN" w:bidi="ar-SA"/>
    </w:rPr>
  </w:style>
  <w:style w:type="paragraph" w:customStyle="1" w:styleId="2419">
    <w:name w:val="样式 样式 正文首行缩进 + 首行缩进:  2 字符 + 首行缩进:  2 字符"/>
    <w:basedOn w:val="1"/>
    <w:autoRedefine/>
    <w:qFormat/>
    <w:uiPriority w:val="0"/>
    <w:pPr>
      <w:topLinePunct/>
      <w:adjustRightInd w:val="0"/>
      <w:snapToGrid w:val="0"/>
      <w:spacing w:line="360" w:lineRule="auto"/>
      <w:ind w:firstLine="480"/>
      <w:textAlignment w:val="baseline"/>
    </w:pPr>
    <w:rPr>
      <w:rFonts w:eastAsia="Times New Roman"/>
      <w:kern w:val="0"/>
      <w:szCs w:val="20"/>
    </w:rPr>
  </w:style>
  <w:style w:type="paragraph" w:customStyle="1" w:styleId="2420">
    <w:name w:val="样式 标题 2 + 首行缩进:  2 字符1"/>
    <w:basedOn w:val="4"/>
    <w:autoRedefine/>
    <w:qFormat/>
    <w:uiPriority w:val="0"/>
    <w:pPr>
      <w:keepNext w:val="0"/>
      <w:keepLines w:val="0"/>
      <w:tabs>
        <w:tab w:val="clear" w:pos="1276"/>
      </w:tabs>
      <w:adjustRightInd/>
      <w:spacing w:before="0" w:beforeLines="100" w:after="0" w:line="440" w:lineRule="exact"/>
      <w:ind w:left="0" w:firstLine="200" w:firstLineChars="200"/>
      <w:contextualSpacing/>
      <w:textAlignment w:val="auto"/>
    </w:pPr>
    <w:rPr>
      <w:rFonts w:ascii="Times New Roman" w:hAnsi="Times New Roman" w:eastAsia="汉鼎简特宋"/>
      <w:b w:val="0"/>
      <w:bCs/>
      <w:spacing w:val="-2"/>
      <w:lang w:val="zh-CN"/>
    </w:rPr>
  </w:style>
  <w:style w:type="paragraph" w:customStyle="1" w:styleId="2421">
    <w:name w:val="框图文字1"/>
    <w:basedOn w:val="1"/>
    <w:autoRedefine/>
    <w:qFormat/>
    <w:uiPriority w:val="0"/>
    <w:pPr>
      <w:adjustRightInd w:val="0"/>
      <w:snapToGrid w:val="0"/>
      <w:jc w:val="center"/>
    </w:pPr>
    <w:rPr>
      <w:rFonts w:eastAsia="仿宋_GB2312"/>
      <w:sz w:val="28"/>
      <w:szCs w:val="21"/>
    </w:rPr>
  </w:style>
  <w:style w:type="paragraph" w:customStyle="1" w:styleId="2422">
    <w:name w:val="样式 正文文字 + 首行缩进:  0.99 厘米"/>
    <w:basedOn w:val="34"/>
    <w:autoRedefine/>
    <w:qFormat/>
    <w:uiPriority w:val="0"/>
    <w:pPr>
      <w:tabs>
        <w:tab w:val="left" w:pos="0"/>
      </w:tabs>
      <w:spacing w:after="0" w:line="600" w:lineRule="exact"/>
      <w:ind w:firstLine="560"/>
    </w:pPr>
    <w:rPr>
      <w:rFonts w:eastAsia="仿宋_GB2312" w:cstheme="minorBidi"/>
      <w:spacing w:val="-2"/>
      <w:kern w:val="0"/>
      <w:sz w:val="28"/>
      <w:szCs w:val="28"/>
    </w:rPr>
  </w:style>
  <w:style w:type="paragraph" w:customStyle="1" w:styleId="2423">
    <w:name w:val="环表头"/>
    <w:basedOn w:val="2424"/>
    <w:next w:val="1"/>
    <w:autoRedefine/>
    <w:qFormat/>
    <w:uiPriority w:val="0"/>
    <w:pPr>
      <w:tabs>
        <w:tab w:val="left" w:pos="1464"/>
      </w:tabs>
      <w:snapToGrid/>
      <w:spacing w:before="48" w:after="24"/>
      <w:ind w:left="3" w:leftChars="3" w:right="28" w:firstLine="0" w:firstLineChars="0"/>
      <w:jc w:val="center"/>
    </w:pPr>
    <w:rPr>
      <w:rFonts w:ascii="Times New Roman"/>
      <w:sz w:val="24"/>
    </w:rPr>
  </w:style>
  <w:style w:type="paragraph" w:customStyle="1" w:styleId="2424">
    <w:name w:val="环正文"/>
    <w:basedOn w:val="1"/>
    <w:autoRedefine/>
    <w:qFormat/>
    <w:uiPriority w:val="0"/>
    <w:pPr>
      <w:widowControl/>
      <w:suppressAutoHyphens/>
      <w:adjustRightInd w:val="0"/>
      <w:snapToGrid w:val="0"/>
      <w:spacing w:line="500" w:lineRule="exact"/>
      <w:ind w:firstLine="200" w:firstLineChars="200"/>
      <w:textAlignment w:val="baseline"/>
    </w:pPr>
    <w:rPr>
      <w:rFonts w:ascii="仿宋_GB2312" w:eastAsia="仿宋_GB2312"/>
      <w:kern w:val="0"/>
      <w:sz w:val="28"/>
      <w:szCs w:val="21"/>
    </w:rPr>
  </w:style>
  <w:style w:type="paragraph" w:customStyle="1" w:styleId="2425">
    <w:name w:val="1标题3级"/>
    <w:basedOn w:val="1"/>
    <w:autoRedefine/>
    <w:qFormat/>
    <w:uiPriority w:val="0"/>
    <w:pPr>
      <w:keepNext/>
      <w:widowControl/>
      <w:snapToGrid w:val="0"/>
      <w:spacing w:line="420" w:lineRule="auto"/>
      <w:jc w:val="left"/>
      <w:outlineLvl w:val="2"/>
    </w:pPr>
    <w:rPr>
      <w:rFonts w:eastAsia="黑体"/>
      <w:b/>
      <w:szCs w:val="20"/>
    </w:rPr>
  </w:style>
  <w:style w:type="paragraph" w:customStyle="1" w:styleId="2426">
    <w:name w:val="样式 标题 3 + 左侧:  2 字符 段前: 0.5 行1"/>
    <w:basedOn w:val="5"/>
    <w:autoRedefine/>
    <w:qFormat/>
    <w:uiPriority w:val="0"/>
    <w:pPr>
      <w:keepNext w:val="0"/>
      <w:widowControl/>
      <w:tabs>
        <w:tab w:val="left" w:pos="7088"/>
      </w:tabs>
      <w:adjustRightInd w:val="0"/>
      <w:spacing w:beforeLines="50" w:after="0" w:line="580" w:lineRule="exact"/>
      <w:jc w:val="left"/>
    </w:pPr>
    <w:rPr>
      <w:rFonts w:ascii="黑体" w:hAnsi="Times New Roman" w:eastAsia="黑体" w:cs="Times New Roman"/>
      <w:b w:val="0"/>
      <w:bCs w:val="0"/>
      <w:spacing w:val="-2"/>
      <w:sz w:val="30"/>
      <w:szCs w:val="20"/>
      <w:lang w:val="zh-CN"/>
    </w:rPr>
  </w:style>
  <w:style w:type="paragraph" w:customStyle="1" w:styleId="2427">
    <w:name w:val="Char Char Char1 Char Char Char Char Char Char Char Char Char Char"/>
    <w:basedOn w:val="1"/>
    <w:autoRedefine/>
    <w:qFormat/>
    <w:uiPriority w:val="0"/>
    <w:rPr>
      <w:rFonts w:eastAsia="仿宋_GB2312"/>
      <w:sz w:val="28"/>
      <w:szCs w:val="21"/>
    </w:rPr>
  </w:style>
  <w:style w:type="paragraph" w:customStyle="1" w:styleId="2428">
    <w:name w:val="1标题2级"/>
    <w:basedOn w:val="1"/>
    <w:autoRedefine/>
    <w:qFormat/>
    <w:uiPriority w:val="0"/>
    <w:pPr>
      <w:keepNext/>
      <w:widowControl/>
      <w:snapToGrid w:val="0"/>
      <w:spacing w:line="420" w:lineRule="auto"/>
      <w:jc w:val="left"/>
      <w:outlineLvl w:val="1"/>
    </w:pPr>
    <w:rPr>
      <w:rFonts w:eastAsia="黑体"/>
      <w:b/>
      <w:sz w:val="28"/>
      <w:szCs w:val="21"/>
    </w:rPr>
  </w:style>
  <w:style w:type="paragraph" w:customStyle="1" w:styleId="2429">
    <w:name w:val="1标题4级"/>
    <w:basedOn w:val="2425"/>
    <w:autoRedefine/>
    <w:qFormat/>
    <w:uiPriority w:val="0"/>
    <w:rPr>
      <w:szCs w:val="24"/>
    </w:rPr>
  </w:style>
  <w:style w:type="paragraph" w:customStyle="1" w:styleId="2430">
    <w:name w:val="样式 标题 2H2（一）Underrubrik1prop2Heading 2 HiddenHeading 2 CCB..."/>
    <w:basedOn w:val="4"/>
    <w:autoRedefine/>
    <w:qFormat/>
    <w:uiPriority w:val="0"/>
    <w:pPr>
      <w:keepNext w:val="0"/>
      <w:keepLines w:val="0"/>
      <w:tabs>
        <w:tab w:val="clear" w:pos="1276"/>
      </w:tabs>
      <w:adjustRightInd/>
      <w:spacing w:before="260" w:after="260" w:line="415" w:lineRule="auto"/>
      <w:ind w:left="0"/>
      <w:contextualSpacing/>
      <w:jc w:val="both"/>
      <w:textAlignment w:val="auto"/>
    </w:pPr>
    <w:rPr>
      <w:rFonts w:ascii="Times New Roman" w:hAnsi="Times New Roman" w:eastAsia="仿宋_GB2312" w:cs="宋体"/>
      <w:bCs/>
      <w:sz w:val="30"/>
      <w:lang w:val="zh-CN"/>
    </w:rPr>
  </w:style>
  <w:style w:type="paragraph" w:customStyle="1" w:styleId="2431">
    <w:name w:val="5号表文"/>
    <w:autoRedefine/>
    <w:qFormat/>
    <w:uiPriority w:val="0"/>
    <w:pPr>
      <w:widowControl w:val="0"/>
      <w:autoSpaceDE w:val="0"/>
      <w:adjustRightInd w:val="0"/>
      <w:snapToGrid w:val="0"/>
    </w:pPr>
    <w:rPr>
      <w:rFonts w:ascii="Times New Roman" w:hAnsi="Times New Roman" w:eastAsia="仿宋_GB2312" w:cs="宋体"/>
      <w:sz w:val="21"/>
      <w:szCs w:val="21"/>
      <w:lang w:val="en-US" w:eastAsia="zh-CN" w:bidi="ar-SA"/>
    </w:rPr>
  </w:style>
  <w:style w:type="paragraph" w:customStyle="1" w:styleId="2432">
    <w:name w:val="11"/>
    <w:basedOn w:val="1"/>
    <w:autoRedefine/>
    <w:qFormat/>
    <w:uiPriority w:val="0"/>
    <w:pPr>
      <w:widowControl/>
      <w:overflowPunct w:val="0"/>
      <w:autoSpaceDE w:val="0"/>
      <w:autoSpaceDN w:val="0"/>
      <w:adjustRightInd w:val="0"/>
      <w:ind w:left="600" w:hanging="600"/>
      <w:textAlignment w:val="baseline"/>
    </w:pPr>
    <w:rPr>
      <w:rFonts w:ascii="Bookman Old Style" w:hAnsi="Bookman Old Style" w:eastAsia="仿宋_GB2312"/>
      <w:bCs/>
      <w:kern w:val="0"/>
      <w:sz w:val="22"/>
      <w:szCs w:val="20"/>
      <w:lang w:eastAsia="en-US"/>
    </w:rPr>
  </w:style>
  <w:style w:type="paragraph" w:customStyle="1" w:styleId="2433">
    <w:name w:val="五号表格"/>
    <w:next w:val="1"/>
    <w:autoRedefine/>
    <w:qFormat/>
    <w:uiPriority w:val="0"/>
    <w:rPr>
      <w:rFonts w:ascii="宋体" w:hAnsi="Times New Roman" w:eastAsia="仿宋_GB2312" w:cs="宋体"/>
      <w:sz w:val="21"/>
      <w:szCs w:val="21"/>
      <w:lang w:val="en-US" w:eastAsia="zh-CN" w:bidi="ar-SA"/>
    </w:rPr>
  </w:style>
  <w:style w:type="paragraph" w:customStyle="1" w:styleId="2434">
    <w:name w:val="样式（大表格）"/>
    <w:basedOn w:val="373"/>
    <w:autoRedefine/>
    <w:qFormat/>
    <w:uiPriority w:val="0"/>
    <w:pPr>
      <w:widowControl/>
      <w:adjustRightInd w:val="0"/>
      <w:snapToGrid w:val="0"/>
      <w:jc w:val="both"/>
    </w:pPr>
    <w:rPr>
      <w:rFonts w:ascii="Times New Roman" w:hAnsi="Times New Roman" w:cs="宋体"/>
      <w:color w:val="FF0000"/>
    </w:rPr>
  </w:style>
  <w:style w:type="paragraph" w:customStyle="1" w:styleId="2435">
    <w:name w:val="Char Char Char Char Char Char Char Char Char Char Char1"/>
    <w:basedOn w:val="1"/>
    <w:autoRedefine/>
    <w:qFormat/>
    <w:uiPriority w:val="0"/>
    <w:rPr>
      <w:rFonts w:eastAsia="仿宋_GB2312"/>
      <w:sz w:val="28"/>
      <w:szCs w:val="21"/>
    </w:rPr>
  </w:style>
  <w:style w:type="paragraph" w:customStyle="1" w:styleId="2436">
    <w:name w:val="图框文字"/>
    <w:basedOn w:val="1"/>
    <w:autoRedefine/>
    <w:qFormat/>
    <w:uiPriority w:val="0"/>
    <w:pPr>
      <w:jc w:val="center"/>
      <w:textAlignment w:val="center"/>
    </w:pPr>
    <w:rPr>
      <w:rFonts w:eastAsia="仿宋_GB2312"/>
      <w:sz w:val="28"/>
      <w:szCs w:val="21"/>
    </w:rPr>
  </w:style>
  <w:style w:type="paragraph" w:customStyle="1" w:styleId="2437">
    <w:name w:val="标题 三级"/>
    <w:basedOn w:val="1"/>
    <w:autoRedefine/>
    <w:qFormat/>
    <w:uiPriority w:val="0"/>
    <w:pPr>
      <w:widowControl/>
      <w:adjustRightInd w:val="0"/>
      <w:snapToGrid w:val="0"/>
      <w:spacing w:line="360" w:lineRule="auto"/>
      <w:jc w:val="left"/>
      <w:outlineLvl w:val="2"/>
    </w:pPr>
    <w:rPr>
      <w:rFonts w:eastAsia="仿宋_GB2312" w:cs="宋体"/>
      <w:b/>
      <w:snapToGrid w:val="0"/>
      <w:kern w:val="0"/>
      <w:sz w:val="28"/>
      <w:szCs w:val="28"/>
    </w:rPr>
  </w:style>
  <w:style w:type="paragraph" w:customStyle="1" w:styleId="2438">
    <w:name w:val="Char Char Char Char Char Char Char Char Char Char Char Char Char Char Char"/>
    <w:basedOn w:val="1"/>
    <w:autoRedefine/>
    <w:qFormat/>
    <w:uiPriority w:val="0"/>
    <w:rPr>
      <w:rFonts w:eastAsia="仿宋_GB2312"/>
      <w:sz w:val="28"/>
      <w:szCs w:val="21"/>
    </w:rPr>
  </w:style>
  <w:style w:type="paragraph" w:customStyle="1" w:styleId="2439">
    <w:name w:val="样式14"/>
    <w:basedOn w:val="897"/>
    <w:autoRedefine/>
    <w:qFormat/>
    <w:uiPriority w:val="0"/>
    <w:pPr>
      <w:spacing w:line="240" w:lineRule="auto"/>
      <w:ind w:firstLine="0"/>
    </w:pPr>
    <w:rPr>
      <w:rFonts w:ascii="仿宋_GB2312" w:eastAsia="仿宋_GB2312"/>
      <w:spacing w:val="0"/>
      <w:kern w:val="2"/>
    </w:rPr>
  </w:style>
  <w:style w:type="paragraph" w:customStyle="1" w:styleId="2440">
    <w:name w:val="TOC 标题2"/>
    <w:basedOn w:val="3"/>
    <w:next w:val="1"/>
    <w:autoRedefine/>
    <w:qFormat/>
    <w:uiPriority w:val="39"/>
    <w:pPr>
      <w:widowControl/>
      <w:spacing w:before="480" w:after="0" w:line="276" w:lineRule="auto"/>
      <w:jc w:val="left"/>
      <w:outlineLvl w:val="9"/>
    </w:pPr>
    <w:rPr>
      <w:rFonts w:ascii="Cambria" w:hAnsi="Cambria"/>
      <w:bCs/>
      <w:color w:val="365F91"/>
      <w:kern w:val="0"/>
      <w:sz w:val="28"/>
      <w:szCs w:val="28"/>
      <w:lang w:val="zh-CN"/>
    </w:rPr>
  </w:style>
  <w:style w:type="paragraph" w:customStyle="1" w:styleId="2441">
    <w:name w:val="Char Char Char Char Char Char1 Char Char Char Char"/>
    <w:basedOn w:val="1"/>
    <w:autoRedefine/>
    <w:qFormat/>
    <w:uiPriority w:val="0"/>
    <w:rPr>
      <w:kern w:val="0"/>
      <w:sz w:val="24"/>
      <w:lang w:eastAsia="zh-TW"/>
    </w:rPr>
  </w:style>
  <w:style w:type="paragraph" w:customStyle="1" w:styleId="2442">
    <w:name w:val="正文6"/>
    <w:autoRedefine/>
    <w:qFormat/>
    <w:uiPriority w:val="0"/>
    <w:pPr>
      <w:widowControl w:val="0"/>
      <w:adjustRightInd w:val="0"/>
      <w:spacing w:line="307" w:lineRule="atLeast"/>
      <w:jc w:val="both"/>
      <w:textAlignment w:val="baseline"/>
    </w:pPr>
    <w:rPr>
      <w:rFonts w:ascii="宋体" w:hAnsi="Times New Roman" w:eastAsia="仿宋_GB2312" w:cs="宋体"/>
      <w:sz w:val="18"/>
      <w:szCs w:val="21"/>
      <w:lang w:val="en-US" w:eastAsia="zh-CN" w:bidi="ar-SA"/>
    </w:rPr>
  </w:style>
  <w:style w:type="paragraph" w:customStyle="1" w:styleId="2443">
    <w:name w:val="Char Char Char Char Char Char1 Char Char Char Char8"/>
    <w:basedOn w:val="1"/>
    <w:autoRedefine/>
    <w:qFormat/>
    <w:uiPriority w:val="0"/>
    <w:rPr>
      <w:kern w:val="0"/>
      <w:sz w:val="24"/>
      <w:lang w:eastAsia="zh-TW"/>
    </w:rPr>
  </w:style>
  <w:style w:type="paragraph" w:customStyle="1" w:styleId="2444">
    <w:name w:val="用户正文"/>
    <w:basedOn w:val="1"/>
    <w:next w:val="1"/>
    <w:autoRedefine/>
    <w:qFormat/>
    <w:uiPriority w:val="0"/>
    <w:pPr>
      <w:adjustRightInd w:val="0"/>
      <w:spacing w:line="360" w:lineRule="auto"/>
      <w:ind w:firstLine="200" w:firstLineChars="200"/>
      <w:jc w:val="left"/>
      <w:textAlignment w:val="baseline"/>
    </w:pPr>
    <w:rPr>
      <w:rFonts w:eastAsia="仿宋_GB2312"/>
      <w:bCs/>
      <w:kern w:val="0"/>
      <w:sz w:val="28"/>
      <w:szCs w:val="20"/>
    </w:rPr>
  </w:style>
  <w:style w:type="paragraph" w:customStyle="1" w:styleId="2445">
    <w:name w:val="图编号"/>
    <w:basedOn w:val="163"/>
    <w:autoRedefine/>
    <w:qFormat/>
    <w:uiPriority w:val="0"/>
    <w:pPr>
      <w:tabs>
        <w:tab w:val="left" w:pos="1140"/>
      </w:tabs>
      <w:spacing w:before="300" w:after="300" w:line="360" w:lineRule="auto"/>
      <w:ind w:left="1140" w:hanging="600"/>
    </w:pPr>
    <w:rPr>
      <w:rFonts w:cs="宋体" w:asciiTheme="minorHAnsi" w:hAnsiTheme="minorHAnsi"/>
      <w:kern w:val="2"/>
      <w:szCs w:val="20"/>
    </w:rPr>
  </w:style>
  <w:style w:type="paragraph" w:customStyle="1" w:styleId="2446">
    <w:name w:val="Char Char Char Char Char Char1 Char Char Char Char1"/>
    <w:basedOn w:val="1"/>
    <w:autoRedefine/>
    <w:qFormat/>
    <w:uiPriority w:val="0"/>
    <w:rPr>
      <w:kern w:val="0"/>
      <w:sz w:val="24"/>
      <w:lang w:eastAsia="zh-TW"/>
    </w:rPr>
  </w:style>
  <w:style w:type="paragraph" w:customStyle="1" w:styleId="2447">
    <w:name w:val="7"/>
    <w:basedOn w:val="1"/>
    <w:next w:val="21"/>
    <w:autoRedefine/>
    <w:qFormat/>
    <w:uiPriority w:val="0"/>
    <w:pPr>
      <w:adjustRightInd w:val="0"/>
      <w:snapToGrid w:val="0"/>
      <w:spacing w:line="312" w:lineRule="auto"/>
      <w:ind w:firstLine="200" w:firstLineChars="200"/>
    </w:pPr>
    <w:rPr>
      <w:rFonts w:ascii="仿宋_GB2312" w:eastAsia="仿宋_GB2312"/>
      <w:sz w:val="28"/>
      <w:szCs w:val="21"/>
    </w:rPr>
  </w:style>
  <w:style w:type="paragraph" w:customStyle="1" w:styleId="2448">
    <w:name w:val="！正文"/>
    <w:basedOn w:val="1"/>
    <w:autoRedefine/>
    <w:qFormat/>
    <w:uiPriority w:val="0"/>
    <w:pPr>
      <w:spacing w:line="360" w:lineRule="auto"/>
      <w:ind w:firstLine="200" w:firstLineChars="200"/>
    </w:pPr>
    <w:rPr>
      <w:rFonts w:eastAsia="仿宋_GB2312" w:cs="宋体"/>
      <w:szCs w:val="20"/>
    </w:rPr>
  </w:style>
  <w:style w:type="paragraph" w:customStyle="1" w:styleId="2449">
    <w:name w:val="Char Char Char Char Char Char1 Char Char Char Char2"/>
    <w:basedOn w:val="1"/>
    <w:autoRedefine/>
    <w:qFormat/>
    <w:uiPriority w:val="0"/>
    <w:rPr>
      <w:kern w:val="0"/>
      <w:sz w:val="24"/>
      <w:lang w:eastAsia="zh-TW"/>
    </w:rPr>
  </w:style>
  <w:style w:type="paragraph" w:customStyle="1" w:styleId="2450">
    <w:name w:val="Char Char Char Char Char Char1 Char Char Char Char3"/>
    <w:basedOn w:val="1"/>
    <w:autoRedefine/>
    <w:qFormat/>
    <w:uiPriority w:val="0"/>
    <w:rPr>
      <w:kern w:val="0"/>
      <w:sz w:val="24"/>
      <w:lang w:eastAsia="zh-TW"/>
    </w:rPr>
  </w:style>
  <w:style w:type="paragraph" w:customStyle="1" w:styleId="2451">
    <w:name w:val="Char Char Char Char Char Char1 Char Char Char Char4"/>
    <w:basedOn w:val="1"/>
    <w:autoRedefine/>
    <w:qFormat/>
    <w:uiPriority w:val="0"/>
    <w:rPr>
      <w:kern w:val="0"/>
      <w:sz w:val="24"/>
      <w:lang w:eastAsia="zh-TW"/>
    </w:rPr>
  </w:style>
  <w:style w:type="paragraph" w:customStyle="1" w:styleId="2452">
    <w:name w:val="表格标题"/>
    <w:basedOn w:val="1"/>
    <w:autoRedefine/>
    <w:qFormat/>
    <w:uiPriority w:val="0"/>
    <w:pPr>
      <w:spacing w:line="500" w:lineRule="exact"/>
      <w:jc w:val="center"/>
    </w:pPr>
    <w:rPr>
      <w:rFonts w:eastAsia="仿宋_GB2312"/>
      <w:b/>
      <w:szCs w:val="21"/>
    </w:rPr>
  </w:style>
  <w:style w:type="paragraph" w:customStyle="1" w:styleId="2453">
    <w:name w:val="Char Char Char Char Char Char1 Char Char Char Char5"/>
    <w:basedOn w:val="1"/>
    <w:autoRedefine/>
    <w:qFormat/>
    <w:uiPriority w:val="0"/>
    <w:rPr>
      <w:kern w:val="0"/>
      <w:sz w:val="24"/>
      <w:lang w:eastAsia="zh-TW"/>
    </w:rPr>
  </w:style>
  <w:style w:type="paragraph" w:customStyle="1" w:styleId="2454">
    <w:name w:val="Char Char Char Char Char Char1 Char Char Char Char6"/>
    <w:basedOn w:val="1"/>
    <w:autoRedefine/>
    <w:qFormat/>
    <w:uiPriority w:val="0"/>
    <w:rPr>
      <w:kern w:val="0"/>
      <w:sz w:val="24"/>
      <w:lang w:eastAsia="zh-TW"/>
    </w:rPr>
  </w:style>
  <w:style w:type="paragraph" w:customStyle="1" w:styleId="2455">
    <w:name w:val="22222"/>
    <w:basedOn w:val="4"/>
    <w:autoRedefine/>
    <w:qFormat/>
    <w:uiPriority w:val="0"/>
    <w:pPr>
      <w:widowControl/>
      <w:tabs>
        <w:tab w:val="left" w:pos="720"/>
        <w:tab w:val="clear" w:pos="1276"/>
      </w:tabs>
      <w:adjustRightInd/>
      <w:spacing w:before="240" w:beforeLines="100" w:after="240" w:afterLines="100" w:line="500" w:lineRule="exact"/>
      <w:textAlignment w:val="auto"/>
    </w:pPr>
    <w:rPr>
      <w:rFonts w:ascii="Times New Roman" w:hAnsi="Times New Roman" w:eastAsia="宋体" w:cs="宋体"/>
      <w:b w:val="0"/>
      <w:kern w:val="0"/>
      <w:sz w:val="30"/>
      <w:szCs w:val="32"/>
      <w:lang w:val="zh-CN"/>
    </w:rPr>
  </w:style>
  <w:style w:type="paragraph" w:customStyle="1" w:styleId="2456">
    <w:name w:val="表格编号"/>
    <w:basedOn w:val="1"/>
    <w:next w:val="1"/>
    <w:autoRedefine/>
    <w:qFormat/>
    <w:uiPriority w:val="0"/>
    <w:pPr>
      <w:tabs>
        <w:tab w:val="left" w:pos="600"/>
        <w:tab w:val="left" w:pos="720"/>
      </w:tabs>
      <w:spacing w:before="300" w:after="200"/>
      <w:jc w:val="center"/>
    </w:pPr>
    <w:rPr>
      <w:rFonts w:eastAsia="仿宋_GB2312"/>
      <w:szCs w:val="20"/>
    </w:rPr>
  </w:style>
  <w:style w:type="paragraph" w:customStyle="1" w:styleId="2457">
    <w:name w:val="款"/>
    <w:basedOn w:val="1"/>
    <w:autoRedefine/>
    <w:qFormat/>
    <w:uiPriority w:val="0"/>
    <w:pPr>
      <w:spacing w:line="360" w:lineRule="auto"/>
    </w:pPr>
    <w:rPr>
      <w:rFonts w:eastAsia="仿宋_GB2312"/>
      <w:sz w:val="28"/>
      <w:szCs w:val="20"/>
    </w:rPr>
  </w:style>
  <w:style w:type="paragraph" w:customStyle="1" w:styleId="2458">
    <w:name w:val="2222"/>
    <w:basedOn w:val="2455"/>
    <w:autoRedefine/>
    <w:qFormat/>
    <w:uiPriority w:val="0"/>
    <w:pPr>
      <w:tabs>
        <w:tab w:val="clear" w:pos="720"/>
      </w:tabs>
      <w:spacing w:line="240" w:lineRule="auto"/>
    </w:pPr>
    <w:rPr>
      <w:b/>
    </w:rPr>
  </w:style>
  <w:style w:type="paragraph" w:customStyle="1" w:styleId="2459">
    <w:name w:val="三级标题"/>
    <w:basedOn w:val="2460"/>
    <w:autoRedefine/>
    <w:qFormat/>
    <w:uiPriority w:val="0"/>
    <w:pPr>
      <w:tabs>
        <w:tab w:val="left" w:pos="1080"/>
      </w:tabs>
    </w:pPr>
  </w:style>
  <w:style w:type="paragraph" w:customStyle="1" w:styleId="2460">
    <w:name w:val="3333"/>
    <w:basedOn w:val="5"/>
    <w:autoRedefine/>
    <w:qFormat/>
    <w:uiPriority w:val="0"/>
    <w:pPr>
      <w:widowControl/>
      <w:tabs>
        <w:tab w:val="left" w:pos="1080"/>
      </w:tabs>
      <w:spacing w:before="120" w:beforeLines="50" w:after="120" w:afterLines="50" w:line="240" w:lineRule="auto"/>
      <w:ind w:firstLine="480" w:firstLineChars="200"/>
      <w:jc w:val="left"/>
    </w:pPr>
    <w:rPr>
      <w:rFonts w:ascii="Times New Roman" w:hAnsi="Times New Roman" w:eastAsia="宋体" w:cs="宋体"/>
      <w:kern w:val="0"/>
      <w:sz w:val="28"/>
      <w:lang w:val="zh-CN"/>
    </w:rPr>
  </w:style>
  <w:style w:type="paragraph" w:customStyle="1" w:styleId="2461">
    <w:name w:val="WPSOffice手动目录 1"/>
    <w:autoRedefine/>
    <w:qFormat/>
    <w:uiPriority w:val="0"/>
    <w:rPr>
      <w:rFonts w:ascii="Times New Roman" w:hAnsi="Times New Roman" w:eastAsia="宋体" w:cs="Times New Roman"/>
      <w:lang w:val="en-US" w:eastAsia="zh-CN" w:bidi="ar-SA"/>
    </w:rPr>
  </w:style>
  <w:style w:type="paragraph" w:customStyle="1" w:styleId="2462">
    <w:name w:val="Char Char3 Char Char Char Char2"/>
    <w:basedOn w:val="1"/>
    <w:autoRedefine/>
    <w:qFormat/>
    <w:uiPriority w:val="0"/>
    <w:pPr>
      <w:widowControl/>
      <w:spacing w:after="160" w:line="240" w:lineRule="exact"/>
      <w:jc w:val="left"/>
    </w:pPr>
    <w:rPr>
      <w:rFonts w:ascii="Verdana" w:hAnsi="Verdana" w:eastAsia="仿宋_GB2312"/>
      <w:kern w:val="0"/>
      <w:sz w:val="20"/>
      <w:szCs w:val="20"/>
      <w:lang w:eastAsia="en-US"/>
    </w:rPr>
  </w:style>
  <w:style w:type="paragraph" w:customStyle="1" w:styleId="2463">
    <w:name w:val="样式11"/>
    <w:basedOn w:val="897"/>
    <w:autoRedefine/>
    <w:qFormat/>
    <w:uiPriority w:val="0"/>
    <w:pPr>
      <w:spacing w:line="240" w:lineRule="auto"/>
      <w:ind w:firstLine="0"/>
    </w:pPr>
    <w:rPr>
      <w:rFonts w:ascii="仿宋_GB2312" w:eastAsia="仿宋_GB2312"/>
      <w:bCs w:val="0"/>
      <w:color w:val="000000"/>
      <w:spacing w:val="0"/>
      <w:kern w:val="2"/>
      <w:szCs w:val="24"/>
    </w:rPr>
  </w:style>
  <w:style w:type="paragraph" w:customStyle="1" w:styleId="2464">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465">
    <w:name w:val="样式7"/>
    <w:basedOn w:val="897"/>
    <w:autoRedefine/>
    <w:qFormat/>
    <w:uiPriority w:val="0"/>
    <w:pPr>
      <w:spacing w:line="240" w:lineRule="auto"/>
      <w:ind w:firstLine="0"/>
    </w:pPr>
    <w:rPr>
      <w:rFonts w:ascii="仿宋_GB2312" w:eastAsia="仿宋_GB2312"/>
      <w:color w:val="000000"/>
      <w:spacing w:val="0"/>
      <w:kern w:val="2"/>
    </w:rPr>
  </w:style>
  <w:style w:type="paragraph" w:customStyle="1" w:styleId="2466">
    <w:name w:val="文本框文字格式"/>
    <w:basedOn w:val="1"/>
    <w:autoRedefine/>
    <w:qFormat/>
    <w:uiPriority w:val="0"/>
    <w:pPr>
      <w:jc w:val="center"/>
    </w:pPr>
    <w:rPr>
      <w:rFonts w:eastAsia="仿宋_GB2312"/>
      <w:szCs w:val="21"/>
    </w:rPr>
  </w:style>
  <w:style w:type="paragraph" w:customStyle="1" w:styleId="2467">
    <w:name w:val="表头2"/>
    <w:basedOn w:val="2468"/>
    <w:autoRedefine/>
    <w:qFormat/>
    <w:uiPriority w:val="0"/>
  </w:style>
  <w:style w:type="paragraph" w:customStyle="1" w:styleId="2468">
    <w:name w:val="表头x-"/>
    <w:basedOn w:val="52"/>
    <w:autoRedefine/>
    <w:qFormat/>
    <w:uiPriority w:val="0"/>
    <w:pPr>
      <w:widowControl/>
      <w:spacing w:before="0" w:after="120" w:line="440" w:lineRule="exact"/>
      <w:ind w:firstLine="0" w:firstLineChars="0"/>
      <w:jc w:val="center"/>
    </w:pPr>
    <w:rPr>
      <w:rFonts w:ascii="Times New Roman" w:hAnsiTheme="minorHAnsi" w:cstheme="minorBidi"/>
      <w:spacing w:val="0"/>
    </w:rPr>
  </w:style>
  <w:style w:type="paragraph" w:customStyle="1" w:styleId="2469">
    <w:name w:val="样式110"/>
    <w:basedOn w:val="2436"/>
    <w:autoRedefine/>
    <w:qFormat/>
    <w:uiPriority w:val="0"/>
    <w:pPr>
      <w:adjustRightInd w:val="0"/>
    </w:pPr>
  </w:style>
  <w:style w:type="paragraph" w:customStyle="1" w:styleId="2470">
    <w:name w:val="正文-环评"/>
    <w:basedOn w:val="1"/>
    <w:autoRedefine/>
    <w:qFormat/>
    <w:uiPriority w:val="0"/>
    <w:pPr>
      <w:spacing w:line="500" w:lineRule="exact"/>
      <w:ind w:firstLine="560" w:firstLineChars="200"/>
    </w:pPr>
    <w:rPr>
      <w:rFonts w:ascii="仿宋_GB2312" w:hAnsi="宋体" w:eastAsia="仿宋_GB2312"/>
      <w:sz w:val="28"/>
      <w:szCs w:val="22"/>
    </w:rPr>
  </w:style>
  <w:style w:type="paragraph" w:customStyle="1" w:styleId="2471">
    <w:name w:val="正文文本 21"/>
    <w:basedOn w:val="1"/>
    <w:autoRedefine/>
    <w:qFormat/>
    <w:uiPriority w:val="0"/>
    <w:pPr>
      <w:autoSpaceDE w:val="0"/>
      <w:autoSpaceDN w:val="0"/>
      <w:adjustRightInd w:val="0"/>
      <w:spacing w:line="360" w:lineRule="atLeast"/>
      <w:ind w:firstLine="425"/>
      <w:textAlignment w:val="baseline"/>
    </w:pPr>
    <w:rPr>
      <w:rFonts w:eastAsia="仿宋_GB2312"/>
      <w:kern w:val="0"/>
      <w:sz w:val="28"/>
      <w:szCs w:val="20"/>
    </w:rPr>
  </w:style>
  <w:style w:type="paragraph" w:customStyle="1" w:styleId="2472">
    <w:name w:val="_Style 33"/>
    <w:basedOn w:val="1"/>
    <w:autoRedefine/>
    <w:qFormat/>
    <w:uiPriority w:val="0"/>
    <w:rPr>
      <w:rFonts w:eastAsia="仿宋_GB2312"/>
      <w:kern w:val="0"/>
      <w:sz w:val="24"/>
      <w:szCs w:val="20"/>
    </w:rPr>
  </w:style>
  <w:style w:type="paragraph" w:customStyle="1" w:styleId="2473">
    <w:name w:val="PP 行"/>
    <w:basedOn w:val="60"/>
    <w:autoRedefine/>
    <w:qFormat/>
    <w:uiPriority w:val="0"/>
    <w:pPr>
      <w:widowControl/>
      <w:adjustRightInd/>
      <w:spacing w:line="240" w:lineRule="auto"/>
      <w:ind w:left="2100" w:firstLine="0"/>
      <w:jc w:val="left"/>
      <w:textAlignment w:val="auto"/>
    </w:pPr>
    <w:rPr>
      <w:rFonts w:ascii="宋体" w:eastAsia="仿宋_GB2312" w:cs="宋体" w:hAnsiTheme="minorHAnsi"/>
      <w:spacing w:val="0"/>
      <w:szCs w:val="21"/>
    </w:rPr>
  </w:style>
  <w:style w:type="paragraph" w:customStyle="1" w:styleId="2474">
    <w:name w:val="正文文本缩进1"/>
    <w:basedOn w:val="1"/>
    <w:autoRedefine/>
    <w:qFormat/>
    <w:uiPriority w:val="0"/>
    <w:pPr>
      <w:spacing w:after="120" w:line="360" w:lineRule="auto"/>
      <w:ind w:left="200" w:leftChars="200" w:firstLine="200" w:firstLineChars="200"/>
    </w:pPr>
    <w:rPr>
      <w:rFonts w:eastAsia="仿宋_GB2312"/>
      <w:szCs w:val="21"/>
    </w:rPr>
  </w:style>
  <w:style w:type="paragraph" w:customStyle="1" w:styleId="2475">
    <w:name w:val="样式 标题 3标题 3 Char + 字距调整二号"/>
    <w:basedOn w:val="5"/>
    <w:autoRedefine/>
    <w:qFormat/>
    <w:uiPriority w:val="0"/>
    <w:pPr>
      <w:tabs>
        <w:tab w:val="left" w:pos="7088"/>
      </w:tabs>
      <w:adjustRightInd w:val="0"/>
      <w:spacing w:beforeLines="50" w:afterLines="50" w:line="360" w:lineRule="auto"/>
    </w:pPr>
    <w:rPr>
      <w:rFonts w:ascii="Times New Roman" w:hAnsi="Times New Roman" w:eastAsia="仿宋_GB2312" w:cs="Times New Roman"/>
      <w:kern w:val="44"/>
      <w:sz w:val="30"/>
      <w:lang w:val="zh-CN"/>
    </w:rPr>
  </w:style>
  <w:style w:type="paragraph" w:customStyle="1" w:styleId="2476">
    <w:name w:val="样式 表内字"/>
    <w:basedOn w:val="1"/>
    <w:autoRedefine/>
    <w:qFormat/>
    <w:uiPriority w:val="0"/>
    <w:pPr>
      <w:adjustRightInd w:val="0"/>
      <w:snapToGrid w:val="0"/>
      <w:jc w:val="center"/>
    </w:pPr>
    <w:rPr>
      <w:rFonts w:eastAsia="仿宋_GB2312"/>
      <w:snapToGrid w:val="0"/>
      <w:color w:val="000000"/>
      <w:kern w:val="0"/>
      <w:sz w:val="28"/>
      <w:szCs w:val="20"/>
    </w:rPr>
  </w:style>
  <w:style w:type="paragraph" w:customStyle="1" w:styleId="2477">
    <w:name w:val="main"/>
    <w:basedOn w:val="1"/>
    <w:autoRedefine/>
    <w:qFormat/>
    <w:uiPriority w:val="0"/>
    <w:pPr>
      <w:widowControl/>
      <w:spacing w:before="100" w:beforeAutospacing="1" w:after="100" w:afterAutospacing="1"/>
      <w:jc w:val="left"/>
    </w:pPr>
    <w:rPr>
      <w:rFonts w:eastAsia="仿宋_GB2312" w:cs="宋体"/>
      <w:color w:val="000000"/>
      <w:kern w:val="0"/>
      <w:szCs w:val="21"/>
    </w:rPr>
  </w:style>
  <w:style w:type="paragraph" w:customStyle="1" w:styleId="2478">
    <w:name w:val="样式 楷体_GB2312 居中"/>
    <w:basedOn w:val="1"/>
    <w:autoRedefine/>
    <w:qFormat/>
    <w:uiPriority w:val="0"/>
    <w:pPr>
      <w:widowControl/>
      <w:spacing w:line="360" w:lineRule="auto"/>
      <w:jc w:val="center"/>
    </w:pPr>
    <w:rPr>
      <w:rFonts w:ascii="楷体_GB2312" w:eastAsia="楷体_GB2312" w:cs="宋体"/>
      <w:kern w:val="0"/>
      <w:szCs w:val="20"/>
      <w:lang w:bidi="ar-OM"/>
    </w:rPr>
  </w:style>
  <w:style w:type="paragraph" w:customStyle="1" w:styleId="2479">
    <w:name w:val="正文 1"/>
    <w:autoRedefine/>
    <w:qFormat/>
    <w:uiPriority w:val="0"/>
    <w:pPr>
      <w:keepNext/>
      <w:widowControl w:val="0"/>
      <w:topLinePunct/>
      <w:autoSpaceDE w:val="0"/>
      <w:autoSpaceDN w:val="0"/>
      <w:adjustRightInd w:val="0"/>
      <w:ind w:firstLine="454"/>
      <w:textAlignment w:val="baseline"/>
    </w:pPr>
    <w:rPr>
      <w:rFonts w:ascii="Times New Roman" w:hAnsi="Times New Roman" w:eastAsia="仿宋_GB2312" w:cs="宋体"/>
      <w:sz w:val="24"/>
      <w:szCs w:val="21"/>
      <w:lang w:val="en-US" w:eastAsia="zh-CN" w:bidi="ar-SA"/>
    </w:rPr>
  </w:style>
  <w:style w:type="paragraph" w:customStyle="1" w:styleId="2480">
    <w:name w:val="二级标题"/>
    <w:basedOn w:val="2458"/>
    <w:autoRedefine/>
    <w:qFormat/>
    <w:uiPriority w:val="0"/>
    <w:pPr>
      <w:spacing w:after="120" w:afterLines="50"/>
    </w:pPr>
  </w:style>
  <w:style w:type="paragraph" w:customStyle="1" w:styleId="2481">
    <w:name w:val="短简表"/>
    <w:basedOn w:val="1"/>
    <w:autoRedefine/>
    <w:qFormat/>
    <w:uiPriority w:val="0"/>
    <w:pPr>
      <w:adjustRightInd w:val="0"/>
      <w:snapToGrid w:val="0"/>
      <w:spacing w:before="120" w:after="120"/>
      <w:ind w:left="445" w:leftChars="245" w:hanging="200" w:hangingChars="200"/>
    </w:pPr>
    <w:rPr>
      <w:rFonts w:eastAsia="仿宋_GB2312"/>
      <w:szCs w:val="21"/>
    </w:rPr>
  </w:style>
  <w:style w:type="paragraph" w:customStyle="1" w:styleId="2482">
    <w:name w:val="样式10"/>
    <w:basedOn w:val="897"/>
    <w:autoRedefine/>
    <w:qFormat/>
    <w:uiPriority w:val="0"/>
    <w:pPr>
      <w:spacing w:line="240" w:lineRule="auto"/>
      <w:ind w:firstLine="0"/>
    </w:pPr>
    <w:rPr>
      <w:rFonts w:ascii="仿宋_GB2312" w:eastAsia="仿宋_GB2312"/>
      <w:color w:val="FF0000"/>
      <w:spacing w:val="0"/>
      <w:kern w:val="2"/>
      <w:sz w:val="28"/>
      <w:szCs w:val="21"/>
    </w:rPr>
  </w:style>
  <w:style w:type="paragraph" w:customStyle="1" w:styleId="2483">
    <w:name w:val="图章"/>
    <w:basedOn w:val="1"/>
    <w:autoRedefine/>
    <w:qFormat/>
    <w:uiPriority w:val="0"/>
    <w:pPr>
      <w:tabs>
        <w:tab w:val="left" w:pos="1727"/>
        <w:tab w:val="left" w:pos="1884"/>
      </w:tabs>
      <w:adjustRightInd w:val="0"/>
      <w:snapToGrid w:val="0"/>
      <w:ind w:left="26"/>
      <w:jc w:val="left"/>
      <w:outlineLvl w:val="0"/>
    </w:pPr>
    <w:rPr>
      <w:rFonts w:eastAsia="仿宋_GB2312"/>
      <w:snapToGrid w:val="0"/>
      <w:kern w:val="0"/>
      <w:sz w:val="18"/>
      <w:szCs w:val="20"/>
    </w:rPr>
  </w:style>
  <w:style w:type="paragraph" w:customStyle="1" w:styleId="2484">
    <w:name w:val="xl173"/>
    <w:basedOn w:val="1"/>
    <w:autoRedefine/>
    <w:qFormat/>
    <w:uiPriority w:val="0"/>
    <w:pPr>
      <w:widowControl/>
      <w:spacing w:before="100" w:beforeAutospacing="1" w:after="100" w:afterAutospacing="1"/>
      <w:jc w:val="center"/>
      <w:textAlignment w:val="center"/>
    </w:pPr>
    <w:rPr>
      <w:rFonts w:ascii="Arial Unicode MS" w:hAnsi="Arial Unicode MS" w:eastAsia="仿宋_GB2312"/>
      <w:kern w:val="0"/>
      <w:sz w:val="28"/>
      <w:szCs w:val="21"/>
    </w:rPr>
  </w:style>
  <w:style w:type="paragraph" w:customStyle="1" w:styleId="2485">
    <w:name w:val="样式 报告正文 + 首行缩进:  2 字符"/>
    <w:basedOn w:val="1"/>
    <w:autoRedefine/>
    <w:qFormat/>
    <w:uiPriority w:val="0"/>
    <w:pPr>
      <w:widowControl/>
      <w:autoSpaceDE w:val="0"/>
      <w:autoSpaceDN w:val="0"/>
      <w:spacing w:line="360" w:lineRule="auto"/>
      <w:ind w:firstLine="200" w:firstLineChars="200"/>
      <w:jc w:val="left"/>
    </w:pPr>
    <w:rPr>
      <w:rFonts w:eastAsia="仿宋_GB2312" w:cs="宋体"/>
      <w:kern w:val="0"/>
      <w:sz w:val="24"/>
      <w:szCs w:val="20"/>
    </w:rPr>
  </w:style>
  <w:style w:type="paragraph" w:customStyle="1" w:styleId="2486">
    <w:name w:val="Char4 Char Char Char Char Char Char1"/>
    <w:basedOn w:val="1"/>
    <w:autoRedefine/>
    <w:qFormat/>
    <w:uiPriority w:val="0"/>
    <w:pPr>
      <w:widowControl/>
      <w:jc w:val="left"/>
    </w:pPr>
    <w:rPr>
      <w:rFonts w:eastAsia="仿宋_GB2312" w:cs="宋体"/>
      <w:kern w:val="0"/>
      <w:szCs w:val="21"/>
    </w:rPr>
  </w:style>
  <w:style w:type="paragraph" w:customStyle="1" w:styleId="2487">
    <w:name w:val="xl172"/>
    <w:basedOn w:val="1"/>
    <w:autoRedefine/>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eastAsia="仿宋_GB2312"/>
      <w:kern w:val="0"/>
      <w:sz w:val="28"/>
      <w:szCs w:val="21"/>
    </w:rPr>
  </w:style>
  <w:style w:type="paragraph" w:customStyle="1" w:styleId="2488">
    <w:name w:val="Char1 Char Char Char3"/>
    <w:basedOn w:val="1"/>
    <w:next w:val="1"/>
    <w:autoRedefine/>
    <w:qFormat/>
    <w:uiPriority w:val="0"/>
    <w:pPr>
      <w:spacing w:line="360" w:lineRule="auto"/>
      <w:ind w:firstLine="200" w:firstLineChars="200"/>
    </w:pPr>
    <w:rPr>
      <w:rFonts w:eastAsia="仿宋_GB2312" w:cs="宋体"/>
      <w:szCs w:val="21"/>
    </w:rPr>
  </w:style>
  <w:style w:type="paragraph" w:customStyle="1" w:styleId="2489">
    <w:name w:val="正文(首行缩进2字)"/>
    <w:basedOn w:val="1"/>
    <w:next w:val="1"/>
    <w:autoRedefine/>
    <w:qFormat/>
    <w:uiPriority w:val="0"/>
    <w:pPr>
      <w:adjustRightInd w:val="0"/>
      <w:spacing w:afterLines="50" w:line="300" w:lineRule="auto"/>
      <w:ind w:firstLine="200" w:firstLineChars="200"/>
      <w:jc w:val="left"/>
      <w:textAlignment w:val="baseline"/>
    </w:pPr>
    <w:rPr>
      <w:rFonts w:eastAsia="仿宋_GB2312"/>
      <w:color w:val="000000"/>
      <w:kern w:val="0"/>
      <w:szCs w:val="21"/>
    </w:rPr>
  </w:style>
  <w:style w:type="paragraph" w:customStyle="1" w:styleId="2490">
    <w:name w:val="样式111"/>
    <w:basedOn w:val="2466"/>
    <w:autoRedefine/>
    <w:qFormat/>
    <w:uiPriority w:val="0"/>
  </w:style>
  <w:style w:type="paragraph" w:customStyle="1" w:styleId="2491">
    <w:name w:val="正文新"/>
    <w:basedOn w:val="45"/>
    <w:autoRedefine/>
    <w:qFormat/>
    <w:uiPriority w:val="0"/>
    <w:pPr>
      <w:adjustRightInd/>
      <w:spacing w:after="120" w:line="300" w:lineRule="auto"/>
      <w:ind w:firstLine="510"/>
      <w:textAlignment w:val="auto"/>
    </w:pPr>
    <w:rPr>
      <w:rFonts w:hAnsi="Times New Roman" w:eastAsia="仿宋_GB2312" w:cstheme="minorBidi"/>
      <w:snapToGrid w:val="0"/>
      <w:spacing w:val="0"/>
      <w:kern w:val="0"/>
      <w:szCs w:val="22"/>
    </w:rPr>
  </w:style>
  <w:style w:type="paragraph" w:customStyle="1" w:styleId="2492">
    <w:name w:val="标题42"/>
    <w:basedOn w:val="6"/>
    <w:next w:val="1"/>
    <w:autoRedefine/>
    <w:qFormat/>
    <w:uiPriority w:val="0"/>
    <w:pPr>
      <w:tabs>
        <w:tab w:val="clear" w:pos="2976"/>
      </w:tabs>
      <w:adjustRightInd w:val="0"/>
      <w:spacing w:before="0" w:after="0" w:line="360" w:lineRule="auto"/>
      <w:ind w:left="1983" w:hanging="708"/>
      <w:textAlignment w:val="baseline"/>
    </w:pPr>
    <w:rPr>
      <w:rFonts w:ascii="Times New Roman" w:hAnsi="Times New Roman" w:eastAsia="仿宋_GB2312"/>
      <w:bCs w:val="0"/>
      <w:color w:val="000000"/>
      <w:sz w:val="21"/>
      <w:lang w:val="zh-CN"/>
    </w:rPr>
  </w:style>
  <w:style w:type="paragraph" w:customStyle="1" w:styleId="2493">
    <w:name w:val="样式 样式 首行缩进:  0.74 厘米 + 首行缩进:  2 字符"/>
    <w:basedOn w:val="1"/>
    <w:autoRedefine/>
    <w:qFormat/>
    <w:uiPriority w:val="0"/>
    <w:pPr>
      <w:spacing w:line="400" w:lineRule="exact"/>
      <w:ind w:firstLine="200"/>
    </w:pPr>
    <w:rPr>
      <w:rFonts w:eastAsia="仿宋_GB2312"/>
      <w:szCs w:val="20"/>
    </w:rPr>
  </w:style>
  <w:style w:type="paragraph" w:customStyle="1" w:styleId="2494">
    <w:name w:val="样式13"/>
    <w:basedOn w:val="1"/>
    <w:next w:val="31"/>
    <w:autoRedefine/>
    <w:qFormat/>
    <w:uiPriority w:val="0"/>
    <w:pPr>
      <w:adjustRightInd w:val="0"/>
      <w:spacing w:line="500" w:lineRule="exact"/>
      <w:ind w:firstLine="200" w:firstLineChars="200"/>
      <w:textAlignment w:val="baseline"/>
    </w:pPr>
    <w:rPr>
      <w:rFonts w:ascii="仿宋_GB2312" w:eastAsia="仿宋_GB2312"/>
      <w:color w:val="FF0000"/>
      <w:sz w:val="28"/>
      <w:szCs w:val="28"/>
    </w:rPr>
  </w:style>
  <w:style w:type="paragraph" w:customStyle="1" w:styleId="2495">
    <w:name w:val="样式12"/>
    <w:basedOn w:val="2436"/>
    <w:autoRedefine/>
    <w:qFormat/>
    <w:uiPriority w:val="0"/>
    <w:pPr>
      <w:adjustRightInd w:val="0"/>
    </w:pPr>
    <w:rPr>
      <w:rFonts w:ascii="仿宋_GB2312"/>
      <w:b/>
      <w:color w:val="FF0000"/>
      <w:szCs w:val="30"/>
    </w:rPr>
  </w:style>
  <w:style w:type="paragraph" w:customStyle="1" w:styleId="2496">
    <w:name w:val="bg"/>
    <w:basedOn w:val="1"/>
    <w:autoRedefine/>
    <w:qFormat/>
    <w:uiPriority w:val="0"/>
    <w:rPr>
      <w:rFonts w:eastAsia="仿宋_GB2312"/>
      <w:szCs w:val="21"/>
    </w:rPr>
  </w:style>
  <w:style w:type="paragraph" w:customStyle="1" w:styleId="2497">
    <w:name w:val="样式15"/>
    <w:basedOn w:val="1"/>
    <w:autoRedefine/>
    <w:qFormat/>
    <w:uiPriority w:val="0"/>
    <w:pPr>
      <w:shd w:val="clear" w:color="auto" w:fill="FFFFFF"/>
      <w:adjustRightInd w:val="0"/>
      <w:jc w:val="center"/>
      <w:textAlignment w:val="baseline"/>
    </w:pPr>
    <w:rPr>
      <w:rFonts w:ascii="仿宋_GB2312" w:eastAsia="仿宋_GB2312"/>
      <w:szCs w:val="21"/>
    </w:rPr>
  </w:style>
  <w:style w:type="paragraph" w:customStyle="1" w:styleId="2498">
    <w:name w:val="样式 样式 左侧:  2 字符 + 首行缩进:  2 字符 Char"/>
    <w:basedOn w:val="1"/>
    <w:autoRedefine/>
    <w:qFormat/>
    <w:uiPriority w:val="0"/>
    <w:pPr>
      <w:tabs>
        <w:tab w:val="left" w:pos="540"/>
      </w:tabs>
      <w:adjustRightInd w:val="0"/>
      <w:snapToGrid w:val="0"/>
      <w:spacing w:line="360" w:lineRule="auto"/>
      <w:ind w:firstLine="200" w:firstLineChars="200"/>
    </w:pPr>
    <w:rPr>
      <w:rFonts w:eastAsia="仿宋_GB2312"/>
      <w:bCs/>
      <w:color w:val="FF0000"/>
      <w:sz w:val="28"/>
      <w:szCs w:val="28"/>
    </w:rPr>
  </w:style>
  <w:style w:type="paragraph" w:customStyle="1" w:styleId="2499">
    <w:name w:val="Char Char3 Char Char Char Char"/>
    <w:basedOn w:val="1"/>
    <w:autoRedefine/>
    <w:qFormat/>
    <w:uiPriority w:val="0"/>
    <w:pPr>
      <w:widowControl/>
      <w:spacing w:after="160" w:line="240" w:lineRule="exact"/>
      <w:jc w:val="left"/>
    </w:pPr>
    <w:rPr>
      <w:rFonts w:ascii="Verdana" w:hAnsi="Verdana" w:eastAsia="仿宋_GB2312"/>
      <w:kern w:val="0"/>
      <w:sz w:val="20"/>
      <w:szCs w:val="20"/>
      <w:lang w:eastAsia="en-US"/>
    </w:rPr>
  </w:style>
  <w:style w:type="paragraph" w:customStyle="1" w:styleId="2500">
    <w:name w:val="副标题4"/>
    <w:basedOn w:val="2501"/>
    <w:autoRedefine/>
    <w:qFormat/>
    <w:uiPriority w:val="0"/>
    <w:pPr>
      <w:tabs>
        <w:tab w:val="left" w:pos="672"/>
        <w:tab w:val="left" w:pos="720"/>
        <w:tab w:val="left" w:pos="1275"/>
        <w:tab w:val="left" w:pos="2100"/>
      </w:tabs>
      <w:ind w:left="1275" w:hanging="705"/>
      <w:outlineLvl w:val="4"/>
    </w:pPr>
  </w:style>
  <w:style w:type="paragraph" w:customStyle="1" w:styleId="2501">
    <w:name w:val="副标题3"/>
    <w:basedOn w:val="1"/>
    <w:autoRedefine/>
    <w:qFormat/>
    <w:uiPriority w:val="0"/>
    <w:pPr>
      <w:keepLines/>
      <w:tabs>
        <w:tab w:val="left" w:pos="672"/>
        <w:tab w:val="left" w:pos="720"/>
      </w:tabs>
      <w:adjustRightInd w:val="0"/>
      <w:snapToGrid w:val="0"/>
      <w:spacing w:beforeLines="30" w:afterLines="30" w:line="240" w:lineRule="exact"/>
      <w:outlineLvl w:val="3"/>
    </w:pPr>
    <w:rPr>
      <w:rFonts w:eastAsia="仿宋_GB2312"/>
      <w:snapToGrid w:val="0"/>
      <w:kern w:val="0"/>
      <w:sz w:val="28"/>
      <w:szCs w:val="21"/>
    </w:rPr>
  </w:style>
  <w:style w:type="paragraph" w:customStyle="1" w:styleId="2502">
    <w:name w:val="c_"/>
    <w:autoRedefine/>
    <w:qFormat/>
    <w:uiPriority w:val="0"/>
    <w:pPr>
      <w:widowControl w:val="0"/>
      <w:autoSpaceDE w:val="0"/>
      <w:autoSpaceDN w:val="0"/>
      <w:adjustRightInd w:val="0"/>
      <w:jc w:val="both"/>
    </w:pPr>
    <w:rPr>
      <w:rFonts w:ascii="五" w:hAnsi="Times New Roman" w:eastAsia="五" w:cs="宋体"/>
      <w:sz w:val="24"/>
      <w:szCs w:val="21"/>
      <w:lang w:val="en-US" w:eastAsia="zh-CN" w:bidi="ar-SA"/>
    </w:rPr>
  </w:style>
  <w:style w:type="paragraph" w:customStyle="1" w:styleId="2503">
    <w:name w:val="首行缩进:  2.25 字符"/>
    <w:basedOn w:val="1"/>
    <w:autoRedefine/>
    <w:qFormat/>
    <w:uiPriority w:val="0"/>
    <w:pPr>
      <w:snapToGrid w:val="0"/>
      <w:spacing w:line="300" w:lineRule="auto"/>
      <w:ind w:firstLine="200" w:firstLineChars="200"/>
    </w:pPr>
    <w:rPr>
      <w:rFonts w:eastAsia="仿宋_GB2312" w:cs="宋体"/>
      <w:sz w:val="28"/>
      <w:szCs w:val="20"/>
    </w:rPr>
  </w:style>
  <w:style w:type="paragraph" w:customStyle="1" w:styleId="2504">
    <w:name w:val="样式6"/>
    <w:basedOn w:val="59"/>
    <w:next w:val="59"/>
    <w:autoRedefine/>
    <w:qFormat/>
    <w:uiPriority w:val="0"/>
    <w:pPr>
      <w:tabs>
        <w:tab w:val="clear" w:pos="4153"/>
        <w:tab w:val="clear" w:pos="8306"/>
      </w:tabs>
      <w:adjustRightInd w:val="0"/>
      <w:snapToGrid/>
      <w:spacing w:line="240" w:lineRule="auto"/>
      <w:textAlignment w:val="center"/>
    </w:pPr>
    <w:rPr>
      <w:rFonts w:ascii="Times New Roman"/>
      <w:spacing w:val="0"/>
      <w:sz w:val="28"/>
      <w:szCs w:val="21"/>
    </w:rPr>
  </w:style>
  <w:style w:type="paragraph" w:customStyle="1" w:styleId="2505">
    <w:name w:val="样式8"/>
    <w:basedOn w:val="2436"/>
    <w:autoRedefine/>
    <w:qFormat/>
    <w:uiPriority w:val="0"/>
    <w:pPr>
      <w:adjustRightInd w:val="0"/>
    </w:pPr>
    <w:rPr>
      <w:rFonts w:ascii="仿宋_GB2312"/>
      <w:bCs/>
      <w:szCs w:val="28"/>
    </w:rPr>
  </w:style>
  <w:style w:type="paragraph" w:customStyle="1" w:styleId="2506">
    <w:name w:val="条"/>
    <w:basedOn w:val="1"/>
    <w:autoRedefine/>
    <w:qFormat/>
    <w:uiPriority w:val="0"/>
    <w:pPr>
      <w:spacing w:line="360" w:lineRule="auto"/>
    </w:pPr>
    <w:rPr>
      <w:rFonts w:eastAsia="仿宋_GB2312"/>
      <w:sz w:val="28"/>
      <w:szCs w:val="20"/>
    </w:rPr>
  </w:style>
  <w:style w:type="paragraph" w:customStyle="1" w:styleId="2507">
    <w:name w:val="4"/>
    <w:basedOn w:val="1"/>
    <w:next w:val="82"/>
    <w:autoRedefine/>
    <w:qFormat/>
    <w:uiPriority w:val="0"/>
    <w:pPr>
      <w:widowControl/>
      <w:spacing w:before="100" w:beforeAutospacing="1" w:after="100" w:afterAutospacing="1" w:line="280" w:lineRule="atLeast"/>
      <w:jc w:val="left"/>
    </w:pPr>
    <w:rPr>
      <w:rFonts w:ascii="ˎ̥" w:hAnsi="ˎ̥" w:eastAsia="仿宋_GB2312" w:cs="宋体"/>
      <w:kern w:val="0"/>
      <w:sz w:val="20"/>
      <w:szCs w:val="20"/>
    </w:rPr>
  </w:style>
  <w:style w:type="paragraph" w:customStyle="1" w:styleId="2508">
    <w:name w:val="表格中"/>
    <w:basedOn w:val="1334"/>
    <w:autoRedefine/>
    <w:qFormat/>
    <w:uiPriority w:val="0"/>
    <w:pPr>
      <w:keepLines w:val="0"/>
      <w:widowControl/>
      <w:autoSpaceDE/>
      <w:autoSpaceDN/>
      <w:snapToGrid w:val="0"/>
      <w:spacing w:line="0" w:lineRule="atLeast"/>
      <w:ind w:firstLine="0"/>
      <w:jc w:val="center"/>
      <w:textAlignment w:val="auto"/>
    </w:pPr>
    <w:rPr>
      <w:rFonts w:ascii="Times New Roman" w:eastAsia="仿宋_GB2312" w:cs="宋体"/>
      <w:spacing w:val="0"/>
      <w:kern w:val="2"/>
      <w:sz w:val="28"/>
      <w:szCs w:val="21"/>
    </w:rPr>
  </w:style>
  <w:style w:type="paragraph" w:customStyle="1" w:styleId="2509">
    <w:name w:val="Char Char Char Char Char Char Char Char Char Char Char Char Char Char Char Char3"/>
    <w:basedOn w:val="1"/>
    <w:autoRedefine/>
    <w:qFormat/>
    <w:uiPriority w:val="0"/>
    <w:rPr>
      <w:rFonts w:eastAsia="仿宋_GB2312"/>
      <w:sz w:val="28"/>
      <w:szCs w:val="21"/>
    </w:rPr>
  </w:style>
  <w:style w:type="paragraph" w:customStyle="1" w:styleId="2510">
    <w:name w:val="注"/>
    <w:basedOn w:val="1"/>
    <w:next w:val="1"/>
    <w:autoRedefine/>
    <w:qFormat/>
    <w:uiPriority w:val="0"/>
    <w:pPr>
      <w:widowControl/>
      <w:spacing w:before="60" w:after="60" w:line="312" w:lineRule="auto"/>
      <w:jc w:val="left"/>
    </w:pPr>
    <w:rPr>
      <w:rFonts w:eastAsia="黑体"/>
      <w:kern w:val="0"/>
      <w:sz w:val="28"/>
      <w:szCs w:val="20"/>
    </w:rPr>
  </w:style>
  <w:style w:type="paragraph" w:customStyle="1" w:styleId="2511">
    <w:name w:val="样式 T3 + 黑色"/>
    <w:basedOn w:val="1"/>
    <w:autoRedefine/>
    <w:qFormat/>
    <w:uiPriority w:val="0"/>
    <w:pPr>
      <w:keepNext/>
      <w:spacing w:line="360" w:lineRule="auto"/>
      <w:ind w:left="50" w:leftChars="50"/>
      <w:jc w:val="left"/>
      <w:outlineLvl w:val="2"/>
    </w:pPr>
    <w:rPr>
      <w:rFonts w:eastAsia="仿宋_GB2312"/>
      <w:b/>
      <w:szCs w:val="20"/>
    </w:rPr>
  </w:style>
  <w:style w:type="paragraph" w:customStyle="1" w:styleId="2512">
    <w:name w:val="正文-1"/>
    <w:basedOn w:val="1"/>
    <w:autoRedefine/>
    <w:qFormat/>
    <w:uiPriority w:val="0"/>
    <w:pPr>
      <w:adjustRightInd w:val="0"/>
      <w:spacing w:line="440" w:lineRule="exact"/>
      <w:ind w:firstLine="200" w:firstLineChars="200"/>
    </w:pPr>
    <w:rPr>
      <w:rFonts w:eastAsia="仿宋_GB2312"/>
      <w:szCs w:val="20"/>
    </w:rPr>
  </w:style>
  <w:style w:type="paragraph" w:customStyle="1" w:styleId="2513">
    <w:name w:val="Char Char Char Char Char Char Char Char Char Char Char Char Char Char Char Char Char Char Char Char Char Char Char Char Char Char Char Char Char Char Char Char Char Char Char Char"/>
    <w:basedOn w:val="1"/>
    <w:autoRedefine/>
    <w:qFormat/>
    <w:uiPriority w:val="0"/>
    <w:pPr>
      <w:widowControl/>
      <w:jc w:val="left"/>
    </w:pPr>
    <w:rPr>
      <w:rFonts w:eastAsia="仿宋_GB2312" w:cs="宋体"/>
      <w:kern w:val="0"/>
      <w:szCs w:val="21"/>
    </w:rPr>
  </w:style>
  <w:style w:type="paragraph" w:customStyle="1" w:styleId="2514">
    <w:name w:val="样式 标题 3 + 黑体 四号 非加粗 段前: 0 磅 段后: 0 磅 行距: 1.5 倍行距"/>
    <w:basedOn w:val="5"/>
    <w:autoRedefine/>
    <w:qFormat/>
    <w:uiPriority w:val="0"/>
    <w:pPr>
      <w:widowControl/>
      <w:tabs>
        <w:tab w:val="left" w:pos="0"/>
        <w:tab w:val="left" w:pos="7088"/>
      </w:tabs>
      <w:adjustRightInd w:val="0"/>
      <w:spacing w:beforeLines="50" w:after="0" w:line="500" w:lineRule="exact"/>
      <w:ind w:left="720" w:hanging="720"/>
    </w:pPr>
    <w:rPr>
      <w:rFonts w:ascii="黑体" w:hAnsi="Times New Roman" w:eastAsia="黑体" w:cs="宋体"/>
      <w:b w:val="0"/>
      <w:bCs w:val="0"/>
      <w:sz w:val="30"/>
      <w:szCs w:val="20"/>
      <w:lang w:val="zh-CN"/>
    </w:rPr>
  </w:style>
  <w:style w:type="paragraph" w:customStyle="1" w:styleId="2515">
    <w:name w:val="题4"/>
    <w:basedOn w:val="6"/>
    <w:autoRedefine/>
    <w:qFormat/>
    <w:uiPriority w:val="0"/>
    <w:pPr>
      <w:tabs>
        <w:tab w:val="clear" w:pos="2976"/>
      </w:tabs>
      <w:adjustRightInd w:val="0"/>
      <w:snapToGrid w:val="0"/>
      <w:spacing w:beforeLines="50" w:afterLines="50" w:line="360" w:lineRule="auto"/>
      <w:ind w:left="0"/>
    </w:pPr>
    <w:rPr>
      <w:rFonts w:ascii="Times New Roman" w:hAnsi="Times New Roman" w:eastAsia="仿宋_GB2312"/>
      <w:bCs w:val="0"/>
      <w:sz w:val="21"/>
      <w:szCs w:val="21"/>
      <w:lang w:val="zh-CN"/>
    </w:rPr>
  </w:style>
  <w:style w:type="paragraph" w:customStyle="1" w:styleId="2516">
    <w:name w:val="Char Char Char Char Char Char Char Char Char Char Char Char Char Char Char Char2"/>
    <w:basedOn w:val="1"/>
    <w:autoRedefine/>
    <w:qFormat/>
    <w:uiPriority w:val="0"/>
    <w:rPr>
      <w:rFonts w:eastAsia="仿宋_GB2312"/>
      <w:sz w:val="28"/>
      <w:szCs w:val="21"/>
    </w:rPr>
  </w:style>
  <w:style w:type="paragraph" w:customStyle="1" w:styleId="2517">
    <w:name w:val="样式 标题 3 + 小三 黑色"/>
    <w:basedOn w:val="5"/>
    <w:autoRedefine/>
    <w:qFormat/>
    <w:uiPriority w:val="0"/>
    <w:pPr>
      <w:widowControl/>
      <w:tabs>
        <w:tab w:val="left" w:pos="0"/>
        <w:tab w:val="left" w:pos="720"/>
        <w:tab w:val="left" w:pos="7088"/>
      </w:tabs>
      <w:adjustRightInd w:val="0"/>
      <w:spacing w:beforeLines="50" w:after="0" w:line="500" w:lineRule="exact"/>
      <w:ind w:left="720" w:hanging="720"/>
      <w:jc w:val="left"/>
    </w:pPr>
    <w:rPr>
      <w:rFonts w:ascii="Times New Roman" w:hAnsi="Times New Roman" w:eastAsia="仿宋_GB2312" w:cs="Times New Roman"/>
      <w:color w:val="000000"/>
      <w:sz w:val="30"/>
      <w:szCs w:val="30"/>
      <w:lang w:val="zh-CN"/>
    </w:rPr>
  </w:style>
  <w:style w:type="paragraph" w:customStyle="1" w:styleId="2518">
    <w:name w:val="Char12"/>
    <w:basedOn w:val="1"/>
    <w:autoRedefine/>
    <w:qFormat/>
    <w:uiPriority w:val="0"/>
    <w:rPr>
      <w:rFonts w:eastAsia="仿宋_GB2312"/>
      <w:szCs w:val="21"/>
    </w:rPr>
  </w:style>
  <w:style w:type="paragraph" w:customStyle="1" w:styleId="2519">
    <w:name w:val="样式 行距: 固定值 25 磅"/>
    <w:basedOn w:val="1"/>
    <w:autoRedefine/>
    <w:qFormat/>
    <w:uiPriority w:val="0"/>
    <w:pPr>
      <w:widowControl/>
      <w:spacing w:line="400" w:lineRule="exact"/>
      <w:jc w:val="left"/>
    </w:pPr>
    <w:rPr>
      <w:rFonts w:eastAsia="仿宋_GB2312" w:cs="宋体"/>
      <w:sz w:val="28"/>
      <w:szCs w:val="21"/>
    </w:rPr>
  </w:style>
  <w:style w:type="paragraph" w:customStyle="1" w:styleId="2520">
    <w:name w:val="样式 首行缩进 + 四号 首行缩进:  2 字符 行距: 单倍行距"/>
    <w:next w:val="45"/>
    <w:autoRedefine/>
    <w:qFormat/>
    <w:uiPriority w:val="0"/>
    <w:pPr>
      <w:adjustRightInd w:val="0"/>
      <w:ind w:firstLine="537" w:firstLineChars="200"/>
    </w:pPr>
    <w:rPr>
      <w:rFonts w:ascii="Times New Roman" w:hAnsi="Times New Roman" w:eastAsia="仿宋_GB2312" w:cs="宋体"/>
      <w:kern w:val="2"/>
      <w:sz w:val="28"/>
      <w:szCs w:val="28"/>
      <w:lang w:val="en-US" w:eastAsia="zh-CN" w:bidi="ar-SA"/>
    </w:rPr>
  </w:style>
  <w:style w:type="paragraph" w:customStyle="1" w:styleId="2521">
    <w:name w:val="默认段落字体 Para Char Char Char Char Char Char Char Char Char Char Char Char Char1"/>
    <w:basedOn w:val="1"/>
    <w:autoRedefine/>
    <w:qFormat/>
    <w:uiPriority w:val="0"/>
    <w:pPr>
      <w:widowControl/>
      <w:jc w:val="left"/>
    </w:pPr>
    <w:rPr>
      <w:rFonts w:eastAsia="仿宋_GB2312" w:cs="宋体"/>
      <w:kern w:val="0"/>
      <w:szCs w:val="21"/>
    </w:rPr>
  </w:style>
  <w:style w:type="paragraph" w:customStyle="1" w:styleId="2522">
    <w:name w:val="p6"/>
    <w:basedOn w:val="1"/>
    <w:autoRedefine/>
    <w:qFormat/>
    <w:uiPriority w:val="0"/>
    <w:pPr>
      <w:widowControl/>
      <w:tabs>
        <w:tab w:val="left" w:pos="4720"/>
      </w:tabs>
      <w:spacing w:line="240" w:lineRule="atLeast"/>
      <w:ind w:left="3280"/>
      <w:jc w:val="left"/>
    </w:pPr>
    <w:rPr>
      <w:rFonts w:ascii="Arial" w:hAnsi="Arial" w:eastAsia="仿宋_GB2312"/>
      <w:snapToGrid w:val="0"/>
      <w:kern w:val="0"/>
      <w:szCs w:val="20"/>
      <w:lang w:eastAsia="en-US"/>
    </w:rPr>
  </w:style>
  <w:style w:type="paragraph" w:customStyle="1" w:styleId="2523">
    <w:name w:val="表中"/>
    <w:autoRedefine/>
    <w:qFormat/>
    <w:uiPriority w:val="0"/>
    <w:pPr>
      <w:adjustRightInd w:val="0"/>
      <w:snapToGrid w:val="0"/>
      <w:jc w:val="center"/>
    </w:pPr>
    <w:rPr>
      <w:rFonts w:ascii="Times New Roman" w:hAnsi="Times New Roman" w:eastAsia="仿宋_GB2312" w:cs="宋体"/>
      <w:kern w:val="44"/>
      <w:sz w:val="18"/>
      <w:szCs w:val="21"/>
      <w:lang w:val="en-US" w:eastAsia="zh-CN" w:bidi="ar-SA"/>
    </w:rPr>
  </w:style>
  <w:style w:type="paragraph" w:customStyle="1" w:styleId="2524">
    <w:name w:val="样式 首行缩进 + 四号 首行缩进:  2 字符"/>
    <w:basedOn w:val="1"/>
    <w:autoRedefine/>
    <w:qFormat/>
    <w:uiPriority w:val="0"/>
    <w:pPr>
      <w:adjustRightInd w:val="0"/>
      <w:snapToGrid w:val="0"/>
      <w:spacing w:line="300" w:lineRule="auto"/>
      <w:ind w:firstLine="200" w:firstLineChars="200"/>
    </w:pPr>
    <w:rPr>
      <w:rFonts w:eastAsia="仿宋_GB2312"/>
      <w:sz w:val="28"/>
      <w:szCs w:val="28"/>
      <w:lang w:val="en-GB"/>
    </w:rPr>
  </w:style>
  <w:style w:type="paragraph" w:customStyle="1" w:styleId="2525">
    <w:name w:val="样式 样式 标题 3 + 段前: 0.5 行 段后: 0.5 行 + 段前: 0.5 行 段后: 0.5 行"/>
    <w:basedOn w:val="1"/>
    <w:autoRedefine/>
    <w:qFormat/>
    <w:uiPriority w:val="0"/>
    <w:pPr>
      <w:keepNext/>
      <w:keepLines/>
      <w:widowControl/>
      <w:adjustRightInd w:val="0"/>
      <w:snapToGrid w:val="0"/>
      <w:spacing w:beforeLines="50" w:afterLines="50" w:line="300" w:lineRule="auto"/>
      <w:ind w:left="180"/>
      <w:jc w:val="left"/>
      <w:outlineLvl w:val="2"/>
    </w:pPr>
    <w:rPr>
      <w:rFonts w:ascii="仿宋_GB2312" w:eastAsia="仿宋_GB2312" w:cs="宋体"/>
      <w:b/>
      <w:kern w:val="0"/>
      <w:sz w:val="30"/>
      <w:szCs w:val="30"/>
    </w:rPr>
  </w:style>
  <w:style w:type="paragraph" w:customStyle="1" w:styleId="2526">
    <w:name w:val="暂定图表名"/>
    <w:basedOn w:val="1"/>
    <w:autoRedefine/>
    <w:qFormat/>
    <w:uiPriority w:val="0"/>
    <w:pPr>
      <w:widowControl/>
      <w:ind w:firstLine="560"/>
      <w:jc w:val="left"/>
    </w:pPr>
    <w:rPr>
      <w:rFonts w:eastAsia="楷体_GB2312"/>
      <w:b/>
      <w:color w:val="008000"/>
      <w:szCs w:val="28"/>
    </w:rPr>
  </w:style>
  <w:style w:type="paragraph" w:customStyle="1" w:styleId="2527">
    <w:name w:val="标题 3 + 段前: 0.5 行 + 行距: 多倍行距 1.35 字行 + 段前: 0.5 行"/>
    <w:basedOn w:val="2528"/>
    <w:next w:val="2528"/>
    <w:autoRedefine/>
    <w:qFormat/>
    <w:uiPriority w:val="0"/>
    <w:pPr>
      <w:tabs>
        <w:tab w:val="left" w:pos="7088"/>
      </w:tabs>
    </w:pPr>
    <w:rPr>
      <w:rFonts w:cs="宋体"/>
      <w:szCs w:val="20"/>
    </w:rPr>
  </w:style>
  <w:style w:type="paragraph" w:customStyle="1" w:styleId="2528">
    <w:name w:val="标题 3 + 段前: 0.5 行 + 行距: 多倍行距 1.35 字行"/>
    <w:basedOn w:val="5"/>
    <w:autoRedefine/>
    <w:qFormat/>
    <w:uiPriority w:val="0"/>
    <w:pPr>
      <w:keepLines w:val="0"/>
      <w:widowControl/>
      <w:tabs>
        <w:tab w:val="left" w:pos="7088"/>
      </w:tabs>
      <w:suppressAutoHyphens/>
      <w:adjustRightInd w:val="0"/>
      <w:spacing w:beforeLines="50" w:after="0" w:line="324" w:lineRule="auto"/>
      <w:jc w:val="left"/>
    </w:pPr>
    <w:rPr>
      <w:rFonts w:ascii="Times New Roman" w:hAnsi="Times New Roman" w:eastAsia="仿宋_GB2312" w:cs="Times New Roman"/>
      <w:b w:val="0"/>
      <w:kern w:val="24"/>
      <w:sz w:val="30"/>
      <w:szCs w:val="30"/>
      <w:lang w:val="zh-CN"/>
    </w:rPr>
  </w:style>
  <w:style w:type="paragraph" w:customStyle="1" w:styleId="2529">
    <w:name w:val="Char Char Char1 Char Char Char1 Char Char Char Char Char Char1 Char Char Char1 Char"/>
    <w:basedOn w:val="1"/>
    <w:autoRedefine/>
    <w:qFormat/>
    <w:uiPriority w:val="0"/>
    <w:pPr>
      <w:widowControl/>
      <w:jc w:val="left"/>
    </w:pPr>
    <w:rPr>
      <w:rFonts w:eastAsia="仿宋_GB2312"/>
      <w:sz w:val="28"/>
      <w:szCs w:val="21"/>
    </w:rPr>
  </w:style>
  <w:style w:type="paragraph" w:customStyle="1" w:styleId="2530">
    <w:name w:val="表内字体"/>
    <w:basedOn w:val="1"/>
    <w:autoRedefine/>
    <w:qFormat/>
    <w:uiPriority w:val="0"/>
    <w:pPr>
      <w:jc w:val="center"/>
    </w:pPr>
    <w:rPr>
      <w:rFonts w:eastAsia="仿宋_GB2312"/>
      <w:sz w:val="28"/>
      <w:szCs w:val="20"/>
    </w:rPr>
  </w:style>
  <w:style w:type="paragraph" w:customStyle="1" w:styleId="2531">
    <w:name w:val="样式 表格标题正文缩进11 + 五号 非加粗 黑色"/>
    <w:basedOn w:val="1"/>
    <w:autoRedefine/>
    <w:qFormat/>
    <w:uiPriority w:val="0"/>
    <w:pPr>
      <w:widowControl/>
      <w:spacing w:line="300" w:lineRule="exact"/>
      <w:jc w:val="center"/>
    </w:pPr>
    <w:rPr>
      <w:rFonts w:eastAsia="仿宋_GB2312"/>
      <w:color w:val="000000"/>
      <w:sz w:val="28"/>
      <w:szCs w:val="28"/>
    </w:rPr>
  </w:style>
  <w:style w:type="paragraph" w:customStyle="1" w:styleId="2532">
    <w:name w:val="普通正文"/>
    <w:autoRedefine/>
    <w:qFormat/>
    <w:uiPriority w:val="0"/>
    <w:pPr>
      <w:widowControl w:val="0"/>
      <w:spacing w:line="312" w:lineRule="auto"/>
      <w:ind w:firstLine="200" w:firstLineChars="200"/>
      <w:jc w:val="both"/>
    </w:pPr>
    <w:rPr>
      <w:rFonts w:ascii="宋体" w:hAnsi="Times New Roman" w:eastAsia="仿宋_GB2312" w:cs="宋体"/>
      <w:kern w:val="2"/>
      <w:sz w:val="24"/>
      <w:szCs w:val="24"/>
      <w:lang w:val="en-US" w:eastAsia="zh-CN" w:bidi="ar-SA"/>
    </w:rPr>
  </w:style>
  <w:style w:type="paragraph" w:customStyle="1" w:styleId="2533">
    <w:name w:val="样式 样式 标题 3H3标题 3 Char Char标题 3 Char条标题1.1.1标题 3zym + 仿宋_GB23121 ..."/>
    <w:basedOn w:val="2534"/>
    <w:autoRedefine/>
    <w:qFormat/>
    <w:uiPriority w:val="0"/>
    <w:pPr>
      <w:tabs>
        <w:tab w:val="left" w:pos="0"/>
        <w:tab w:val="left" w:pos="7088"/>
      </w:tabs>
    </w:pPr>
    <w:rPr>
      <w:rFonts w:cs="宋体"/>
      <w:szCs w:val="20"/>
    </w:rPr>
  </w:style>
  <w:style w:type="paragraph" w:customStyle="1" w:styleId="2534">
    <w:name w:val="样式 标题 3H3标题 3 Char Char标题 3 Char条标题1.1.1标题 3zym + 仿宋_GB23121"/>
    <w:basedOn w:val="5"/>
    <w:autoRedefine/>
    <w:qFormat/>
    <w:uiPriority w:val="0"/>
    <w:pPr>
      <w:keepLines w:val="0"/>
      <w:widowControl/>
      <w:tabs>
        <w:tab w:val="left" w:pos="0"/>
        <w:tab w:val="left" w:pos="7088"/>
      </w:tabs>
      <w:adjustRightInd w:val="0"/>
      <w:snapToGrid w:val="0"/>
      <w:spacing w:beforeLines="50" w:after="0" w:line="500" w:lineRule="exact"/>
      <w:ind w:right="100" w:rightChars="100"/>
      <w:jc w:val="left"/>
    </w:pPr>
    <w:rPr>
      <w:rFonts w:ascii="Times New Roman" w:hAnsi="Times New Roman" w:eastAsia="仿宋_GB2312" w:cs="Times New Roman"/>
      <w:sz w:val="30"/>
      <w:szCs w:val="28"/>
      <w:lang w:val="zh-CN"/>
    </w:rPr>
  </w:style>
  <w:style w:type="paragraph" w:customStyle="1" w:styleId="2535">
    <w:name w:val="表格五号"/>
    <w:basedOn w:val="1"/>
    <w:autoRedefine/>
    <w:qFormat/>
    <w:uiPriority w:val="0"/>
    <w:pPr>
      <w:tabs>
        <w:tab w:val="right" w:leader="dot" w:pos="8721"/>
      </w:tabs>
      <w:adjustRightInd w:val="0"/>
      <w:snapToGrid w:val="0"/>
      <w:spacing w:line="320" w:lineRule="exact"/>
      <w:ind w:left="-20" w:leftChars="-20" w:right="-20" w:rightChars="-20"/>
      <w:jc w:val="center"/>
      <w:textAlignment w:val="baseline"/>
    </w:pPr>
    <w:rPr>
      <w:rFonts w:eastAsia="仿宋_GB2312"/>
      <w:snapToGrid w:val="0"/>
      <w:kern w:val="0"/>
      <w:sz w:val="28"/>
      <w:szCs w:val="20"/>
    </w:rPr>
  </w:style>
  <w:style w:type="paragraph" w:customStyle="1" w:styleId="2536">
    <w:name w:val="表内式样"/>
    <w:autoRedefine/>
    <w:qFormat/>
    <w:uiPriority w:val="0"/>
    <w:pPr>
      <w:keepLines/>
      <w:widowControl w:val="0"/>
      <w:kinsoku w:val="0"/>
      <w:overflowPunct w:val="0"/>
      <w:adjustRightInd w:val="0"/>
      <w:spacing w:line="360" w:lineRule="atLeast"/>
      <w:jc w:val="center"/>
    </w:pPr>
    <w:rPr>
      <w:rFonts w:ascii="宋体" w:hAnsi="Times New Roman" w:eastAsia="仿宋_GB2312" w:cs="宋体"/>
      <w:kern w:val="21"/>
      <w:sz w:val="21"/>
      <w:szCs w:val="21"/>
      <w:lang w:val="en-US" w:eastAsia="zh-CN" w:bidi="ar-SA"/>
    </w:rPr>
  </w:style>
  <w:style w:type="paragraph" w:customStyle="1" w:styleId="2537">
    <w:name w:val="表头文字"/>
    <w:basedOn w:val="1"/>
    <w:autoRedefine/>
    <w:qFormat/>
    <w:uiPriority w:val="0"/>
    <w:pPr>
      <w:spacing w:line="360" w:lineRule="auto"/>
      <w:jc w:val="center"/>
    </w:pPr>
    <w:rPr>
      <w:rFonts w:eastAsia="楷体_GB2312"/>
      <w:b/>
      <w:szCs w:val="21"/>
    </w:rPr>
  </w:style>
  <w:style w:type="paragraph" w:customStyle="1" w:styleId="2538">
    <w:name w:val="表格文字 Char Char Char"/>
    <w:basedOn w:val="1"/>
    <w:autoRedefine/>
    <w:qFormat/>
    <w:uiPriority w:val="0"/>
    <w:pPr>
      <w:widowControl/>
      <w:adjustRightInd w:val="0"/>
      <w:snapToGrid w:val="0"/>
      <w:jc w:val="center"/>
    </w:pPr>
    <w:rPr>
      <w:rFonts w:ascii="仿宋_GB2312" w:eastAsia="仿宋_GB2312" w:cs="宋体"/>
      <w:kern w:val="44"/>
      <w:szCs w:val="21"/>
    </w:rPr>
  </w:style>
  <w:style w:type="paragraph" w:customStyle="1" w:styleId="2539">
    <w:name w:val="Char Char Char Char Char Char Char Char Char1 Char Char Char Char Char Char1 Char1"/>
    <w:basedOn w:val="1"/>
    <w:autoRedefine/>
    <w:qFormat/>
    <w:uiPriority w:val="0"/>
    <w:rPr>
      <w:rFonts w:eastAsia="仿宋_GB2312"/>
      <w:sz w:val="28"/>
      <w:szCs w:val="21"/>
    </w:rPr>
  </w:style>
  <w:style w:type="paragraph" w:customStyle="1" w:styleId="2540">
    <w:name w:val="Char Char Char Char Char Char Char Char Char Char"/>
    <w:basedOn w:val="1"/>
    <w:autoRedefine/>
    <w:qFormat/>
    <w:uiPriority w:val="0"/>
    <w:rPr>
      <w:rFonts w:eastAsia="仿宋_GB2312"/>
      <w:szCs w:val="21"/>
    </w:rPr>
  </w:style>
  <w:style w:type="paragraph" w:customStyle="1" w:styleId="2541">
    <w:name w:val="论文正文"/>
    <w:basedOn w:val="21"/>
    <w:autoRedefine/>
    <w:qFormat/>
    <w:uiPriority w:val="0"/>
    <w:pPr>
      <w:widowControl/>
      <w:ind w:firstLine="480" w:firstLineChars="0"/>
      <w:jc w:val="left"/>
    </w:pPr>
    <w:rPr>
      <w:rFonts w:eastAsia="仿宋_GB2312" w:asciiTheme="minorHAnsi" w:cstheme="minorBidi"/>
      <w:sz w:val="28"/>
      <w:szCs w:val="21"/>
    </w:rPr>
  </w:style>
  <w:style w:type="paragraph" w:customStyle="1" w:styleId="2542">
    <w:name w:val="一级标题"/>
    <w:basedOn w:val="1"/>
    <w:autoRedefine/>
    <w:qFormat/>
    <w:uiPriority w:val="0"/>
    <w:pPr>
      <w:spacing w:line="320" w:lineRule="exact"/>
    </w:pPr>
    <w:rPr>
      <w:rFonts w:eastAsia="仿宋_GB2312"/>
      <w:szCs w:val="21"/>
    </w:rPr>
  </w:style>
  <w:style w:type="paragraph" w:customStyle="1" w:styleId="2543">
    <w:name w:val="Char10"/>
    <w:basedOn w:val="1"/>
    <w:autoRedefine/>
    <w:qFormat/>
    <w:uiPriority w:val="0"/>
    <w:pPr>
      <w:spacing w:line="240" w:lineRule="exact"/>
      <w:ind w:firstLine="200" w:firstLineChars="200"/>
    </w:pPr>
    <w:rPr>
      <w:rFonts w:eastAsia="仿宋_GB2312"/>
      <w:sz w:val="28"/>
      <w:szCs w:val="28"/>
    </w:rPr>
  </w:style>
  <w:style w:type="paragraph" w:customStyle="1" w:styleId="2544">
    <w:name w:val="默认段落字体 Para Char Char Char Char Char Char"/>
    <w:basedOn w:val="1"/>
    <w:autoRedefine/>
    <w:qFormat/>
    <w:uiPriority w:val="0"/>
    <w:pPr>
      <w:widowControl/>
      <w:jc w:val="left"/>
    </w:pPr>
    <w:rPr>
      <w:rFonts w:eastAsia="仿宋_GB2312" w:cs="宋体"/>
      <w:kern w:val="0"/>
      <w:szCs w:val="21"/>
    </w:rPr>
  </w:style>
  <w:style w:type="paragraph" w:customStyle="1" w:styleId="2545">
    <w:name w:val="Char9"/>
    <w:basedOn w:val="1"/>
    <w:autoRedefine/>
    <w:qFormat/>
    <w:uiPriority w:val="0"/>
    <w:pPr>
      <w:spacing w:line="240" w:lineRule="exact"/>
      <w:ind w:firstLine="200" w:firstLineChars="200"/>
    </w:pPr>
    <w:rPr>
      <w:rFonts w:eastAsia="仿宋_GB2312"/>
      <w:sz w:val="28"/>
      <w:szCs w:val="28"/>
    </w:rPr>
  </w:style>
  <w:style w:type="paragraph" w:customStyle="1" w:styleId="2546">
    <w:name w:val="默认段落字体 Para Char Char Char Char Char Char Char Char Char Char Char Char Char Char Char Char Char Char Char Char Char Char Char Char Char Char Char Char1 Char Char Char Char Char"/>
    <w:basedOn w:val="1"/>
    <w:autoRedefine/>
    <w:qFormat/>
    <w:uiPriority w:val="0"/>
    <w:pPr>
      <w:widowControl/>
      <w:jc w:val="left"/>
    </w:pPr>
    <w:rPr>
      <w:rFonts w:eastAsia="仿宋_GB2312" w:cs="宋体"/>
      <w:kern w:val="0"/>
      <w:szCs w:val="21"/>
    </w:rPr>
  </w:style>
  <w:style w:type="paragraph" w:customStyle="1" w:styleId="2547">
    <w:name w:val="Char Char41"/>
    <w:basedOn w:val="1"/>
    <w:autoRedefine/>
    <w:qFormat/>
    <w:uiPriority w:val="0"/>
    <w:rPr>
      <w:rFonts w:eastAsia="仿宋_GB2312"/>
      <w:szCs w:val="21"/>
    </w:rPr>
  </w:style>
  <w:style w:type="paragraph" w:customStyle="1" w:styleId="2548">
    <w:name w:val="表标"/>
    <w:autoRedefine/>
    <w:qFormat/>
    <w:uiPriority w:val="0"/>
    <w:pPr>
      <w:tabs>
        <w:tab w:val="left" w:pos="945"/>
        <w:tab w:val="left" w:pos="8207"/>
      </w:tabs>
      <w:adjustRightInd w:val="0"/>
      <w:snapToGrid w:val="0"/>
      <w:spacing w:before="120" w:after="100" w:line="0" w:lineRule="atLeast"/>
      <w:ind w:firstLine="560"/>
      <w:jc w:val="center"/>
      <w:textAlignment w:val="baseline"/>
      <w:outlineLvl w:val="0"/>
    </w:pPr>
    <w:rPr>
      <w:rFonts w:ascii="黑体" w:hAnsi="Times New Roman" w:eastAsia="黑体" w:cs="宋体"/>
      <w:kern w:val="2"/>
      <w:sz w:val="21"/>
      <w:szCs w:val="21"/>
      <w:lang w:val="en-US" w:eastAsia="zh-CN" w:bidi="ar-SA"/>
    </w:rPr>
  </w:style>
  <w:style w:type="paragraph" w:customStyle="1" w:styleId="2549">
    <w:name w:val="Char8"/>
    <w:basedOn w:val="1"/>
    <w:autoRedefine/>
    <w:qFormat/>
    <w:uiPriority w:val="0"/>
    <w:pPr>
      <w:spacing w:line="240" w:lineRule="exact"/>
      <w:ind w:firstLine="200" w:firstLineChars="200"/>
    </w:pPr>
    <w:rPr>
      <w:rFonts w:eastAsia="仿宋_GB2312"/>
      <w:sz w:val="28"/>
      <w:szCs w:val="28"/>
    </w:rPr>
  </w:style>
  <w:style w:type="paragraph" w:customStyle="1" w:styleId="2550">
    <w:name w:val="样式一"/>
    <w:basedOn w:val="1"/>
    <w:autoRedefine/>
    <w:qFormat/>
    <w:uiPriority w:val="0"/>
    <w:pPr>
      <w:spacing w:beforeLines="50" w:afterLines="50" w:line="300" w:lineRule="auto"/>
      <w:ind w:left="980" w:hanging="420"/>
    </w:pPr>
    <w:rPr>
      <w:rFonts w:eastAsia="黑体"/>
      <w:sz w:val="28"/>
      <w:szCs w:val="21"/>
    </w:rPr>
  </w:style>
  <w:style w:type="paragraph" w:customStyle="1" w:styleId="2551">
    <w:name w:val="文头"/>
    <w:basedOn w:val="1"/>
    <w:autoRedefine/>
    <w:qFormat/>
    <w:uiPriority w:val="0"/>
    <w:pPr>
      <w:autoSpaceDE w:val="0"/>
      <w:autoSpaceDN w:val="0"/>
      <w:snapToGrid w:val="0"/>
      <w:spacing w:before="1000" w:after="820" w:line="1300" w:lineRule="atLeast"/>
      <w:ind w:left="340" w:right="340"/>
      <w:jc w:val="distribute"/>
    </w:pPr>
    <w:rPr>
      <w:rFonts w:ascii="汉鼎简大宋" w:eastAsia="汉鼎简大宋"/>
      <w:b/>
      <w:snapToGrid w:val="0"/>
      <w:color w:val="FF0000"/>
      <w:w w:val="70"/>
      <w:kern w:val="0"/>
      <w:sz w:val="120"/>
      <w:szCs w:val="20"/>
    </w:rPr>
  </w:style>
  <w:style w:type="paragraph" w:customStyle="1" w:styleId="2552">
    <w:name w:val="表左"/>
    <w:basedOn w:val="1"/>
    <w:autoRedefine/>
    <w:qFormat/>
    <w:uiPriority w:val="0"/>
    <w:pPr>
      <w:widowControl/>
      <w:spacing w:line="280" w:lineRule="exact"/>
      <w:jc w:val="left"/>
    </w:pPr>
    <w:rPr>
      <w:rFonts w:eastAsia="仿宋_GB2312"/>
      <w:color w:val="000000"/>
      <w:sz w:val="18"/>
      <w:szCs w:val="21"/>
    </w:rPr>
  </w:style>
  <w:style w:type="paragraph" w:customStyle="1" w:styleId="2553">
    <w:name w:val="Char Char"/>
    <w:basedOn w:val="1"/>
    <w:autoRedefine/>
    <w:qFormat/>
    <w:uiPriority w:val="0"/>
    <w:pPr>
      <w:spacing w:line="240" w:lineRule="exact"/>
      <w:ind w:firstLine="200" w:firstLineChars="200"/>
    </w:pPr>
    <w:rPr>
      <w:rFonts w:eastAsia="仿宋_GB2312"/>
      <w:sz w:val="28"/>
      <w:szCs w:val="28"/>
    </w:rPr>
  </w:style>
  <w:style w:type="paragraph" w:customStyle="1" w:styleId="2554">
    <w:name w:val="Char Char Char Char Char Char Char Char1 Char Char Char Char Char Char Char Char Char Char Char Char1 Char"/>
    <w:basedOn w:val="1"/>
    <w:autoRedefine/>
    <w:qFormat/>
    <w:uiPriority w:val="0"/>
    <w:pPr>
      <w:widowControl/>
      <w:jc w:val="left"/>
    </w:pPr>
    <w:rPr>
      <w:rFonts w:eastAsia="仿宋_GB2312" w:cs="宋体"/>
      <w:kern w:val="0"/>
      <w:szCs w:val="21"/>
    </w:rPr>
  </w:style>
  <w:style w:type="paragraph" w:customStyle="1" w:styleId="2555">
    <w:name w:val="样式 样式 正文1 + 自动设置 左侧:  0 厘米 段后: 0 磅 行距: 1.5 倍行距 + 首行缩进:  2 字符"/>
    <w:basedOn w:val="1"/>
    <w:autoRedefine/>
    <w:qFormat/>
    <w:uiPriority w:val="0"/>
    <w:pPr>
      <w:widowControl/>
      <w:autoSpaceDE w:val="0"/>
      <w:autoSpaceDN w:val="0"/>
      <w:adjustRightInd w:val="0"/>
      <w:snapToGrid w:val="0"/>
      <w:ind w:firstLine="560"/>
      <w:jc w:val="left"/>
      <w:textAlignment w:val="bottom"/>
    </w:pPr>
    <w:rPr>
      <w:rFonts w:eastAsia="仿宋_GB2312" w:cs="宋体"/>
      <w:kern w:val="0"/>
      <w:sz w:val="28"/>
      <w:szCs w:val="20"/>
    </w:rPr>
  </w:style>
  <w:style w:type="paragraph" w:customStyle="1" w:styleId="2556">
    <w:name w:val="Char4 Char Char Char Char Char Char"/>
    <w:basedOn w:val="1"/>
    <w:autoRedefine/>
    <w:qFormat/>
    <w:uiPriority w:val="0"/>
    <w:pPr>
      <w:widowControl/>
      <w:jc w:val="left"/>
    </w:pPr>
    <w:rPr>
      <w:rFonts w:eastAsia="仿宋_GB2312" w:cs="宋体"/>
      <w:kern w:val="0"/>
      <w:szCs w:val="21"/>
    </w:rPr>
  </w:style>
  <w:style w:type="paragraph" w:customStyle="1" w:styleId="2557">
    <w:name w:val="Char2 Char Char Char Char Char Char Char Char Char Char Char1 Char Char Char Char Char Char Char"/>
    <w:basedOn w:val="1"/>
    <w:autoRedefine/>
    <w:qFormat/>
    <w:uiPriority w:val="0"/>
    <w:pPr>
      <w:widowControl/>
      <w:jc w:val="left"/>
    </w:pPr>
    <w:rPr>
      <w:rFonts w:eastAsia="仿宋_GB2312" w:cs="宋体"/>
      <w:kern w:val="0"/>
      <w:szCs w:val="21"/>
    </w:rPr>
  </w:style>
  <w:style w:type="paragraph" w:customStyle="1" w:styleId="2558">
    <w:name w:val="纯文本3"/>
    <w:basedOn w:val="1"/>
    <w:autoRedefine/>
    <w:qFormat/>
    <w:uiPriority w:val="0"/>
    <w:pPr>
      <w:widowControl/>
      <w:tabs>
        <w:tab w:val="left" w:pos="2960"/>
      </w:tabs>
      <w:snapToGrid w:val="0"/>
      <w:jc w:val="left"/>
      <w:textAlignment w:val="baseline"/>
      <w:outlineLvl w:val="0"/>
    </w:pPr>
    <w:rPr>
      <w:rFonts w:eastAsia="仿宋_GB2312" w:cs="宋体"/>
      <w:color w:val="000000"/>
      <w:kern w:val="0"/>
      <w:szCs w:val="21"/>
    </w:rPr>
  </w:style>
  <w:style w:type="paragraph" w:customStyle="1" w:styleId="2559">
    <w:name w:val="样式 样式 样式 标题 2H2标题 2 Char Char节标题 1.1（一）Underrubrik1prop2Heading....1"/>
    <w:basedOn w:val="2560"/>
    <w:autoRedefine/>
    <w:qFormat/>
    <w:uiPriority w:val="0"/>
    <w:pPr>
      <w:spacing w:before="166" w:after="166"/>
    </w:pPr>
    <w:rPr>
      <w:szCs w:val="20"/>
    </w:rPr>
  </w:style>
  <w:style w:type="paragraph" w:customStyle="1" w:styleId="2560">
    <w:name w:val="样式 样式 标题 2H2标题 2 Char Char节标题 1.1（一）Underrubrik1prop2Heading... ..."/>
    <w:basedOn w:val="2561"/>
    <w:autoRedefine/>
    <w:qFormat/>
    <w:uiPriority w:val="0"/>
    <w:pPr/>
    <w:rPr>
      <w:rFonts w:ascii="仿宋_GB2312" w:eastAsia="仿宋_GB2312" w:cs="宋体"/>
    </w:rPr>
  </w:style>
  <w:style w:type="paragraph" w:customStyle="1" w:styleId="2561">
    <w:name w:val="样式 标题 2H2标题 2 Char Char节标题 1.1（一）Underrubrik1prop2Heading..."/>
    <w:basedOn w:val="4"/>
    <w:autoRedefine/>
    <w:qFormat/>
    <w:uiPriority w:val="0"/>
    <w:pPr>
      <w:keepNext w:val="0"/>
      <w:keepLines w:val="0"/>
      <w:tabs>
        <w:tab w:val="clear" w:pos="1276"/>
      </w:tabs>
      <w:adjustRightInd/>
      <w:spacing w:before="0" w:after="0" w:line="240" w:lineRule="auto"/>
      <w:ind w:left="0"/>
      <w:contextualSpacing/>
      <w:textAlignment w:val="auto"/>
    </w:pPr>
    <w:rPr>
      <w:rFonts w:ascii="Times New Roman" w:hAnsi="Times New Roman"/>
      <w:bCs/>
      <w:sz w:val="30"/>
      <w:szCs w:val="30"/>
      <w:lang w:val="zh-CN"/>
    </w:rPr>
  </w:style>
  <w:style w:type="paragraph" w:customStyle="1" w:styleId="2562">
    <w:name w:val="正文999"/>
    <w:basedOn w:val="1"/>
    <w:autoRedefine/>
    <w:qFormat/>
    <w:uiPriority w:val="0"/>
    <w:pPr>
      <w:widowControl/>
      <w:spacing w:line="360" w:lineRule="auto"/>
      <w:ind w:firstLine="200" w:firstLineChars="200"/>
      <w:jc w:val="left"/>
    </w:pPr>
    <w:rPr>
      <w:rFonts w:eastAsia="仿宋_GB2312"/>
      <w:kern w:val="0"/>
      <w:szCs w:val="20"/>
    </w:rPr>
  </w:style>
  <w:style w:type="paragraph" w:customStyle="1" w:styleId="2563">
    <w:name w:val="xl19"/>
    <w:basedOn w:val="1"/>
    <w:autoRedefine/>
    <w:qFormat/>
    <w:uiPriority w:val="0"/>
    <w:pPr>
      <w:widowControl/>
      <w:spacing w:before="100" w:beforeAutospacing="1" w:after="100" w:afterAutospacing="1"/>
      <w:jc w:val="center"/>
      <w:textAlignment w:val="center"/>
    </w:pPr>
    <w:rPr>
      <w:rFonts w:eastAsia="仿宋_GB2312"/>
      <w:kern w:val="0"/>
      <w:sz w:val="18"/>
      <w:szCs w:val="18"/>
    </w:rPr>
  </w:style>
  <w:style w:type="paragraph" w:customStyle="1" w:styleId="2564">
    <w:name w:val="xl17"/>
    <w:basedOn w:val="1"/>
    <w:autoRedefine/>
    <w:qFormat/>
    <w:uiPriority w:val="0"/>
    <w:pPr>
      <w:widowControl/>
      <w:spacing w:before="100" w:beforeAutospacing="1" w:after="100" w:afterAutospacing="1"/>
      <w:jc w:val="center"/>
      <w:textAlignment w:val="center"/>
    </w:pPr>
    <w:rPr>
      <w:rFonts w:eastAsia="仿宋_GB2312"/>
      <w:kern w:val="0"/>
      <w:sz w:val="18"/>
      <w:szCs w:val="18"/>
    </w:rPr>
  </w:style>
  <w:style w:type="paragraph" w:customStyle="1" w:styleId="2565">
    <w:name w:val="T表头"/>
    <w:basedOn w:val="112"/>
    <w:next w:val="112"/>
    <w:autoRedefine/>
    <w:qFormat/>
    <w:uiPriority w:val="0"/>
    <w:rPr>
      <w:rFonts w:ascii="黑体" w:eastAsia="黑体" w:cs="宋体"/>
      <w:color w:val="auto"/>
    </w:rPr>
  </w:style>
  <w:style w:type="paragraph" w:customStyle="1" w:styleId="2566">
    <w:name w:val="样式 标题 3H3标题 3 Char Char标题 3 Char条标题1.1.1标题 3zym + 仿宋_GB2312"/>
    <w:basedOn w:val="5"/>
    <w:autoRedefine/>
    <w:qFormat/>
    <w:uiPriority w:val="0"/>
    <w:pPr>
      <w:keepLines w:val="0"/>
      <w:widowControl/>
      <w:tabs>
        <w:tab w:val="left" w:pos="0"/>
        <w:tab w:val="left" w:pos="7088"/>
      </w:tabs>
      <w:adjustRightInd w:val="0"/>
      <w:snapToGrid w:val="0"/>
      <w:spacing w:beforeLines="50" w:after="0" w:line="500" w:lineRule="exact"/>
      <w:ind w:left="720" w:hanging="720"/>
      <w:jc w:val="left"/>
    </w:pPr>
    <w:rPr>
      <w:rFonts w:ascii="Times New Roman" w:hAnsi="Times New Roman" w:eastAsia="仿宋_GB2312" w:cs="Times New Roman"/>
      <w:bCs w:val="0"/>
      <w:sz w:val="30"/>
      <w:szCs w:val="30"/>
      <w:lang w:val="zh-CN"/>
    </w:rPr>
  </w:style>
  <w:style w:type="paragraph" w:customStyle="1" w:styleId="2567">
    <w:name w:val="文件编号"/>
    <w:basedOn w:val="1"/>
    <w:next w:val="1"/>
    <w:autoRedefine/>
    <w:qFormat/>
    <w:uiPriority w:val="0"/>
    <w:pPr>
      <w:spacing w:line="500" w:lineRule="atLeast"/>
      <w:jc w:val="center"/>
    </w:pPr>
    <w:rPr>
      <w:rFonts w:ascii="黑体" w:eastAsia="黑体"/>
      <w:sz w:val="44"/>
      <w:szCs w:val="44"/>
    </w:rPr>
  </w:style>
  <w:style w:type="paragraph" w:customStyle="1" w:styleId="2568">
    <w:name w:val="表序号"/>
    <w:basedOn w:val="7"/>
    <w:autoRedefine/>
    <w:qFormat/>
    <w:uiPriority w:val="0"/>
    <w:pPr>
      <w:widowControl/>
      <w:tabs>
        <w:tab w:val="left" w:pos="1008"/>
        <w:tab w:val="clear" w:pos="3827"/>
      </w:tabs>
      <w:spacing w:before="0" w:after="0" w:line="240" w:lineRule="auto"/>
      <w:ind w:left="1134" w:hanging="1134"/>
      <w:jc w:val="center"/>
    </w:pPr>
    <w:rPr>
      <w:rFonts w:ascii="宋体" w:eastAsia="仿宋_GB2312"/>
      <w:bCs w:val="0"/>
      <w:sz w:val="21"/>
      <w:szCs w:val="20"/>
      <w:lang w:val="zh-CN"/>
    </w:rPr>
  </w:style>
  <w:style w:type="paragraph" w:customStyle="1" w:styleId="2569">
    <w:name w:val="段落 Char Char2 Char Char Char Char Char"/>
    <w:basedOn w:val="1"/>
    <w:autoRedefine/>
    <w:qFormat/>
    <w:uiPriority w:val="0"/>
    <w:pPr>
      <w:tabs>
        <w:tab w:val="left" w:pos="1021"/>
      </w:tabs>
      <w:spacing w:line="360" w:lineRule="auto"/>
      <w:ind w:firstLine="200" w:firstLineChars="200"/>
    </w:pPr>
    <w:rPr>
      <w:rFonts w:eastAsia="仿宋_GB2312"/>
      <w:kern w:val="24"/>
      <w:szCs w:val="21"/>
    </w:rPr>
  </w:style>
  <w:style w:type="paragraph" w:customStyle="1" w:styleId="2570">
    <w:name w:val="表格文字居中 Char"/>
    <w:basedOn w:val="87"/>
    <w:autoRedefine/>
    <w:qFormat/>
    <w:uiPriority w:val="0"/>
    <w:pPr>
      <w:keepNext/>
      <w:widowControl/>
      <w:tabs>
        <w:tab w:val="left" w:pos="628"/>
        <w:tab w:val="left" w:pos="1727"/>
        <w:tab w:val="left" w:pos="1884"/>
        <w:tab w:val="left" w:pos="2660"/>
        <w:tab w:val="left" w:pos="5460"/>
      </w:tabs>
      <w:spacing w:before="100" w:beforeAutospacing="1" w:after="0"/>
      <w:ind w:firstLine="0" w:firstLineChars="0"/>
      <w:jc w:val="center"/>
    </w:pPr>
    <w:rPr>
      <w:rFonts w:ascii="宋体" w:eastAsia="仿宋_GB2312" w:cs="宋体" w:hAnsiTheme="minorHAnsi"/>
      <w:bCs/>
      <w:color w:val="000000"/>
      <w:sz w:val="24"/>
      <w:szCs w:val="20"/>
    </w:rPr>
  </w:style>
  <w:style w:type="paragraph" w:customStyle="1" w:styleId="2571">
    <w:name w:val="项目编号文字"/>
    <w:basedOn w:val="1"/>
    <w:next w:val="21"/>
    <w:autoRedefine/>
    <w:qFormat/>
    <w:uiPriority w:val="0"/>
    <w:pPr>
      <w:widowControl/>
      <w:spacing w:before="120" w:after="120"/>
      <w:ind w:left="964" w:hanging="425"/>
      <w:jc w:val="left"/>
    </w:pPr>
    <w:rPr>
      <w:rFonts w:eastAsia="仿宋_GB2312" w:cs="宋体"/>
      <w:kern w:val="0"/>
      <w:szCs w:val="20"/>
    </w:rPr>
  </w:style>
  <w:style w:type="paragraph" w:customStyle="1" w:styleId="2572">
    <w:name w:val="初设正文"/>
    <w:basedOn w:val="1"/>
    <w:autoRedefine/>
    <w:qFormat/>
    <w:uiPriority w:val="0"/>
    <w:pPr>
      <w:widowControl/>
      <w:spacing w:after="120" w:line="440" w:lineRule="exact"/>
      <w:ind w:left="425" w:firstLine="425"/>
      <w:jc w:val="left"/>
    </w:pPr>
    <w:rPr>
      <w:rFonts w:ascii="Arial" w:hAnsi="Arial" w:eastAsia="仿宋_GB2312" w:cs="宋体"/>
      <w:kern w:val="0"/>
      <w:szCs w:val="20"/>
    </w:rPr>
  </w:style>
  <w:style w:type="paragraph" w:customStyle="1" w:styleId="2573">
    <w:name w:val="1说明"/>
    <w:basedOn w:val="1"/>
    <w:autoRedefine/>
    <w:qFormat/>
    <w:uiPriority w:val="0"/>
    <w:pPr>
      <w:widowControl/>
      <w:snapToGrid w:val="0"/>
      <w:ind w:firstLine="573"/>
      <w:jc w:val="left"/>
      <w:outlineLvl w:val="4"/>
    </w:pPr>
    <w:rPr>
      <w:rFonts w:eastAsia="仿宋_GB2312"/>
      <w:szCs w:val="21"/>
    </w:rPr>
  </w:style>
  <w:style w:type="paragraph" w:customStyle="1" w:styleId="2574">
    <w:name w:val="y表格"/>
    <w:basedOn w:val="34"/>
    <w:autoRedefine/>
    <w:qFormat/>
    <w:uiPriority w:val="0"/>
    <w:pPr>
      <w:widowControl/>
      <w:adjustRightInd w:val="0"/>
      <w:snapToGrid w:val="0"/>
      <w:spacing w:after="0"/>
      <w:jc w:val="center"/>
      <w:textAlignment w:val="baseline"/>
    </w:pPr>
    <w:rPr>
      <w:rFonts w:eastAsia="仿宋_GB2312" w:cs="宋体"/>
      <w:kern w:val="0"/>
      <w:szCs w:val="20"/>
    </w:rPr>
  </w:style>
  <w:style w:type="paragraph" w:customStyle="1" w:styleId="2575">
    <w:name w:val="宏福4"/>
    <w:basedOn w:val="1"/>
    <w:autoRedefine/>
    <w:qFormat/>
    <w:uiPriority w:val="0"/>
    <w:pPr>
      <w:widowControl/>
      <w:adjustRightInd w:val="0"/>
      <w:spacing w:line="400" w:lineRule="atLeast"/>
      <w:ind w:firstLine="567"/>
      <w:jc w:val="left"/>
      <w:textAlignment w:val="baseline"/>
    </w:pPr>
    <w:rPr>
      <w:rFonts w:eastAsia="仿宋_GB2312" w:cs="宋体"/>
      <w:kern w:val="0"/>
      <w:sz w:val="28"/>
      <w:szCs w:val="20"/>
    </w:rPr>
  </w:style>
  <w:style w:type="paragraph" w:customStyle="1" w:styleId="2576">
    <w:name w:val="二级"/>
    <w:basedOn w:val="4"/>
    <w:next w:val="1"/>
    <w:autoRedefine/>
    <w:qFormat/>
    <w:uiPriority w:val="0"/>
    <w:pPr>
      <w:tabs>
        <w:tab w:val="left" w:pos="567"/>
        <w:tab w:val="clear" w:pos="1276"/>
      </w:tabs>
      <w:adjustRightInd/>
      <w:spacing w:before="240" w:after="240" w:line="500" w:lineRule="exact"/>
      <w:ind w:left="0"/>
      <w:jc w:val="both"/>
      <w:textAlignment w:val="auto"/>
    </w:pPr>
    <w:rPr>
      <w:rFonts w:ascii="Times New Roman" w:hAnsi="Times New Roman"/>
      <w:bCs/>
      <w:spacing w:val="12"/>
      <w:sz w:val="30"/>
      <w:szCs w:val="30"/>
      <w:lang w:val="zh-CN"/>
    </w:rPr>
  </w:style>
  <w:style w:type="paragraph" w:customStyle="1" w:styleId="2577">
    <w:name w:val="表字"/>
    <w:basedOn w:val="1"/>
    <w:autoRedefine/>
    <w:qFormat/>
    <w:uiPriority w:val="0"/>
    <w:pPr>
      <w:widowControl/>
      <w:jc w:val="center"/>
    </w:pPr>
    <w:rPr>
      <w:rFonts w:eastAsia="仿宋_GB2312"/>
      <w:sz w:val="28"/>
      <w:szCs w:val="20"/>
    </w:rPr>
  </w:style>
  <w:style w:type="paragraph" w:customStyle="1" w:styleId="2578">
    <w:name w:val="样式 四号 首行缩进:  2 字符 行距: 2 倍行距"/>
    <w:basedOn w:val="1"/>
    <w:autoRedefine/>
    <w:qFormat/>
    <w:uiPriority w:val="0"/>
    <w:pPr>
      <w:widowControl/>
      <w:snapToGrid w:val="0"/>
      <w:jc w:val="left"/>
    </w:pPr>
    <w:rPr>
      <w:rFonts w:eastAsia="仿宋_GB2312" w:cs="宋体"/>
      <w:sz w:val="28"/>
      <w:szCs w:val="20"/>
    </w:rPr>
  </w:style>
  <w:style w:type="paragraph" w:customStyle="1" w:styleId="2579">
    <w:name w:val="样式 列表"/>
    <w:basedOn w:val="67"/>
    <w:autoRedefine/>
    <w:qFormat/>
    <w:uiPriority w:val="0"/>
    <w:pPr>
      <w:spacing w:line="280" w:lineRule="exact"/>
    </w:pPr>
    <w:rPr>
      <w:rFonts w:ascii="Times New Roman" w:hAnsi="Times New Roman" w:eastAsia="方正仿宋_GBK" w:cs="宋体"/>
      <w:sz w:val="21"/>
      <w:szCs w:val="22"/>
    </w:rPr>
  </w:style>
  <w:style w:type="paragraph" w:customStyle="1" w:styleId="2580">
    <w:name w:val="样式 列表 + 四号 首行缩进:  0.85 厘米"/>
    <w:basedOn w:val="67"/>
    <w:autoRedefine/>
    <w:qFormat/>
    <w:uiPriority w:val="0"/>
    <w:pPr>
      <w:widowControl/>
      <w:snapToGrid w:val="0"/>
      <w:spacing w:line="240" w:lineRule="auto"/>
      <w:ind w:firstLine="482"/>
      <w:jc w:val="left"/>
    </w:pPr>
    <w:rPr>
      <w:rFonts w:ascii="Times New Roman" w:hAnsi="Times New Roman" w:cs="宋体"/>
      <w:sz w:val="28"/>
      <w:szCs w:val="22"/>
    </w:rPr>
  </w:style>
  <w:style w:type="paragraph" w:customStyle="1" w:styleId="2581">
    <w:name w:val="样式 标题 1H1 + 仿宋_GB2312"/>
    <w:basedOn w:val="3"/>
    <w:autoRedefine/>
    <w:qFormat/>
    <w:uiPriority w:val="0"/>
    <w:pPr>
      <w:widowControl/>
      <w:spacing w:before="0" w:beforeLines="50" w:after="120" w:afterLines="50" w:line="240" w:lineRule="auto"/>
      <w:jc w:val="left"/>
    </w:pPr>
    <w:rPr>
      <w:rFonts w:eastAsia="仿宋_GB2312"/>
      <w:bCs/>
      <w:color w:val="000000"/>
      <w:sz w:val="32"/>
      <w:szCs w:val="32"/>
      <w:lang w:val="zh-CN"/>
    </w:rPr>
  </w:style>
  <w:style w:type="paragraph" w:customStyle="1" w:styleId="2582">
    <w:name w:val="正文缩进3"/>
    <w:basedOn w:val="1"/>
    <w:autoRedefine/>
    <w:qFormat/>
    <w:uiPriority w:val="0"/>
    <w:pPr>
      <w:widowControl/>
      <w:adjustRightInd w:val="0"/>
      <w:ind w:firstLine="420"/>
      <w:jc w:val="left"/>
      <w:textAlignment w:val="baseline"/>
    </w:pPr>
    <w:rPr>
      <w:rFonts w:eastAsia="仿宋_GB2312"/>
      <w:szCs w:val="20"/>
    </w:rPr>
  </w:style>
  <w:style w:type="paragraph" w:customStyle="1" w:styleId="2583">
    <w:name w:val="样式 行距: 1.5 倍行距"/>
    <w:basedOn w:val="1"/>
    <w:autoRedefine/>
    <w:qFormat/>
    <w:uiPriority w:val="0"/>
    <w:pPr>
      <w:widowControl/>
      <w:spacing w:line="400" w:lineRule="exact"/>
      <w:jc w:val="left"/>
    </w:pPr>
    <w:rPr>
      <w:rFonts w:eastAsia="仿宋_GB2312" w:cs="宋体"/>
      <w:sz w:val="28"/>
      <w:szCs w:val="21"/>
    </w:rPr>
  </w:style>
  <w:style w:type="paragraph" w:customStyle="1" w:styleId="2584">
    <w:name w:val="正文文本 22"/>
    <w:basedOn w:val="1"/>
    <w:autoRedefine/>
    <w:qFormat/>
    <w:uiPriority w:val="0"/>
    <w:pPr>
      <w:widowControl/>
      <w:adjustRightInd w:val="0"/>
      <w:spacing w:after="120"/>
      <w:ind w:left="420"/>
      <w:jc w:val="left"/>
      <w:textAlignment w:val="baseline"/>
    </w:pPr>
    <w:rPr>
      <w:rFonts w:eastAsia="仿宋_GB2312" w:cs="宋体"/>
      <w:kern w:val="0"/>
      <w:szCs w:val="20"/>
    </w:rPr>
  </w:style>
  <w:style w:type="paragraph" w:customStyle="1" w:styleId="2585">
    <w:name w:val="课题申报正文"/>
    <w:basedOn w:val="1"/>
    <w:autoRedefine/>
    <w:qFormat/>
    <w:uiPriority w:val="0"/>
    <w:pPr>
      <w:spacing w:line="400" w:lineRule="exact"/>
      <w:ind w:right="57" w:firstLine="200" w:firstLineChars="200"/>
    </w:pPr>
    <w:rPr>
      <w:rFonts w:eastAsia="仿宋_GB2312"/>
      <w:szCs w:val="20"/>
    </w:rPr>
  </w:style>
  <w:style w:type="paragraph" w:customStyle="1" w:styleId="2586">
    <w:name w:val="样式 样式 首行缩进 + 四号 首行缩进:  2 字符 + 首行缩进:  2 字符"/>
    <w:basedOn w:val="2524"/>
    <w:autoRedefine/>
    <w:qFormat/>
    <w:uiPriority w:val="0"/>
    <w:pPr>
      <w:widowControl/>
      <w:adjustRightInd/>
      <w:spacing w:line="500" w:lineRule="exact"/>
      <w:ind w:firstLine="0" w:firstLineChars="0"/>
      <w:jc w:val="left"/>
    </w:pPr>
    <w:rPr>
      <w:szCs w:val="20"/>
    </w:rPr>
  </w:style>
  <w:style w:type="paragraph" w:customStyle="1" w:styleId="2587">
    <w:name w:val="表中文字1"/>
    <w:basedOn w:val="1"/>
    <w:autoRedefine/>
    <w:qFormat/>
    <w:uiPriority w:val="0"/>
    <w:pPr>
      <w:spacing w:beforeLines="50" w:afterLines="50"/>
    </w:pPr>
    <w:rPr>
      <w:rFonts w:eastAsia="仿宋_GB2312"/>
      <w:sz w:val="28"/>
      <w:szCs w:val="21"/>
    </w:rPr>
  </w:style>
  <w:style w:type="paragraph" w:customStyle="1" w:styleId="2588">
    <w:name w:val="图名"/>
    <w:basedOn w:val="1"/>
    <w:autoRedefine/>
    <w:qFormat/>
    <w:uiPriority w:val="0"/>
    <w:pPr>
      <w:widowControl/>
      <w:jc w:val="center"/>
    </w:pPr>
    <w:rPr>
      <w:rFonts w:ascii="Arial" w:hAnsi="Arial" w:eastAsia="仿宋_GB2312" w:cs="宋体"/>
      <w:b/>
      <w:kern w:val="0"/>
      <w:szCs w:val="21"/>
    </w:rPr>
  </w:style>
  <w:style w:type="paragraph" w:customStyle="1" w:styleId="2589">
    <w:name w:val="样式a"/>
    <w:basedOn w:val="1"/>
    <w:autoRedefine/>
    <w:qFormat/>
    <w:uiPriority w:val="0"/>
    <w:pPr>
      <w:adjustRightInd w:val="0"/>
      <w:snapToGrid w:val="0"/>
      <w:spacing w:line="480" w:lineRule="exact"/>
      <w:ind w:firstLine="200" w:firstLineChars="200"/>
      <w:textAlignment w:val="baseline"/>
    </w:pPr>
    <w:rPr>
      <w:rFonts w:eastAsia="仿宋_GB2312"/>
      <w:kern w:val="0"/>
      <w:sz w:val="28"/>
      <w:szCs w:val="20"/>
    </w:rPr>
  </w:style>
  <w:style w:type="paragraph" w:customStyle="1" w:styleId="2590">
    <w:name w:val="正文_01"/>
    <w:next w:val="1309"/>
    <w:autoRedefine/>
    <w:qFormat/>
    <w:uiPriority w:val="0"/>
    <w:pPr>
      <w:widowControl w:val="0"/>
      <w:spacing w:line="360" w:lineRule="auto"/>
      <w:ind w:firstLine="200" w:firstLineChars="200"/>
      <w:jc w:val="both"/>
    </w:pPr>
    <w:rPr>
      <w:rFonts w:ascii="Garamond" w:hAnsi="Garamond" w:eastAsia="楷体_GB2312" w:cs="宋体"/>
      <w:sz w:val="28"/>
      <w:szCs w:val="28"/>
      <w:lang w:val="en-US" w:eastAsia="zh-CN" w:bidi="ar-SA"/>
    </w:rPr>
  </w:style>
  <w:style w:type="paragraph" w:customStyle="1" w:styleId="2591">
    <w:name w:val="1正文段落"/>
    <w:basedOn w:val="1"/>
    <w:autoRedefine/>
    <w:qFormat/>
    <w:uiPriority w:val="0"/>
    <w:pPr>
      <w:widowControl/>
      <w:ind w:firstLine="480"/>
      <w:jc w:val="left"/>
    </w:pPr>
    <w:rPr>
      <w:rFonts w:eastAsia="仿宋_GB2312"/>
      <w:snapToGrid w:val="0"/>
      <w:kern w:val="0"/>
      <w:szCs w:val="21"/>
    </w:rPr>
  </w:style>
  <w:style w:type="paragraph" w:customStyle="1" w:styleId="2592">
    <w:name w:val="正文文本缩进11"/>
    <w:basedOn w:val="1"/>
    <w:autoRedefine/>
    <w:qFormat/>
    <w:uiPriority w:val="0"/>
    <w:pPr>
      <w:widowControl/>
      <w:spacing w:after="120"/>
      <w:ind w:left="200" w:leftChars="200"/>
      <w:jc w:val="left"/>
    </w:pPr>
    <w:rPr>
      <w:rFonts w:eastAsia="仿宋_GB2312" w:cs="宋体"/>
      <w:kern w:val="0"/>
      <w:szCs w:val="21"/>
    </w:rPr>
  </w:style>
  <w:style w:type="paragraph" w:customStyle="1" w:styleId="2593">
    <w:name w:val="Char Char Char Char3"/>
    <w:basedOn w:val="1"/>
    <w:autoRedefine/>
    <w:qFormat/>
    <w:uiPriority w:val="0"/>
    <w:pPr>
      <w:widowControl/>
      <w:spacing w:line="240" w:lineRule="exact"/>
      <w:jc w:val="left"/>
    </w:pPr>
    <w:rPr>
      <w:rFonts w:eastAsia="仿宋_GB2312" w:cs="宋体"/>
      <w:kern w:val="0"/>
      <w:sz w:val="28"/>
      <w:szCs w:val="28"/>
    </w:rPr>
  </w:style>
  <w:style w:type="paragraph" w:customStyle="1" w:styleId="2594">
    <w:name w:val="Char Char Char Char Char Char Char Char Char Char Char Char Char Char Char Char Char Char"/>
    <w:basedOn w:val="1"/>
    <w:autoRedefine/>
    <w:qFormat/>
    <w:uiPriority w:val="0"/>
    <w:pPr>
      <w:widowControl/>
      <w:jc w:val="left"/>
    </w:pPr>
    <w:rPr>
      <w:rFonts w:eastAsia="仿宋_GB2312" w:cs="宋体"/>
      <w:kern w:val="0"/>
      <w:szCs w:val="21"/>
    </w:rPr>
  </w:style>
  <w:style w:type="paragraph" w:customStyle="1" w:styleId="2595">
    <w:name w:val="Char4 Char Char Char Char Char Char Char Char Char Char Char Char Char Char Char Char Char1 Char Char Char Char Char Char1 Char"/>
    <w:basedOn w:val="1"/>
    <w:autoRedefine/>
    <w:qFormat/>
    <w:uiPriority w:val="0"/>
    <w:pPr>
      <w:widowControl/>
      <w:spacing w:line="240" w:lineRule="exact"/>
      <w:jc w:val="left"/>
    </w:pPr>
    <w:rPr>
      <w:rFonts w:eastAsia="仿宋_GB2312" w:cs="宋体"/>
      <w:kern w:val="0"/>
      <w:sz w:val="28"/>
      <w:szCs w:val="28"/>
    </w:rPr>
  </w:style>
  <w:style w:type="paragraph" w:customStyle="1" w:styleId="2596">
    <w:name w:val="reader-word-layer"/>
    <w:basedOn w:val="1"/>
    <w:autoRedefine/>
    <w:qFormat/>
    <w:uiPriority w:val="0"/>
    <w:pPr>
      <w:widowControl/>
      <w:spacing w:before="100" w:beforeAutospacing="1" w:after="100" w:afterAutospacing="1"/>
      <w:jc w:val="left"/>
    </w:pPr>
    <w:rPr>
      <w:rFonts w:eastAsia="仿宋_GB2312" w:cs="宋体"/>
      <w:kern w:val="0"/>
      <w:szCs w:val="21"/>
    </w:rPr>
  </w:style>
  <w:style w:type="paragraph" w:customStyle="1" w:styleId="2597">
    <w:name w:val="表的正文"/>
    <w:basedOn w:val="1"/>
    <w:autoRedefine/>
    <w:qFormat/>
    <w:uiPriority w:val="0"/>
    <w:pPr>
      <w:spacing w:line="400" w:lineRule="atLeast"/>
      <w:ind w:left="100" w:leftChars="100" w:right="100" w:rightChars="100" w:firstLine="482"/>
    </w:pPr>
    <w:rPr>
      <w:rFonts w:ascii="仿宋_GB2312" w:eastAsia="仿宋_GB2312"/>
      <w:szCs w:val="20"/>
    </w:rPr>
  </w:style>
  <w:style w:type="paragraph" w:customStyle="1" w:styleId="2598">
    <w:name w:val="Char Char Char Char Char Char1 Char"/>
    <w:basedOn w:val="1"/>
    <w:autoRedefine/>
    <w:qFormat/>
    <w:uiPriority w:val="0"/>
    <w:pPr>
      <w:widowControl/>
      <w:jc w:val="left"/>
    </w:pPr>
    <w:rPr>
      <w:rFonts w:eastAsia="仿宋_GB2312"/>
      <w:sz w:val="28"/>
      <w:szCs w:val="21"/>
    </w:rPr>
  </w:style>
  <w:style w:type="paragraph" w:customStyle="1" w:styleId="2599">
    <w:name w:val="Bullet_Indent"/>
    <w:basedOn w:val="1"/>
    <w:autoRedefine/>
    <w:qFormat/>
    <w:uiPriority w:val="0"/>
    <w:pPr>
      <w:widowControl/>
      <w:spacing w:after="240"/>
      <w:ind w:left="1440" w:hanging="720"/>
      <w:jc w:val="left"/>
    </w:pPr>
    <w:rPr>
      <w:rFonts w:eastAsia="仿宋_GB2312" w:cs="宋体"/>
      <w:kern w:val="0"/>
      <w:szCs w:val="20"/>
    </w:rPr>
  </w:style>
  <w:style w:type="paragraph" w:customStyle="1" w:styleId="2600">
    <w:name w:val="表居中（中文）"/>
    <w:basedOn w:val="1"/>
    <w:autoRedefine/>
    <w:qFormat/>
    <w:uiPriority w:val="0"/>
    <w:pPr>
      <w:widowControl/>
      <w:adjustRightInd w:val="0"/>
      <w:spacing w:line="380" w:lineRule="atLeast"/>
      <w:jc w:val="center"/>
    </w:pPr>
    <w:rPr>
      <w:rFonts w:eastAsia="楷体_GB2312" w:cs="宋体"/>
      <w:kern w:val="0"/>
      <w:szCs w:val="20"/>
    </w:rPr>
  </w:style>
  <w:style w:type="paragraph" w:customStyle="1" w:styleId="2601">
    <w:name w:val="标题B"/>
    <w:basedOn w:val="1"/>
    <w:autoRedefine/>
    <w:qFormat/>
    <w:uiPriority w:val="0"/>
    <w:pPr>
      <w:spacing w:beforeLines="50" w:afterLines="50" w:line="420" w:lineRule="exact"/>
    </w:pPr>
    <w:rPr>
      <w:rFonts w:eastAsia="黑体"/>
      <w:sz w:val="32"/>
      <w:szCs w:val="21"/>
    </w:rPr>
  </w:style>
  <w:style w:type="paragraph" w:customStyle="1" w:styleId="2602">
    <w:name w:val="Char Char Char Char Char Char Char2"/>
    <w:basedOn w:val="1"/>
    <w:autoRedefine/>
    <w:qFormat/>
    <w:uiPriority w:val="0"/>
    <w:rPr>
      <w:rFonts w:eastAsia="仿宋_GB2312"/>
      <w:szCs w:val="21"/>
    </w:rPr>
  </w:style>
  <w:style w:type="paragraph" w:customStyle="1" w:styleId="2603">
    <w:name w:val="标题41"/>
    <w:basedOn w:val="6"/>
    <w:next w:val="1"/>
    <w:autoRedefine/>
    <w:qFormat/>
    <w:uiPriority w:val="0"/>
    <w:pPr>
      <w:tabs>
        <w:tab w:val="clear" w:pos="2976"/>
      </w:tabs>
      <w:adjustRightInd w:val="0"/>
      <w:spacing w:before="0" w:after="0" w:line="360" w:lineRule="auto"/>
      <w:ind w:left="1983" w:hanging="708"/>
      <w:textAlignment w:val="baseline"/>
    </w:pPr>
    <w:rPr>
      <w:rFonts w:ascii="Times New Roman" w:hAnsi="Times New Roman" w:eastAsia="仿宋_GB2312"/>
      <w:bCs w:val="0"/>
      <w:color w:val="000000"/>
      <w:sz w:val="21"/>
      <w:lang w:val="zh-CN"/>
    </w:rPr>
  </w:style>
  <w:style w:type="paragraph" w:customStyle="1" w:styleId="2604">
    <w:name w:val="列出段落3"/>
    <w:basedOn w:val="1"/>
    <w:autoRedefine/>
    <w:qFormat/>
    <w:uiPriority w:val="34"/>
    <w:pPr>
      <w:spacing w:line="360" w:lineRule="auto"/>
      <w:ind w:firstLine="200" w:firstLineChars="200"/>
      <w:jc w:val="left"/>
    </w:pPr>
    <w:rPr>
      <w:rFonts w:eastAsia="仿宋_GB2312"/>
      <w:szCs w:val="21"/>
    </w:rPr>
  </w:style>
  <w:style w:type="paragraph" w:customStyle="1" w:styleId="2605">
    <w:name w:val="注释"/>
    <w:basedOn w:val="1"/>
    <w:autoRedefine/>
    <w:qFormat/>
    <w:uiPriority w:val="0"/>
    <w:pPr>
      <w:adjustRightInd w:val="0"/>
      <w:snapToGrid w:val="0"/>
      <w:spacing w:line="360" w:lineRule="auto"/>
      <w:textAlignment w:val="baseline"/>
    </w:pPr>
    <w:rPr>
      <w:rFonts w:eastAsia="仿宋_GB2312"/>
      <w:snapToGrid w:val="0"/>
      <w:spacing w:val="4"/>
      <w:kern w:val="0"/>
      <w:sz w:val="28"/>
      <w:szCs w:val="21"/>
    </w:rPr>
  </w:style>
  <w:style w:type="paragraph" w:customStyle="1" w:styleId="2606">
    <w:name w:val="Char4 Char Char Char"/>
    <w:basedOn w:val="1"/>
    <w:autoRedefine/>
    <w:qFormat/>
    <w:uiPriority w:val="0"/>
    <w:pPr>
      <w:widowControl/>
      <w:jc w:val="left"/>
    </w:pPr>
    <w:rPr>
      <w:rFonts w:eastAsia="仿宋_GB2312" w:cs="宋体"/>
      <w:kern w:val="0"/>
      <w:szCs w:val="21"/>
    </w:rPr>
  </w:style>
  <w:style w:type="paragraph" w:customStyle="1" w:styleId="2607">
    <w:name w:val="样式 样式 样式 标题 2H2标题 2 Char Char节标题 1.1（一）Underrubrik1prop2Heading...."/>
    <w:basedOn w:val="2560"/>
    <w:autoRedefine/>
    <w:qFormat/>
    <w:uiPriority w:val="0"/>
    <w:pPr>
      <w:spacing w:before="166" w:after="166"/>
      <w:ind w:left="576" w:hanging="576"/>
    </w:pPr>
    <w:rPr>
      <w:szCs w:val="20"/>
    </w:rPr>
  </w:style>
  <w:style w:type="paragraph" w:customStyle="1" w:styleId="2608">
    <w:name w:val="zhengwen"/>
    <w:basedOn w:val="1"/>
    <w:autoRedefine/>
    <w:qFormat/>
    <w:uiPriority w:val="0"/>
    <w:pPr>
      <w:widowControl/>
      <w:spacing w:before="100" w:beforeAutospacing="1" w:after="100" w:afterAutospacing="1"/>
      <w:jc w:val="left"/>
    </w:pPr>
    <w:rPr>
      <w:rFonts w:eastAsia="仿宋_GB2312" w:cs="宋体"/>
      <w:kern w:val="0"/>
      <w:szCs w:val="21"/>
    </w:rPr>
  </w:style>
  <w:style w:type="paragraph" w:customStyle="1" w:styleId="2609">
    <w:name w:val="样式 列表 + 左侧:  0 厘米 悬挂缩进: 2 字符3"/>
    <w:basedOn w:val="67"/>
    <w:autoRedefine/>
    <w:qFormat/>
    <w:uiPriority w:val="0"/>
    <w:pPr>
      <w:tabs>
        <w:tab w:val="center" w:pos="4153"/>
        <w:tab w:val="right" w:pos="8306"/>
      </w:tabs>
      <w:snapToGrid w:val="0"/>
      <w:spacing w:line="240" w:lineRule="auto"/>
    </w:pPr>
    <w:rPr>
      <w:rFonts w:ascii="仿宋_GB2312" w:hAnsi="Times New Roman" w:eastAsia="仿宋_GB2312" w:cs="宋体"/>
      <w:spacing w:val="-20"/>
      <w:sz w:val="21"/>
      <w:szCs w:val="21"/>
    </w:rPr>
  </w:style>
  <w:style w:type="paragraph" w:customStyle="1" w:styleId="2610">
    <w:name w:val="zuozhe"/>
    <w:basedOn w:val="1"/>
    <w:autoRedefine/>
    <w:qFormat/>
    <w:uiPriority w:val="0"/>
    <w:pPr>
      <w:widowControl/>
      <w:spacing w:before="100" w:beforeAutospacing="1" w:after="100" w:afterAutospacing="1"/>
      <w:jc w:val="left"/>
    </w:pPr>
    <w:rPr>
      <w:rFonts w:eastAsia="仿宋_GB2312" w:cs="宋体"/>
      <w:kern w:val="0"/>
      <w:szCs w:val="21"/>
    </w:rPr>
  </w:style>
  <w:style w:type="paragraph" w:customStyle="1" w:styleId="2611">
    <w:name w:val="5"/>
    <w:basedOn w:val="1"/>
    <w:next w:val="21"/>
    <w:autoRedefine/>
    <w:qFormat/>
    <w:uiPriority w:val="0"/>
    <w:pPr>
      <w:widowControl/>
      <w:tabs>
        <w:tab w:val="left" w:pos="1036"/>
      </w:tabs>
      <w:autoSpaceDE w:val="0"/>
      <w:autoSpaceDN w:val="0"/>
      <w:adjustRightInd w:val="0"/>
      <w:spacing w:before="120" w:line="360" w:lineRule="exact"/>
      <w:ind w:firstLine="425"/>
      <w:jc w:val="left"/>
    </w:pPr>
    <w:rPr>
      <w:rFonts w:eastAsia="仿宋_GB2312"/>
      <w:kern w:val="0"/>
      <w:szCs w:val="20"/>
    </w:rPr>
  </w:style>
  <w:style w:type="paragraph" w:customStyle="1" w:styleId="2612">
    <w:name w:val="普通(Web)6"/>
    <w:basedOn w:val="1"/>
    <w:autoRedefine/>
    <w:qFormat/>
    <w:uiPriority w:val="0"/>
    <w:pPr>
      <w:widowControl/>
      <w:jc w:val="left"/>
    </w:pPr>
    <w:rPr>
      <w:rFonts w:eastAsia="仿宋_GB2312" w:cs="宋体"/>
      <w:kern w:val="0"/>
      <w:sz w:val="28"/>
      <w:szCs w:val="21"/>
    </w:rPr>
  </w:style>
  <w:style w:type="paragraph" w:customStyle="1" w:styleId="2613">
    <w:name w:val="yz"/>
    <w:basedOn w:val="34"/>
    <w:autoRedefine/>
    <w:qFormat/>
    <w:uiPriority w:val="0"/>
    <w:pPr>
      <w:widowControl/>
      <w:tabs>
        <w:tab w:val="left" w:pos="900"/>
      </w:tabs>
      <w:adjustRightInd w:val="0"/>
      <w:spacing w:after="0"/>
      <w:jc w:val="left"/>
      <w:textAlignment w:val="baseline"/>
    </w:pPr>
    <w:rPr>
      <w:rFonts w:eastAsia="仿宋_GB2312" w:cs="宋体"/>
      <w:kern w:val="0"/>
      <w:szCs w:val="20"/>
    </w:rPr>
  </w:style>
  <w:style w:type="paragraph" w:customStyle="1" w:styleId="2614">
    <w:name w:val="WW-正文首行缩进"/>
    <w:basedOn w:val="34"/>
    <w:autoRedefine/>
    <w:qFormat/>
    <w:uiPriority w:val="0"/>
    <w:pPr>
      <w:widowControl/>
      <w:suppressAutoHyphens/>
      <w:spacing w:after="0" w:line="312" w:lineRule="auto"/>
      <w:ind w:firstLine="567"/>
      <w:jc w:val="left"/>
      <w:textAlignment w:val="baseline"/>
    </w:pPr>
    <w:rPr>
      <w:rFonts w:eastAsia="仿宋_GB2312" w:cstheme="minorBidi"/>
      <w:kern w:val="3276"/>
      <w:sz w:val="28"/>
      <w:szCs w:val="20"/>
    </w:rPr>
  </w:style>
  <w:style w:type="paragraph" w:customStyle="1" w:styleId="2615">
    <w:name w:val="样式 表文字 + 首行缩进:  0.74 厘米"/>
    <w:basedOn w:val="1268"/>
    <w:autoRedefine/>
    <w:qFormat/>
    <w:uiPriority w:val="0"/>
    <w:pPr>
      <w:widowControl w:val="0"/>
      <w:adjustRightInd/>
      <w:spacing w:line="240" w:lineRule="auto"/>
      <w:ind w:firstLine="0"/>
      <w:jc w:val="both"/>
      <w:textAlignment w:val="auto"/>
    </w:pPr>
    <w:rPr>
      <w:rFonts w:ascii="Times New Roman" w:eastAsia="仿宋_GB2312" w:cs="宋体"/>
      <w:spacing w:val="0"/>
      <w:kern w:val="2"/>
      <w:sz w:val="21"/>
      <w:szCs w:val="20"/>
    </w:rPr>
  </w:style>
  <w:style w:type="paragraph" w:customStyle="1" w:styleId="2616">
    <w:name w:val="样式 四号 首行缩进:  2 字符 行距: 单倍行距"/>
    <w:basedOn w:val="1"/>
    <w:autoRedefine/>
    <w:qFormat/>
    <w:uiPriority w:val="0"/>
    <w:pPr>
      <w:widowControl/>
      <w:snapToGrid w:val="0"/>
      <w:jc w:val="left"/>
    </w:pPr>
    <w:rPr>
      <w:rFonts w:eastAsia="仿宋_GB2312" w:cs="宋体"/>
      <w:sz w:val="28"/>
      <w:szCs w:val="20"/>
    </w:rPr>
  </w:style>
  <w:style w:type="paragraph" w:customStyle="1" w:styleId="2617">
    <w:name w:val="样式 标题 3 + 宋体 小四"/>
    <w:basedOn w:val="5"/>
    <w:autoRedefine/>
    <w:qFormat/>
    <w:uiPriority w:val="0"/>
    <w:pPr>
      <w:widowControl/>
      <w:tabs>
        <w:tab w:val="left" w:pos="0"/>
        <w:tab w:val="left" w:pos="7088"/>
      </w:tabs>
      <w:adjustRightInd w:val="0"/>
      <w:spacing w:beforeLines="50" w:after="0" w:line="500" w:lineRule="exact"/>
    </w:pPr>
    <w:rPr>
      <w:rFonts w:ascii="宋体" w:hAnsi="Times New Roman" w:eastAsia="黑体" w:cs="Times New Roman"/>
      <w:b w:val="0"/>
      <w:sz w:val="24"/>
      <w:lang w:val="zh-CN"/>
    </w:rPr>
  </w:style>
  <w:style w:type="paragraph" w:customStyle="1" w:styleId="2618">
    <w:name w:val="图框文字 Char"/>
    <w:basedOn w:val="1"/>
    <w:autoRedefine/>
    <w:qFormat/>
    <w:uiPriority w:val="0"/>
    <w:pPr>
      <w:widowControl/>
      <w:jc w:val="center"/>
    </w:pPr>
    <w:rPr>
      <w:rFonts w:eastAsia="仿宋_GB2312" w:cs="宋体"/>
      <w:spacing w:val="4"/>
      <w:sz w:val="28"/>
      <w:szCs w:val="21"/>
    </w:rPr>
  </w:style>
  <w:style w:type="paragraph" w:customStyle="1" w:styleId="2619">
    <w:name w:val="Char Char Char Char Char Char Char3"/>
    <w:basedOn w:val="1"/>
    <w:autoRedefine/>
    <w:qFormat/>
    <w:uiPriority w:val="0"/>
    <w:rPr>
      <w:rFonts w:eastAsia="仿宋_GB2312"/>
      <w:szCs w:val="21"/>
    </w:rPr>
  </w:style>
  <w:style w:type="paragraph" w:customStyle="1" w:styleId="2620">
    <w:name w:val="Char Char Char Char1 Char Char Char"/>
    <w:basedOn w:val="1"/>
    <w:autoRedefine/>
    <w:qFormat/>
    <w:uiPriority w:val="0"/>
    <w:rPr>
      <w:rFonts w:eastAsia="仿宋_GB2312"/>
      <w:szCs w:val="21"/>
    </w:rPr>
  </w:style>
  <w:style w:type="paragraph" w:customStyle="1" w:styleId="2621">
    <w:name w:val="gradea表文5"/>
    <w:basedOn w:val="21"/>
    <w:autoRedefine/>
    <w:qFormat/>
    <w:uiPriority w:val="0"/>
    <w:pPr>
      <w:ind w:firstLine="0" w:firstLineChars="0"/>
      <w:jc w:val="center"/>
    </w:pPr>
    <w:rPr>
      <w:rFonts w:eastAsia="仿宋_GB2312" w:asciiTheme="minorHAnsi" w:cstheme="minorBidi"/>
      <w:szCs w:val="21"/>
      <w:lang w:val="zh-CN"/>
    </w:rPr>
  </w:style>
  <w:style w:type="paragraph" w:customStyle="1" w:styleId="2622">
    <w:name w:val="Char Char Char Char Char Char Char Char Char1 Char Char Char Char"/>
    <w:basedOn w:val="1"/>
    <w:autoRedefine/>
    <w:qFormat/>
    <w:uiPriority w:val="0"/>
    <w:pPr>
      <w:widowControl/>
      <w:jc w:val="left"/>
    </w:pPr>
    <w:rPr>
      <w:rFonts w:eastAsia="仿宋_GB2312" w:cs="宋体"/>
      <w:kern w:val="0"/>
      <w:szCs w:val="21"/>
    </w:rPr>
  </w:style>
  <w:style w:type="paragraph" w:customStyle="1" w:styleId="2623">
    <w:name w:val="样式 行距: 固定值 25 磅1"/>
    <w:basedOn w:val="1"/>
    <w:autoRedefine/>
    <w:qFormat/>
    <w:uiPriority w:val="0"/>
    <w:pPr>
      <w:widowControl/>
      <w:spacing w:line="500" w:lineRule="exact"/>
      <w:ind w:firstLine="400"/>
      <w:jc w:val="left"/>
    </w:pPr>
    <w:rPr>
      <w:rFonts w:eastAsia="仿宋_GB2312" w:cs="宋体"/>
      <w:sz w:val="28"/>
      <w:szCs w:val="28"/>
    </w:rPr>
  </w:style>
  <w:style w:type="paragraph" w:customStyle="1" w:styleId="2624">
    <w:name w:val="Char4 Char Char Char Char Char1 Char Char Char Char Char Char Char Char Char Char Char Char Char"/>
    <w:basedOn w:val="1"/>
    <w:autoRedefine/>
    <w:qFormat/>
    <w:uiPriority w:val="0"/>
    <w:pPr>
      <w:spacing w:line="240" w:lineRule="exact"/>
      <w:ind w:firstLine="200" w:firstLineChars="200"/>
    </w:pPr>
    <w:rPr>
      <w:rFonts w:eastAsia="仿宋_GB2312"/>
      <w:sz w:val="28"/>
      <w:szCs w:val="20"/>
    </w:rPr>
  </w:style>
  <w:style w:type="paragraph" w:customStyle="1" w:styleId="2625">
    <w:name w:val="样式 标题 1 + 段前: 1 行 段后: 1.5 行"/>
    <w:basedOn w:val="3"/>
    <w:autoRedefine/>
    <w:qFormat/>
    <w:uiPriority w:val="0"/>
    <w:pPr>
      <w:widowControl/>
      <w:tabs>
        <w:tab w:val="left" w:pos="432"/>
      </w:tabs>
      <w:adjustRightInd w:val="0"/>
      <w:snapToGrid w:val="0"/>
      <w:spacing w:before="0" w:beforeLines="100" w:after="120" w:afterLines="150" w:line="300" w:lineRule="auto"/>
      <w:ind w:left="432" w:hanging="432"/>
      <w:jc w:val="left"/>
    </w:pPr>
    <w:rPr>
      <w:rFonts w:eastAsia="仿宋_GB2312" w:cs="仿宋_GB2312"/>
      <w:bCs/>
      <w:sz w:val="32"/>
      <w:szCs w:val="32"/>
      <w:lang w:val="zh-CN"/>
    </w:rPr>
  </w:style>
  <w:style w:type="paragraph" w:customStyle="1" w:styleId="2626">
    <w:name w:val="样式 标题 3 + 加粗 段前: 3.9 磅 段后: 3.9 磅 行距: 多倍行距 1.35 字行2"/>
    <w:basedOn w:val="5"/>
    <w:autoRedefine/>
    <w:qFormat/>
    <w:uiPriority w:val="0"/>
    <w:pPr>
      <w:widowControl/>
      <w:tabs>
        <w:tab w:val="left" w:pos="0"/>
        <w:tab w:val="left" w:pos="1820"/>
        <w:tab w:val="left" w:pos="7088"/>
      </w:tabs>
      <w:adjustRightInd w:val="0"/>
      <w:snapToGrid w:val="0"/>
      <w:spacing w:beforeLines="50" w:after="78" w:line="324" w:lineRule="auto"/>
      <w:ind w:left="1820" w:hanging="420"/>
      <w:jc w:val="left"/>
    </w:pPr>
    <w:rPr>
      <w:rFonts w:ascii="宋体" w:hAnsi="Times New Roman" w:eastAsia="仿宋_GB2312" w:cs="宋体"/>
      <w:kern w:val="0"/>
      <w:sz w:val="30"/>
      <w:szCs w:val="20"/>
      <w:lang w:val="zh-CN"/>
    </w:rPr>
  </w:style>
  <w:style w:type="paragraph" w:customStyle="1" w:styleId="2627">
    <w:name w:val="6"/>
    <w:basedOn w:val="1"/>
    <w:autoRedefine/>
    <w:qFormat/>
    <w:uiPriority w:val="0"/>
    <w:pPr>
      <w:widowControl/>
      <w:jc w:val="left"/>
    </w:pPr>
    <w:rPr>
      <w:rFonts w:eastAsia="仿宋_GB2312"/>
      <w:szCs w:val="21"/>
    </w:rPr>
  </w:style>
  <w:style w:type="paragraph" w:customStyle="1" w:styleId="2628">
    <w:name w:val="Char Char Char Char Char Char Char Char Char Char Char Char Char"/>
    <w:basedOn w:val="1"/>
    <w:autoRedefine/>
    <w:qFormat/>
    <w:uiPriority w:val="0"/>
    <w:pPr>
      <w:widowControl/>
      <w:jc w:val="left"/>
    </w:pPr>
    <w:rPr>
      <w:rFonts w:eastAsia="仿宋_GB2312" w:cs="宋体"/>
      <w:kern w:val="0"/>
      <w:szCs w:val="21"/>
    </w:rPr>
  </w:style>
  <w:style w:type="paragraph" w:customStyle="1" w:styleId="2629">
    <w:name w:val="样式 列表 + 左侧:  0 厘米 悬挂缩进: 2 字符"/>
    <w:basedOn w:val="67"/>
    <w:autoRedefine/>
    <w:qFormat/>
    <w:uiPriority w:val="0"/>
    <w:pPr>
      <w:tabs>
        <w:tab w:val="center" w:pos="4153"/>
        <w:tab w:val="right" w:pos="8306"/>
      </w:tabs>
      <w:snapToGrid w:val="0"/>
      <w:spacing w:line="240" w:lineRule="auto"/>
    </w:pPr>
    <w:rPr>
      <w:rFonts w:ascii="仿宋_GB2312" w:hAnsi="Times New Roman" w:eastAsia="仿宋_GB2312" w:cs="宋体"/>
      <w:spacing w:val="-20"/>
      <w:sz w:val="21"/>
      <w:szCs w:val="21"/>
    </w:rPr>
  </w:style>
  <w:style w:type="paragraph" w:customStyle="1" w:styleId="2630">
    <w:name w:val="新正文样式"/>
    <w:basedOn w:val="1"/>
    <w:autoRedefine/>
    <w:qFormat/>
    <w:uiPriority w:val="0"/>
    <w:pPr>
      <w:widowControl/>
      <w:tabs>
        <w:tab w:val="left" w:pos="567"/>
      </w:tabs>
      <w:ind w:firstLine="567"/>
      <w:jc w:val="left"/>
    </w:pPr>
    <w:rPr>
      <w:rFonts w:eastAsia="仿宋_GB2312" w:cs="宋体"/>
      <w:spacing w:val="20"/>
      <w:kern w:val="0"/>
      <w:szCs w:val="20"/>
    </w:rPr>
  </w:style>
  <w:style w:type="paragraph" w:customStyle="1" w:styleId="2631">
    <w:name w:val="Body Text First Indent3"/>
    <w:basedOn w:val="34"/>
    <w:autoRedefine/>
    <w:qFormat/>
    <w:uiPriority w:val="0"/>
    <w:pPr>
      <w:widowControl/>
      <w:adjustRightInd w:val="0"/>
      <w:spacing w:after="0" w:line="312" w:lineRule="auto"/>
      <w:ind w:firstLine="567"/>
      <w:jc w:val="left"/>
      <w:textAlignment w:val="baseline"/>
    </w:pPr>
    <w:rPr>
      <w:rFonts w:eastAsia="仿宋_GB2312" w:cstheme="minorBidi"/>
      <w:kern w:val="0"/>
      <w:sz w:val="28"/>
      <w:szCs w:val="20"/>
    </w:rPr>
  </w:style>
  <w:style w:type="paragraph" w:customStyle="1" w:styleId="2632">
    <w:name w:val="样式 宋体 四号"/>
    <w:basedOn w:val="1"/>
    <w:autoRedefine/>
    <w:qFormat/>
    <w:uiPriority w:val="0"/>
    <w:pPr>
      <w:ind w:firstLine="200" w:firstLineChars="200"/>
    </w:pPr>
    <w:rPr>
      <w:rFonts w:eastAsia="仿宋_GB2312" w:cs="宋体"/>
      <w:sz w:val="28"/>
      <w:szCs w:val="20"/>
    </w:rPr>
  </w:style>
  <w:style w:type="paragraph" w:customStyle="1" w:styleId="2633">
    <w:name w:val="Char Char Char Char Char Char Char Char Char Char Char Char Char Char Char Char Char Char Char"/>
    <w:basedOn w:val="1"/>
    <w:autoRedefine/>
    <w:qFormat/>
    <w:uiPriority w:val="0"/>
    <w:pPr>
      <w:widowControl/>
      <w:jc w:val="left"/>
    </w:pPr>
    <w:rPr>
      <w:rFonts w:eastAsia="仿宋_GB2312" w:cs="宋体"/>
      <w:kern w:val="0"/>
      <w:szCs w:val="21"/>
    </w:rPr>
  </w:style>
  <w:style w:type="paragraph" w:customStyle="1" w:styleId="2634">
    <w:name w:val="列图"/>
    <w:basedOn w:val="67"/>
    <w:next w:val="1"/>
    <w:autoRedefine/>
    <w:qFormat/>
    <w:uiPriority w:val="0"/>
    <w:pPr>
      <w:widowControl/>
      <w:tabs>
        <w:tab w:val="left" w:pos="3765"/>
      </w:tabs>
      <w:adjustRightInd w:val="0"/>
      <w:snapToGrid w:val="0"/>
      <w:spacing w:line="240" w:lineRule="auto"/>
    </w:pPr>
    <w:rPr>
      <w:rFonts w:hAnsi="Times New Roman" w:cstheme="minorBidi"/>
      <w:bCs/>
      <w:sz w:val="21"/>
      <w:szCs w:val="21"/>
    </w:rPr>
  </w:style>
  <w:style w:type="paragraph" w:customStyle="1" w:styleId="2635">
    <w:name w:val="样式 标题 3 + 宋体 小四 非加粗 行距: 1.5 倍行距"/>
    <w:basedOn w:val="5"/>
    <w:autoRedefine/>
    <w:qFormat/>
    <w:uiPriority w:val="0"/>
    <w:pPr>
      <w:widowControl/>
      <w:tabs>
        <w:tab w:val="left" w:pos="0"/>
        <w:tab w:val="left" w:pos="7088"/>
      </w:tabs>
      <w:adjustRightInd w:val="0"/>
      <w:spacing w:beforeLines="50" w:line="500" w:lineRule="exact"/>
      <w:jc w:val="left"/>
    </w:pPr>
    <w:rPr>
      <w:rFonts w:ascii="宋体" w:hAnsi="Times New Roman" w:eastAsia="仿宋_GB2312" w:cs="宋体"/>
      <w:bCs w:val="0"/>
      <w:kern w:val="0"/>
      <w:sz w:val="24"/>
      <w:szCs w:val="20"/>
      <w:lang w:val="zh-CN"/>
    </w:rPr>
  </w:style>
  <w:style w:type="paragraph" w:customStyle="1" w:styleId="2636">
    <w:name w:val="y表头"/>
    <w:basedOn w:val="34"/>
    <w:autoRedefine/>
    <w:qFormat/>
    <w:uiPriority w:val="0"/>
    <w:pPr>
      <w:widowControl/>
      <w:tabs>
        <w:tab w:val="left" w:pos="900"/>
      </w:tabs>
      <w:adjustRightInd w:val="0"/>
      <w:spacing w:after="0"/>
      <w:jc w:val="center"/>
      <w:textAlignment w:val="baseline"/>
    </w:pPr>
    <w:rPr>
      <w:rFonts w:eastAsia="楷体_GB2312" w:cs="宋体"/>
      <w:b/>
      <w:kern w:val="0"/>
      <w:szCs w:val="20"/>
    </w:rPr>
  </w:style>
  <w:style w:type="paragraph" w:customStyle="1" w:styleId="2637">
    <w:name w:val="样式 宋体 居中 左侧:  9.26 厘米"/>
    <w:basedOn w:val="1"/>
    <w:autoRedefine/>
    <w:qFormat/>
    <w:uiPriority w:val="0"/>
    <w:pPr>
      <w:widowControl/>
      <w:jc w:val="center"/>
    </w:pPr>
    <w:rPr>
      <w:rFonts w:eastAsia="仿宋_GB2312"/>
      <w:sz w:val="28"/>
      <w:szCs w:val="21"/>
    </w:rPr>
  </w:style>
  <w:style w:type="paragraph" w:customStyle="1" w:styleId="2638">
    <w:name w:val="我的样式（正文） Char"/>
    <w:basedOn w:val="1"/>
    <w:autoRedefine/>
    <w:qFormat/>
    <w:uiPriority w:val="0"/>
    <w:pPr>
      <w:spacing w:line="440" w:lineRule="exact"/>
    </w:pPr>
    <w:rPr>
      <w:rFonts w:eastAsia="仿宋_GB2312"/>
      <w:sz w:val="28"/>
      <w:szCs w:val="21"/>
    </w:rPr>
  </w:style>
  <w:style w:type="paragraph" w:customStyle="1" w:styleId="2639">
    <w:name w:val="Char4 Char Char Char3"/>
    <w:basedOn w:val="1"/>
    <w:autoRedefine/>
    <w:qFormat/>
    <w:uiPriority w:val="0"/>
    <w:rPr>
      <w:rFonts w:eastAsia="仿宋_GB2312"/>
      <w:sz w:val="28"/>
      <w:szCs w:val="21"/>
    </w:rPr>
  </w:style>
  <w:style w:type="paragraph" w:customStyle="1" w:styleId="2640">
    <w:name w:val="文本居中"/>
    <w:basedOn w:val="1"/>
    <w:autoRedefine/>
    <w:qFormat/>
    <w:uiPriority w:val="0"/>
    <w:pPr>
      <w:widowControl/>
      <w:adjustRightInd w:val="0"/>
      <w:jc w:val="center"/>
    </w:pPr>
    <w:rPr>
      <w:rFonts w:eastAsia="仿宋_GB2312"/>
      <w:sz w:val="28"/>
      <w:szCs w:val="21"/>
    </w:rPr>
  </w:style>
  <w:style w:type="paragraph" w:customStyle="1" w:styleId="2641">
    <w:name w:val="正文居中"/>
    <w:basedOn w:val="46"/>
    <w:autoRedefine/>
    <w:qFormat/>
    <w:uiPriority w:val="0"/>
    <w:pPr>
      <w:widowControl/>
      <w:tabs>
        <w:tab w:val="right" w:leader="dot" w:pos="8664"/>
      </w:tabs>
      <w:adjustRightInd w:val="0"/>
      <w:snapToGrid w:val="0"/>
      <w:spacing w:before="0" w:after="0" w:line="400" w:lineRule="exact"/>
      <w:jc w:val="center"/>
    </w:pPr>
    <w:rPr>
      <w:rFonts w:eastAsia="仿宋_GB2312"/>
      <w:b w:val="0"/>
      <w:sz w:val="28"/>
      <w:szCs w:val="28"/>
      <w:u w:val="none"/>
    </w:rPr>
  </w:style>
  <w:style w:type="paragraph" w:customStyle="1" w:styleId="2642">
    <w:name w:val="表1"/>
    <w:basedOn w:val="1"/>
    <w:autoRedefine/>
    <w:qFormat/>
    <w:uiPriority w:val="0"/>
    <w:pPr>
      <w:widowControl/>
      <w:jc w:val="center"/>
    </w:pPr>
    <w:rPr>
      <w:rFonts w:eastAsia="仿宋_GB2312"/>
      <w:color w:val="000000"/>
      <w:sz w:val="28"/>
      <w:szCs w:val="21"/>
    </w:rPr>
  </w:style>
  <w:style w:type="paragraph" w:customStyle="1" w:styleId="2643">
    <w:name w:val="样式 标题 1 + 两端对齐"/>
    <w:basedOn w:val="3"/>
    <w:autoRedefine/>
    <w:qFormat/>
    <w:uiPriority w:val="0"/>
    <w:pPr>
      <w:keepNext w:val="0"/>
      <w:keepLines w:val="0"/>
      <w:pageBreakBefore/>
      <w:widowControl/>
      <w:tabs>
        <w:tab w:val="left" w:pos="420"/>
      </w:tabs>
      <w:adjustRightInd w:val="0"/>
      <w:snapToGrid w:val="0"/>
      <w:spacing w:before="0" w:after="0" w:line="300" w:lineRule="auto"/>
      <w:jc w:val="center"/>
    </w:pPr>
    <w:rPr>
      <w:rFonts w:eastAsia="仿宋_GB2312" w:cs="宋体"/>
      <w:b w:val="0"/>
      <w:snapToGrid w:val="0"/>
      <w:kern w:val="0"/>
      <w:sz w:val="32"/>
      <w:szCs w:val="32"/>
      <w:lang w:val="zh-CN"/>
    </w:rPr>
  </w:style>
  <w:style w:type="paragraph" w:customStyle="1" w:styleId="2644">
    <w:name w:val="Char Char1 Char"/>
    <w:basedOn w:val="1"/>
    <w:autoRedefine/>
    <w:qFormat/>
    <w:uiPriority w:val="0"/>
    <w:pPr>
      <w:widowControl/>
      <w:jc w:val="left"/>
    </w:pPr>
    <w:rPr>
      <w:rFonts w:eastAsia="仿宋_GB2312"/>
      <w:szCs w:val="21"/>
    </w:rPr>
  </w:style>
  <w:style w:type="paragraph" w:customStyle="1" w:styleId="2645">
    <w:name w:val="段落"/>
    <w:basedOn w:val="1"/>
    <w:autoRedefine/>
    <w:qFormat/>
    <w:uiPriority w:val="0"/>
    <w:pPr>
      <w:widowControl/>
      <w:jc w:val="left"/>
    </w:pPr>
    <w:rPr>
      <w:rFonts w:eastAsia="仿宋_GB2312"/>
      <w:szCs w:val="21"/>
    </w:rPr>
  </w:style>
  <w:style w:type="paragraph" w:customStyle="1" w:styleId="2646">
    <w:name w:val="框图格式2"/>
    <w:basedOn w:val="1"/>
    <w:autoRedefine/>
    <w:qFormat/>
    <w:uiPriority w:val="0"/>
    <w:pPr>
      <w:widowControl/>
      <w:jc w:val="left"/>
    </w:pPr>
    <w:rPr>
      <w:rFonts w:eastAsia="仿宋_GB2312"/>
      <w:sz w:val="18"/>
      <w:szCs w:val="21"/>
    </w:rPr>
  </w:style>
  <w:style w:type="paragraph" w:customStyle="1" w:styleId="2647">
    <w:name w:val="框图内容"/>
    <w:basedOn w:val="1"/>
    <w:autoRedefine/>
    <w:qFormat/>
    <w:uiPriority w:val="0"/>
    <w:pPr>
      <w:widowControl/>
      <w:jc w:val="center"/>
    </w:pPr>
    <w:rPr>
      <w:rFonts w:eastAsia="仿宋_GB2312"/>
      <w:sz w:val="28"/>
      <w:szCs w:val="21"/>
      <w:lang w:val="en-GB"/>
    </w:rPr>
  </w:style>
  <w:style w:type="paragraph" w:customStyle="1" w:styleId="2648">
    <w:name w:val="表名1"/>
    <w:basedOn w:val="1554"/>
    <w:autoRedefine/>
    <w:qFormat/>
    <w:uiPriority w:val="0"/>
    <w:pPr>
      <w:widowControl/>
      <w:spacing w:line="360" w:lineRule="auto"/>
    </w:pPr>
    <w:rPr>
      <w:rFonts w:ascii="仿宋_GB2312" w:eastAsia="仿宋_GB2312" w:cs="宋体" w:hAnsiTheme="minorHAnsi"/>
      <w:b/>
      <w:bCs/>
      <w:kern w:val="44"/>
      <w:szCs w:val="21"/>
    </w:rPr>
  </w:style>
  <w:style w:type="paragraph" w:customStyle="1" w:styleId="2649">
    <w:name w:val="正文(首行缩进)宋旭峰"/>
    <w:basedOn w:val="21"/>
    <w:autoRedefine/>
    <w:qFormat/>
    <w:uiPriority w:val="0"/>
    <w:pPr>
      <w:widowControl/>
      <w:spacing w:beforeLines="50" w:afterLines="50"/>
      <w:ind w:firstLine="440" w:firstLineChars="0"/>
      <w:contextualSpacing/>
      <w:jc w:val="left"/>
    </w:pPr>
    <w:rPr>
      <w:rFonts w:eastAsia="仿宋_GB2312" w:asciiTheme="minorHAnsi" w:cstheme="minorBidi"/>
      <w:snapToGrid w:val="0"/>
      <w:szCs w:val="21"/>
    </w:rPr>
  </w:style>
  <w:style w:type="paragraph" w:customStyle="1" w:styleId="2650">
    <w:name w:val="Char Char Char Char Char Char Char Char Char Char1"/>
    <w:basedOn w:val="1"/>
    <w:autoRedefine/>
    <w:qFormat/>
    <w:uiPriority w:val="0"/>
    <w:rPr>
      <w:rFonts w:eastAsia="仿宋_GB2312"/>
      <w:sz w:val="28"/>
      <w:szCs w:val="21"/>
    </w:rPr>
  </w:style>
  <w:style w:type="paragraph" w:customStyle="1" w:styleId="2651">
    <w:name w:val="Char Char Char Char Char Char Char1 Char Char Char Char Char Char"/>
    <w:basedOn w:val="1"/>
    <w:autoRedefine/>
    <w:qFormat/>
    <w:uiPriority w:val="0"/>
    <w:rPr>
      <w:rFonts w:eastAsia="仿宋_GB2312"/>
      <w:sz w:val="28"/>
      <w:szCs w:val="21"/>
    </w:rPr>
  </w:style>
  <w:style w:type="paragraph" w:customStyle="1" w:styleId="2652">
    <w:name w:val="纯文本4"/>
    <w:basedOn w:val="1"/>
    <w:autoRedefine/>
    <w:qFormat/>
    <w:uiPriority w:val="0"/>
    <w:pPr>
      <w:widowControl/>
      <w:tabs>
        <w:tab w:val="left" w:pos="2960"/>
      </w:tabs>
      <w:snapToGrid w:val="0"/>
      <w:jc w:val="left"/>
      <w:textAlignment w:val="baseline"/>
      <w:outlineLvl w:val="0"/>
    </w:pPr>
    <w:rPr>
      <w:rFonts w:eastAsia="仿宋_GB2312" w:cs="宋体"/>
      <w:color w:val="000000"/>
      <w:kern w:val="0"/>
      <w:szCs w:val="21"/>
    </w:rPr>
  </w:style>
  <w:style w:type="paragraph" w:customStyle="1" w:styleId="2653">
    <w:name w:val="Char4 Char Char Char1"/>
    <w:basedOn w:val="1"/>
    <w:autoRedefine/>
    <w:qFormat/>
    <w:uiPriority w:val="0"/>
    <w:pPr>
      <w:widowControl/>
      <w:jc w:val="left"/>
    </w:pPr>
    <w:rPr>
      <w:rFonts w:eastAsia="仿宋_GB2312" w:cs="宋体"/>
      <w:kern w:val="0"/>
      <w:szCs w:val="21"/>
    </w:rPr>
  </w:style>
  <w:style w:type="paragraph" w:customStyle="1" w:styleId="2654">
    <w:name w:val="nub2.4"/>
    <w:autoRedefine/>
    <w:qFormat/>
    <w:uiPriority w:val="0"/>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eastAsia="仿宋_GB2312" w:cs="宋体"/>
      <w:color w:val="000000"/>
      <w:sz w:val="21"/>
      <w:szCs w:val="21"/>
      <w:lang w:val="en-US" w:eastAsia="zh-CN" w:bidi="ar-SA"/>
    </w:rPr>
  </w:style>
  <w:style w:type="paragraph" w:customStyle="1" w:styleId="2655">
    <w:name w:val="目录1"/>
    <w:basedOn w:val="46"/>
    <w:next w:val="46"/>
    <w:autoRedefine/>
    <w:qFormat/>
    <w:uiPriority w:val="0"/>
    <w:pPr>
      <w:widowControl/>
      <w:tabs>
        <w:tab w:val="left" w:leader="dot" w:pos="8492"/>
        <w:tab w:val="right" w:leader="dot" w:pos="8525"/>
        <w:tab w:val="right" w:leader="dot" w:pos="8664"/>
      </w:tabs>
      <w:adjustRightInd w:val="0"/>
      <w:snapToGrid w:val="0"/>
      <w:spacing w:before="0" w:after="0" w:afterLines="50" w:line="400" w:lineRule="exact"/>
      <w:textAlignment w:val="baseline"/>
    </w:pPr>
    <w:rPr>
      <w:rFonts w:eastAsia="仿宋_GB2312"/>
      <w:b w:val="0"/>
      <w:bCs w:val="0"/>
      <w:color w:val="000000"/>
      <w:kern w:val="0"/>
      <w:sz w:val="24"/>
      <w:szCs w:val="21"/>
      <w:u w:val="none" w:color="000000"/>
    </w:rPr>
  </w:style>
  <w:style w:type="paragraph" w:customStyle="1" w:styleId="2656">
    <w:name w:val="样式1 + 加粗"/>
    <w:basedOn w:val="1113"/>
    <w:autoRedefine/>
    <w:qFormat/>
    <w:uiPriority w:val="0"/>
    <w:pPr>
      <w:keepNext w:val="0"/>
      <w:keepLines w:val="0"/>
      <w:spacing w:before="0" w:after="0" w:line="336" w:lineRule="auto"/>
      <w:jc w:val="both"/>
      <w:outlineLvl w:val="9"/>
    </w:pPr>
    <w:rPr>
      <w:rFonts w:eastAsia="黑体" w:asciiTheme="minorHAnsi" w:hAnsiTheme="minorHAnsi" w:cstheme="minorBidi"/>
      <w:b w:val="0"/>
      <w:kern w:val="2"/>
      <w:sz w:val="24"/>
      <w:szCs w:val="21"/>
    </w:rPr>
  </w:style>
  <w:style w:type="paragraph" w:customStyle="1" w:styleId="2657">
    <w:name w:val="目录3"/>
    <w:basedOn w:val="1"/>
    <w:next w:val="1"/>
    <w:autoRedefine/>
    <w:qFormat/>
    <w:uiPriority w:val="0"/>
    <w:pPr>
      <w:widowControl/>
      <w:tabs>
        <w:tab w:val="left" w:leader="dot" w:pos="8492"/>
      </w:tabs>
      <w:spacing w:line="748" w:lineRule="atLeast"/>
      <w:ind w:left="419" w:firstLine="419"/>
      <w:jc w:val="left"/>
    </w:pPr>
    <w:rPr>
      <w:rFonts w:eastAsia="仿宋_GB2312"/>
      <w:color w:val="000000"/>
      <w:kern w:val="0"/>
      <w:sz w:val="28"/>
      <w:szCs w:val="20"/>
      <w:u w:color="000000"/>
    </w:rPr>
  </w:style>
  <w:style w:type="paragraph" w:customStyle="1" w:styleId="2658">
    <w:name w:val="基准页脚样式"/>
    <w:basedOn w:val="34"/>
    <w:autoRedefine/>
    <w:qFormat/>
    <w:uiPriority w:val="0"/>
    <w:pPr>
      <w:spacing w:before="80" w:after="80"/>
    </w:pPr>
    <w:rPr>
      <w:rFonts w:eastAsia="仿宋_GB2312" w:cstheme="minorBidi"/>
      <w:szCs w:val="21"/>
    </w:rPr>
  </w:style>
  <w:style w:type="paragraph" w:customStyle="1" w:styleId="2659">
    <w:name w:val="Char Char Char Char Char Char Char Char Char Char Char Char Char1"/>
    <w:basedOn w:val="1"/>
    <w:autoRedefine/>
    <w:qFormat/>
    <w:uiPriority w:val="0"/>
    <w:pPr>
      <w:widowControl/>
      <w:jc w:val="left"/>
    </w:pPr>
    <w:rPr>
      <w:rFonts w:eastAsia="仿宋_GB2312" w:cs="宋体"/>
      <w:kern w:val="0"/>
      <w:szCs w:val="21"/>
    </w:rPr>
  </w:style>
  <w:style w:type="paragraph" w:customStyle="1" w:styleId="2660">
    <w:name w:val="文本匡小五号 Char"/>
    <w:autoRedefine/>
    <w:qFormat/>
    <w:uiPriority w:val="0"/>
    <w:pPr>
      <w:snapToGrid w:val="0"/>
      <w:spacing w:line="100" w:lineRule="atLeast"/>
      <w:jc w:val="center"/>
    </w:pPr>
    <w:rPr>
      <w:rFonts w:ascii="Times New Roman" w:hAnsi="Times New Roman" w:eastAsia="仿宋_GB2312" w:cs="宋体"/>
      <w:snapToGrid w:val="0"/>
      <w:sz w:val="21"/>
      <w:szCs w:val="21"/>
      <w:lang w:val="en-US" w:eastAsia="zh-CN" w:bidi="ar-SA"/>
    </w:rPr>
  </w:style>
  <w:style w:type="paragraph" w:customStyle="1" w:styleId="2661">
    <w:name w:val="文本匡小五号 Char Char"/>
    <w:autoRedefine/>
    <w:qFormat/>
    <w:uiPriority w:val="0"/>
    <w:pPr>
      <w:jc w:val="center"/>
    </w:pPr>
    <w:rPr>
      <w:rFonts w:ascii="Times New Roman" w:hAnsi="Times New Roman" w:eastAsia="仿宋_GB2312" w:cs="宋体"/>
      <w:sz w:val="18"/>
      <w:szCs w:val="24"/>
      <w:lang w:val="en-US" w:eastAsia="zh-CN" w:bidi="ar-SA"/>
    </w:rPr>
  </w:style>
  <w:style w:type="paragraph" w:customStyle="1" w:styleId="2662">
    <w:name w:val="文本框5号两端齐"/>
    <w:basedOn w:val="1"/>
    <w:autoRedefine/>
    <w:qFormat/>
    <w:uiPriority w:val="0"/>
    <w:pPr>
      <w:widowControl/>
      <w:jc w:val="left"/>
    </w:pPr>
    <w:rPr>
      <w:rFonts w:eastAsia="仿宋_GB2312"/>
      <w:sz w:val="28"/>
      <w:szCs w:val="21"/>
    </w:rPr>
  </w:style>
  <w:style w:type="paragraph" w:customStyle="1" w:styleId="2663">
    <w:name w:val="文本框文字"/>
    <w:basedOn w:val="1"/>
    <w:autoRedefine/>
    <w:qFormat/>
    <w:uiPriority w:val="0"/>
    <w:pPr>
      <w:widowControl/>
      <w:adjustRightInd w:val="0"/>
      <w:jc w:val="center"/>
      <w:textAlignment w:val="baseline"/>
    </w:pPr>
    <w:rPr>
      <w:rFonts w:eastAsia="仿宋_GB2312"/>
      <w:kern w:val="0"/>
      <w:sz w:val="28"/>
      <w:szCs w:val="20"/>
    </w:rPr>
  </w:style>
  <w:style w:type="paragraph" w:customStyle="1" w:styleId="2664">
    <w:name w:val="说明书"/>
    <w:basedOn w:val="1"/>
    <w:autoRedefine/>
    <w:qFormat/>
    <w:uiPriority w:val="0"/>
    <w:pPr>
      <w:adjustRightInd w:val="0"/>
      <w:spacing w:line="500" w:lineRule="exact"/>
      <w:ind w:firstLine="624"/>
      <w:textAlignment w:val="baseline"/>
    </w:pPr>
    <w:rPr>
      <w:rFonts w:ascii="Arial" w:hAnsi="Arial" w:eastAsia="仿宋_GB2312"/>
      <w:kern w:val="0"/>
      <w:sz w:val="28"/>
      <w:szCs w:val="20"/>
    </w:rPr>
  </w:style>
  <w:style w:type="paragraph" w:customStyle="1" w:styleId="2665">
    <w:name w:val="Char Char Char Char Char Char Char Char Char2"/>
    <w:basedOn w:val="1"/>
    <w:autoRedefine/>
    <w:qFormat/>
    <w:uiPriority w:val="0"/>
    <w:pPr>
      <w:widowControl/>
      <w:jc w:val="left"/>
    </w:pPr>
    <w:rPr>
      <w:rFonts w:eastAsia="仿宋_GB2312" w:cs="宋体"/>
      <w:kern w:val="0"/>
      <w:szCs w:val="21"/>
    </w:rPr>
  </w:style>
  <w:style w:type="paragraph" w:customStyle="1" w:styleId="2666">
    <w:name w:val="文本框五号"/>
    <w:autoRedefine/>
    <w:qFormat/>
    <w:uiPriority w:val="0"/>
    <w:pPr>
      <w:adjustRightInd w:val="0"/>
      <w:spacing w:line="240" w:lineRule="atLeast"/>
      <w:jc w:val="center"/>
    </w:pPr>
    <w:rPr>
      <w:rFonts w:ascii="Times New Roman" w:hAnsi="Times New Roman" w:eastAsia="仿宋_GB2312" w:cs="宋体"/>
      <w:snapToGrid w:val="0"/>
      <w:kern w:val="2"/>
      <w:sz w:val="21"/>
      <w:szCs w:val="21"/>
      <w:lang w:val="en-US" w:eastAsia="zh-CN" w:bidi="ar-SA"/>
    </w:rPr>
  </w:style>
  <w:style w:type="paragraph" w:customStyle="1" w:styleId="2667">
    <w:name w:val="文本框五号 Char"/>
    <w:autoRedefine/>
    <w:qFormat/>
    <w:uiPriority w:val="0"/>
    <w:pPr>
      <w:jc w:val="center"/>
    </w:pPr>
    <w:rPr>
      <w:rFonts w:ascii="Times New Roman" w:hAnsi="Times New Roman" w:eastAsia="仿宋_GB2312" w:cs="宋体"/>
      <w:kern w:val="2"/>
      <w:sz w:val="21"/>
      <w:szCs w:val="21"/>
      <w:lang w:val="en-US" w:eastAsia="zh-CN" w:bidi="ar-SA"/>
    </w:rPr>
  </w:style>
  <w:style w:type="paragraph" w:customStyle="1" w:styleId="2668">
    <w:name w:val="正文缩进5"/>
    <w:basedOn w:val="1"/>
    <w:autoRedefine/>
    <w:qFormat/>
    <w:uiPriority w:val="0"/>
    <w:pPr>
      <w:widowControl/>
      <w:adjustRightInd w:val="0"/>
      <w:ind w:firstLine="420"/>
      <w:jc w:val="left"/>
      <w:textAlignment w:val="baseline"/>
    </w:pPr>
    <w:rPr>
      <w:rFonts w:eastAsia="仿宋_GB2312"/>
      <w:szCs w:val="20"/>
    </w:rPr>
  </w:style>
  <w:style w:type="paragraph" w:customStyle="1" w:styleId="2669">
    <w:name w:val="文本框五号1.5倍行距"/>
    <w:basedOn w:val="2667"/>
    <w:autoRedefine/>
    <w:qFormat/>
    <w:uiPriority w:val="0"/>
    <w:pPr>
      <w:spacing w:line="360" w:lineRule="auto"/>
    </w:pPr>
  </w:style>
  <w:style w:type="paragraph" w:customStyle="1" w:styleId="2670">
    <w:name w:val="样式 标题 2 + 段后: 0.5 行"/>
    <w:basedOn w:val="4"/>
    <w:autoRedefine/>
    <w:qFormat/>
    <w:uiPriority w:val="0"/>
    <w:pPr>
      <w:keepNext w:val="0"/>
      <w:keepLines w:val="0"/>
      <w:tabs>
        <w:tab w:val="left" w:pos="630"/>
        <w:tab w:val="left" w:pos="840"/>
        <w:tab w:val="left" w:pos="1287"/>
        <w:tab w:val="left" w:pos="3920"/>
        <w:tab w:val="left" w:pos="5670"/>
        <w:tab w:val="clear" w:pos="1276"/>
      </w:tabs>
      <w:snapToGrid w:val="0"/>
      <w:spacing w:before="60" w:after="0" w:line="240" w:lineRule="auto"/>
      <w:ind w:left="0" w:firstLine="567"/>
      <w:contextualSpacing/>
      <w:jc w:val="both"/>
      <w:textAlignment w:val="auto"/>
    </w:pPr>
    <w:rPr>
      <w:rFonts w:ascii="Times New Roman" w:hAnsi="Times New Roman" w:eastAsia="仿宋_GB2312"/>
      <w:color w:val="000000"/>
      <w:sz w:val="30"/>
      <w:szCs w:val="32"/>
      <w:lang w:val="zh-CN"/>
    </w:rPr>
  </w:style>
  <w:style w:type="paragraph" w:customStyle="1" w:styleId="2671">
    <w:name w:val="样式 仿宋_GB2312 小四1"/>
    <w:basedOn w:val="1"/>
    <w:autoRedefine/>
    <w:qFormat/>
    <w:uiPriority w:val="0"/>
    <w:pPr>
      <w:widowControl/>
      <w:adjustRightInd w:val="0"/>
      <w:ind w:firstLine="480"/>
      <w:jc w:val="left"/>
      <w:textAlignment w:val="baseline"/>
    </w:pPr>
    <w:rPr>
      <w:rFonts w:eastAsia="仿宋_GB2312"/>
      <w:kern w:val="0"/>
      <w:szCs w:val="21"/>
    </w:rPr>
  </w:style>
  <w:style w:type="paragraph" w:customStyle="1" w:styleId="2672">
    <w:name w:val="样式 样式1 + 五号 黑色 段前: 4 磅 段后: 4 磅 行距: 单倍行距"/>
    <w:basedOn w:val="1"/>
    <w:autoRedefine/>
    <w:qFormat/>
    <w:uiPriority w:val="0"/>
    <w:pPr>
      <w:spacing w:before="80" w:after="80"/>
    </w:pPr>
    <w:rPr>
      <w:rFonts w:eastAsia="仿宋_GB2312"/>
      <w:sz w:val="28"/>
      <w:szCs w:val="21"/>
    </w:rPr>
  </w:style>
  <w:style w:type="paragraph" w:customStyle="1" w:styleId="2673">
    <w:name w:val="样式 图表 + 首行缩进:  2 字符1"/>
    <w:basedOn w:val="1"/>
    <w:autoRedefine/>
    <w:qFormat/>
    <w:uiPriority w:val="0"/>
    <w:pPr>
      <w:widowControl/>
      <w:adjustRightInd w:val="0"/>
      <w:snapToGrid w:val="0"/>
      <w:spacing w:beforeLines="20" w:afterLines="20"/>
      <w:ind w:left="-47" w:leftChars="-50" w:right="-50" w:rightChars="-50" w:hanging="3"/>
      <w:jc w:val="center"/>
    </w:pPr>
    <w:rPr>
      <w:rFonts w:eastAsia="仿宋_GB2312"/>
      <w:color w:val="000000"/>
      <w:sz w:val="28"/>
      <w:szCs w:val="21"/>
    </w:rPr>
  </w:style>
  <w:style w:type="paragraph" w:customStyle="1" w:styleId="2674">
    <w:name w:val="通用"/>
    <w:basedOn w:val="1"/>
    <w:autoRedefine/>
    <w:qFormat/>
    <w:uiPriority w:val="0"/>
    <w:pPr>
      <w:widowControl/>
      <w:spacing w:before="120" w:after="120" w:line="300" w:lineRule="exact"/>
      <w:ind w:right="216"/>
      <w:jc w:val="left"/>
    </w:pPr>
    <w:rPr>
      <w:rFonts w:ascii="Garamond" w:hAnsi="Garamond" w:eastAsia="仿宋_GB2312"/>
      <w:spacing w:val="40"/>
      <w:kern w:val="0"/>
      <w:szCs w:val="20"/>
    </w:rPr>
  </w:style>
  <w:style w:type="paragraph" w:customStyle="1" w:styleId="2675">
    <w:name w:val="样式2 Char"/>
    <w:basedOn w:val="21"/>
    <w:autoRedefine/>
    <w:qFormat/>
    <w:uiPriority w:val="0"/>
    <w:pPr>
      <w:widowControl/>
      <w:adjustRightInd w:val="0"/>
      <w:snapToGrid w:val="0"/>
      <w:ind w:firstLine="567" w:firstLineChars="0"/>
      <w:jc w:val="left"/>
      <w:textAlignment w:val="baseline"/>
    </w:pPr>
    <w:rPr>
      <w:rFonts w:eastAsia="仿宋_GB2312" w:asciiTheme="minorHAnsi" w:cstheme="minorBidi"/>
      <w:snapToGrid w:val="0"/>
      <w:szCs w:val="21"/>
    </w:rPr>
  </w:style>
  <w:style w:type="paragraph" w:customStyle="1" w:styleId="2676">
    <w:name w:val="简历头"/>
    <w:basedOn w:val="1"/>
    <w:next w:val="1"/>
    <w:autoRedefine/>
    <w:qFormat/>
    <w:uiPriority w:val="0"/>
    <w:pPr>
      <w:widowControl/>
      <w:spacing w:before="360" w:after="720"/>
      <w:ind w:left="-1803" w:right="-1077"/>
      <w:jc w:val="center"/>
    </w:pPr>
    <w:rPr>
      <w:rFonts w:ascii="Garamond" w:hAnsi="Garamond" w:eastAsia="仿宋_GB2312"/>
      <w:kern w:val="0"/>
      <w:sz w:val="48"/>
      <w:szCs w:val="20"/>
    </w:rPr>
  </w:style>
  <w:style w:type="paragraph" w:customStyle="1" w:styleId="2677">
    <w:name w:val="依据文字"/>
    <w:basedOn w:val="88"/>
    <w:autoRedefine/>
    <w:qFormat/>
    <w:uiPriority w:val="0"/>
    <w:pPr>
      <w:tabs>
        <w:tab w:val="left" w:pos="420"/>
        <w:tab w:val="left" w:pos="870"/>
        <w:tab w:val="left" w:pos="3150"/>
      </w:tabs>
      <w:autoSpaceDE w:val="0"/>
      <w:autoSpaceDN w:val="0"/>
      <w:adjustRightInd w:val="0"/>
      <w:snapToGrid w:val="0"/>
      <w:spacing w:after="0" w:line="336" w:lineRule="auto"/>
      <w:ind w:left="0" w:leftChars="0" w:firstLine="527" w:firstLineChars="0"/>
      <w:textAlignment w:val="baseline"/>
    </w:pPr>
    <w:rPr>
      <w:rFonts w:ascii="宋体" w:eastAsia="仿宋_GB2312" w:cstheme="minorBidi"/>
      <w:sz w:val="24"/>
      <w:szCs w:val="20"/>
    </w:rPr>
  </w:style>
  <w:style w:type="paragraph" w:customStyle="1" w:styleId="2678">
    <w:name w:val="Char Char1 Char Char Char Char1"/>
    <w:basedOn w:val="1"/>
    <w:autoRedefine/>
    <w:qFormat/>
    <w:uiPriority w:val="0"/>
    <w:pPr>
      <w:widowControl/>
      <w:jc w:val="left"/>
    </w:pPr>
    <w:rPr>
      <w:rFonts w:eastAsia="仿宋_GB2312"/>
      <w:szCs w:val="21"/>
    </w:rPr>
  </w:style>
  <w:style w:type="paragraph" w:customStyle="1" w:styleId="2679">
    <w:name w:val="右侧"/>
    <w:autoRedefine/>
    <w:qFormat/>
    <w:uiPriority w:val="0"/>
    <w:pPr>
      <w:spacing w:line="280" w:lineRule="exact"/>
      <w:jc w:val="right"/>
    </w:pPr>
    <w:rPr>
      <w:rFonts w:ascii="Batang" w:hAnsi="Batang" w:eastAsia="仿宋_GB2312" w:cs="宋体"/>
      <w:color w:val="000000"/>
      <w:sz w:val="18"/>
      <w:szCs w:val="21"/>
      <w:lang w:val="en-US" w:eastAsia="zh-CN" w:bidi="ar-SA"/>
    </w:rPr>
  </w:style>
  <w:style w:type="paragraph" w:customStyle="1" w:styleId="2680">
    <w:name w:val="基准脚注"/>
    <w:basedOn w:val="1"/>
    <w:autoRedefine/>
    <w:qFormat/>
    <w:uiPriority w:val="0"/>
    <w:pPr>
      <w:widowControl/>
      <w:jc w:val="left"/>
    </w:pPr>
    <w:rPr>
      <w:rFonts w:ascii="Garamond" w:hAnsi="Garamond" w:eastAsia="仿宋_GB2312"/>
      <w:kern w:val="0"/>
      <w:szCs w:val="20"/>
    </w:rPr>
  </w:style>
  <w:style w:type="paragraph" w:customStyle="1" w:styleId="2681">
    <w:name w:val="左五"/>
    <w:basedOn w:val="1"/>
    <w:autoRedefine/>
    <w:qFormat/>
    <w:uiPriority w:val="0"/>
    <w:pPr>
      <w:widowControl/>
      <w:adjustRightInd w:val="0"/>
      <w:snapToGrid w:val="0"/>
      <w:spacing w:line="280" w:lineRule="exact"/>
      <w:jc w:val="left"/>
    </w:pPr>
    <w:rPr>
      <w:rFonts w:eastAsia="仿宋_GB2312"/>
      <w:color w:val="000000"/>
      <w:sz w:val="18"/>
      <w:szCs w:val="21"/>
    </w:rPr>
  </w:style>
  <w:style w:type="paragraph" w:customStyle="1" w:styleId="2682">
    <w:name w:val="Char4 Char Char Char Char Char Char Char Char Char Char Char Char Char Char Char Char Char1 Char Char Char Char1"/>
    <w:basedOn w:val="1"/>
    <w:autoRedefine/>
    <w:qFormat/>
    <w:uiPriority w:val="0"/>
    <w:pPr>
      <w:widowControl/>
      <w:spacing w:line="240" w:lineRule="exact"/>
      <w:jc w:val="left"/>
    </w:pPr>
    <w:rPr>
      <w:rFonts w:eastAsia="仿宋_GB2312"/>
      <w:sz w:val="28"/>
      <w:szCs w:val="28"/>
    </w:rPr>
  </w:style>
  <w:style w:type="paragraph" w:customStyle="1" w:styleId="2683">
    <w:name w:val="右五"/>
    <w:basedOn w:val="2681"/>
    <w:next w:val="1"/>
    <w:autoRedefine/>
    <w:qFormat/>
    <w:uiPriority w:val="0"/>
    <w:pPr>
      <w:jc w:val="right"/>
    </w:pPr>
  </w:style>
  <w:style w:type="paragraph" w:customStyle="1" w:styleId="2684">
    <w:name w:val="湛江码头表"/>
    <w:basedOn w:val="1"/>
    <w:autoRedefine/>
    <w:qFormat/>
    <w:uiPriority w:val="0"/>
    <w:pPr>
      <w:widowControl/>
      <w:jc w:val="center"/>
    </w:pPr>
    <w:rPr>
      <w:rFonts w:eastAsia="仿宋_GB2312"/>
      <w:kern w:val="0"/>
      <w:sz w:val="28"/>
      <w:szCs w:val="21"/>
      <w:lang w:eastAsia="zh-TW"/>
    </w:rPr>
  </w:style>
  <w:style w:type="paragraph" w:customStyle="1" w:styleId="2685">
    <w:name w:val="正文单倍行距"/>
    <w:basedOn w:val="1"/>
    <w:autoRedefine/>
    <w:qFormat/>
    <w:uiPriority w:val="0"/>
    <w:pPr>
      <w:widowControl/>
      <w:tabs>
        <w:tab w:val="left" w:pos="8640"/>
      </w:tabs>
      <w:snapToGrid w:val="0"/>
      <w:jc w:val="left"/>
    </w:pPr>
    <w:rPr>
      <w:rFonts w:eastAsia="仿宋_GB2312"/>
      <w:szCs w:val="21"/>
    </w:rPr>
  </w:style>
  <w:style w:type="paragraph" w:customStyle="1" w:styleId="2686">
    <w:name w:val="正文仿宋"/>
    <w:basedOn w:val="1"/>
    <w:autoRedefine/>
    <w:qFormat/>
    <w:uiPriority w:val="0"/>
    <w:pPr>
      <w:widowControl/>
      <w:adjustRightInd w:val="0"/>
      <w:snapToGrid w:val="0"/>
      <w:ind w:firstLine="567"/>
      <w:jc w:val="left"/>
    </w:pPr>
    <w:rPr>
      <w:rFonts w:eastAsia="仿宋_GB2312"/>
      <w:snapToGrid w:val="0"/>
      <w:kern w:val="0"/>
      <w:szCs w:val="20"/>
    </w:rPr>
  </w:style>
  <w:style w:type="paragraph" w:customStyle="1" w:styleId="2687">
    <w:name w:val="Char42"/>
    <w:basedOn w:val="1"/>
    <w:autoRedefine/>
    <w:qFormat/>
    <w:uiPriority w:val="0"/>
    <w:pPr>
      <w:widowControl/>
      <w:jc w:val="left"/>
    </w:pPr>
    <w:rPr>
      <w:rFonts w:eastAsia="仿宋_GB2312" w:cs="宋体"/>
      <w:szCs w:val="21"/>
    </w:rPr>
  </w:style>
  <w:style w:type="paragraph" w:customStyle="1" w:styleId="2688">
    <w:name w:val="正文仿宋小四"/>
    <w:basedOn w:val="1"/>
    <w:autoRedefine/>
    <w:qFormat/>
    <w:uiPriority w:val="0"/>
    <w:pPr>
      <w:widowControl/>
      <w:adjustRightInd w:val="0"/>
      <w:snapToGrid w:val="0"/>
      <w:ind w:firstLine="480"/>
      <w:jc w:val="left"/>
    </w:pPr>
    <w:rPr>
      <w:rFonts w:eastAsia="仿宋_GB2312"/>
      <w:szCs w:val="21"/>
    </w:rPr>
  </w:style>
  <w:style w:type="paragraph" w:customStyle="1" w:styleId="2689">
    <w:name w:val="ch中文正文"/>
    <w:autoRedefine/>
    <w:qFormat/>
    <w:uiPriority w:val="0"/>
    <w:pPr>
      <w:spacing w:beforeLines="50" w:afterLines="50" w:line="360" w:lineRule="auto"/>
      <w:ind w:firstLine="200" w:firstLineChars="200"/>
    </w:pPr>
    <w:rPr>
      <w:rFonts w:ascii="Times New Roman" w:hAnsi="Times New Roman" w:eastAsia="仿宋_GB2312" w:cs="宋体"/>
      <w:sz w:val="24"/>
      <w:szCs w:val="21"/>
      <w:lang w:val="en-US" w:eastAsia="zh-CN" w:bidi="ar-SA"/>
    </w:rPr>
  </w:style>
  <w:style w:type="paragraph" w:customStyle="1" w:styleId="2690">
    <w:name w:val="Char Char Char Char Char Char2"/>
    <w:basedOn w:val="1"/>
    <w:autoRedefine/>
    <w:qFormat/>
    <w:uiPriority w:val="0"/>
    <w:pPr>
      <w:widowControl/>
      <w:jc w:val="left"/>
    </w:pPr>
    <w:rPr>
      <w:rFonts w:eastAsia="仿宋_GB2312"/>
      <w:szCs w:val="21"/>
    </w:rPr>
  </w:style>
  <w:style w:type="paragraph" w:customStyle="1" w:styleId="2691">
    <w:name w:val="正文首行缩进 2 + Times New Roman"/>
    <w:basedOn w:val="1"/>
    <w:autoRedefine/>
    <w:qFormat/>
    <w:uiPriority w:val="0"/>
    <w:pPr>
      <w:widowControl/>
      <w:tabs>
        <w:tab w:val="left" w:pos="0"/>
        <w:tab w:val="left" w:pos="870"/>
        <w:tab w:val="left" w:pos="3150"/>
      </w:tabs>
      <w:autoSpaceDE w:val="0"/>
      <w:autoSpaceDN w:val="0"/>
      <w:spacing w:line="312" w:lineRule="auto"/>
      <w:ind w:firstLine="480"/>
      <w:jc w:val="left"/>
    </w:pPr>
    <w:rPr>
      <w:rFonts w:eastAsia="仿宋_GB2312"/>
      <w:kern w:val="0"/>
      <w:szCs w:val="21"/>
    </w:rPr>
  </w:style>
  <w:style w:type="paragraph" w:customStyle="1" w:styleId="2692">
    <w:name w:val="Char Char Char Char Char Char Char4"/>
    <w:basedOn w:val="1"/>
    <w:autoRedefine/>
    <w:qFormat/>
    <w:uiPriority w:val="0"/>
    <w:pPr>
      <w:widowControl/>
      <w:jc w:val="left"/>
    </w:pPr>
    <w:rPr>
      <w:rFonts w:eastAsia="仿宋_GB2312"/>
      <w:szCs w:val="21"/>
    </w:rPr>
  </w:style>
  <w:style w:type="paragraph" w:customStyle="1" w:styleId="2693">
    <w:name w:val="正文图"/>
    <w:basedOn w:val="1"/>
    <w:autoRedefine/>
    <w:qFormat/>
    <w:uiPriority w:val="0"/>
    <w:pPr>
      <w:widowControl/>
      <w:adjustRightInd w:val="0"/>
      <w:snapToGrid w:val="0"/>
      <w:spacing w:before="40"/>
      <w:jc w:val="center"/>
      <w:textAlignment w:val="baseline"/>
    </w:pPr>
    <w:rPr>
      <w:rFonts w:eastAsia="仿宋_GB2312"/>
      <w:kern w:val="0"/>
      <w:szCs w:val="20"/>
    </w:rPr>
  </w:style>
  <w:style w:type="paragraph" w:customStyle="1" w:styleId="2694">
    <w:name w:val="Char Char Char2 Char Char Char Char Char Char Char Char Char Char Char Char Char Char Char Char Char Char Char Char Char Char Char Char Char Char Char Char Char Char Char Char Char Char Char Char Char Char Char Char1"/>
    <w:basedOn w:val="1"/>
    <w:autoRedefine/>
    <w:qFormat/>
    <w:uiPriority w:val="0"/>
    <w:pPr>
      <w:widowControl/>
      <w:jc w:val="left"/>
    </w:pPr>
    <w:rPr>
      <w:rFonts w:eastAsia="仿宋_GB2312"/>
      <w:szCs w:val="21"/>
    </w:rPr>
  </w:style>
  <w:style w:type="paragraph" w:customStyle="1" w:styleId="2695">
    <w:name w:val="正文图竖五"/>
    <w:basedOn w:val="1"/>
    <w:autoRedefine/>
    <w:qFormat/>
    <w:uiPriority w:val="0"/>
    <w:pPr>
      <w:widowControl/>
      <w:jc w:val="center"/>
    </w:pPr>
    <w:rPr>
      <w:rFonts w:eastAsia="仿宋_GB2312"/>
      <w:color w:val="000000"/>
      <w:kern w:val="0"/>
      <w:sz w:val="28"/>
      <w:szCs w:val="21"/>
    </w:rPr>
  </w:style>
  <w:style w:type="paragraph" w:customStyle="1" w:styleId="2696">
    <w:name w:val="Char Char Char Char1 Char Char Char Char Char Char Char Char Char Char Char Char1"/>
    <w:basedOn w:val="1"/>
    <w:autoRedefine/>
    <w:qFormat/>
    <w:uiPriority w:val="0"/>
    <w:pPr>
      <w:widowControl/>
      <w:spacing w:line="240" w:lineRule="exact"/>
      <w:jc w:val="left"/>
    </w:pPr>
    <w:rPr>
      <w:rFonts w:eastAsia="仿宋_GB2312"/>
      <w:sz w:val="28"/>
      <w:szCs w:val="28"/>
    </w:rPr>
  </w:style>
  <w:style w:type="paragraph" w:customStyle="1" w:styleId="2697">
    <w:name w:val="正文图小四"/>
    <w:basedOn w:val="1"/>
    <w:autoRedefine/>
    <w:qFormat/>
    <w:uiPriority w:val="0"/>
    <w:pPr>
      <w:widowControl/>
      <w:adjustRightInd w:val="0"/>
      <w:snapToGrid w:val="0"/>
      <w:jc w:val="center"/>
      <w:textAlignment w:val="baseline"/>
    </w:pPr>
    <w:rPr>
      <w:rFonts w:eastAsia="仿宋_GB2312"/>
      <w:kern w:val="0"/>
      <w:szCs w:val="21"/>
    </w:rPr>
  </w:style>
  <w:style w:type="paragraph" w:customStyle="1" w:styleId="2698">
    <w:name w:val="注："/>
    <w:next w:val="1"/>
    <w:autoRedefine/>
    <w:qFormat/>
    <w:uiPriority w:val="0"/>
    <w:pPr>
      <w:widowControl w:val="0"/>
      <w:tabs>
        <w:tab w:val="left" w:pos="895"/>
      </w:tabs>
      <w:autoSpaceDE w:val="0"/>
      <w:autoSpaceDN w:val="0"/>
      <w:ind w:left="895" w:hanging="420"/>
      <w:jc w:val="both"/>
    </w:pPr>
    <w:rPr>
      <w:rFonts w:ascii="宋体" w:hAnsi="Times New Roman" w:eastAsia="仿宋_GB2312" w:cs="宋体"/>
      <w:sz w:val="18"/>
      <w:szCs w:val="21"/>
      <w:lang w:val="en-US" w:eastAsia="zh-CN" w:bidi="ar-SA"/>
    </w:rPr>
  </w:style>
  <w:style w:type="paragraph" w:customStyle="1" w:styleId="2699">
    <w:name w:val="空行"/>
    <w:basedOn w:val="1"/>
    <w:autoRedefine/>
    <w:qFormat/>
    <w:uiPriority w:val="0"/>
    <w:pPr>
      <w:overflowPunct w:val="0"/>
      <w:snapToGrid w:val="0"/>
      <w:spacing w:line="220" w:lineRule="exact"/>
    </w:pPr>
    <w:rPr>
      <w:rFonts w:ascii="Arial" w:hAnsi="Arial" w:eastAsia="仿宋_GB2312"/>
      <w:kern w:val="0"/>
      <w:sz w:val="28"/>
      <w:szCs w:val="20"/>
    </w:rPr>
  </w:style>
  <w:style w:type="paragraph" w:customStyle="1" w:styleId="2700">
    <w:name w:val="左侧"/>
    <w:autoRedefine/>
    <w:qFormat/>
    <w:uiPriority w:val="0"/>
    <w:pPr>
      <w:spacing w:line="280" w:lineRule="exact"/>
      <w:jc w:val="center"/>
    </w:pPr>
    <w:rPr>
      <w:rFonts w:ascii="Batang" w:hAnsi="Batang" w:eastAsia="仿宋_GB2312" w:cs="宋体"/>
      <w:color w:val="000000"/>
      <w:sz w:val="21"/>
      <w:szCs w:val="21"/>
      <w:lang w:val="en-US" w:eastAsia="zh-CN" w:bidi="ar-SA"/>
    </w:rPr>
  </w:style>
  <w:style w:type="paragraph" w:customStyle="1" w:styleId="2701">
    <w:name w:val="表、图名宋旭峰"/>
    <w:basedOn w:val="161"/>
    <w:autoRedefine/>
    <w:qFormat/>
    <w:uiPriority w:val="0"/>
    <w:pPr>
      <w:widowControl/>
      <w:tabs>
        <w:tab w:val="left" w:pos="284"/>
      </w:tabs>
      <w:adjustRightInd/>
      <w:snapToGrid/>
      <w:spacing w:line="500" w:lineRule="exact"/>
    </w:pPr>
    <w:rPr>
      <w:rFonts w:ascii="Times New Roman" w:hAnsi="Times New Roman" w:eastAsia="仿宋_GB2312"/>
      <w:bCs/>
      <w:color w:val="000000"/>
      <w:spacing w:val="0"/>
      <w:sz w:val="28"/>
      <w:szCs w:val="21"/>
    </w:rPr>
  </w:style>
  <w:style w:type="paragraph" w:customStyle="1" w:styleId="2702">
    <w:name w:val="样式 标题 1标题 1宋旭峰标题1章节H1h11headingHeader 1st Pageh1 chapte..."/>
    <w:basedOn w:val="3"/>
    <w:autoRedefine/>
    <w:qFormat/>
    <w:uiPriority w:val="0"/>
    <w:pPr>
      <w:widowControl/>
      <w:adjustRightInd w:val="0"/>
      <w:snapToGrid w:val="0"/>
      <w:spacing w:before="0" w:after="0" w:line="240" w:lineRule="auto"/>
      <w:jc w:val="left"/>
    </w:pPr>
    <w:rPr>
      <w:rFonts w:eastAsia="黑体"/>
      <w:bCs/>
      <w:kern w:val="2"/>
      <w:sz w:val="32"/>
      <w:szCs w:val="30"/>
      <w:lang w:val="zh-CN"/>
    </w:rPr>
  </w:style>
  <w:style w:type="paragraph" w:customStyle="1" w:styleId="2703">
    <w:name w:val="puce"/>
    <w:basedOn w:val="1"/>
    <w:autoRedefine/>
    <w:qFormat/>
    <w:uiPriority w:val="0"/>
    <w:pPr>
      <w:widowControl/>
      <w:tabs>
        <w:tab w:val="left" w:pos="1114"/>
        <w:tab w:val="left" w:pos="1200"/>
      </w:tabs>
      <w:adjustRightInd w:val="0"/>
      <w:snapToGrid w:val="0"/>
      <w:ind w:firstLine="480"/>
      <w:jc w:val="left"/>
    </w:pPr>
    <w:rPr>
      <w:rFonts w:ascii="Arial" w:hAnsi="Arial" w:eastAsia="仿宋_GB2312"/>
      <w:snapToGrid w:val="0"/>
      <w:color w:val="FF00FF"/>
      <w:kern w:val="0"/>
      <w:szCs w:val="21"/>
    </w:rPr>
  </w:style>
  <w:style w:type="paragraph" w:customStyle="1" w:styleId="2704">
    <w:name w:val="Content"/>
    <w:basedOn w:val="1"/>
    <w:autoRedefine/>
    <w:qFormat/>
    <w:uiPriority w:val="0"/>
    <w:pPr>
      <w:widowControl/>
      <w:tabs>
        <w:tab w:val="left" w:pos="9480"/>
        <w:tab w:val="left" w:pos="9600"/>
      </w:tabs>
      <w:spacing w:before="120" w:after="120" w:line="240" w:lineRule="atLeast"/>
      <w:jc w:val="center"/>
    </w:pPr>
    <w:rPr>
      <w:rFonts w:ascii="Arial" w:hAnsi="Arial" w:eastAsia="仿宋_GB2312"/>
      <w:b/>
      <w:kern w:val="0"/>
      <w:sz w:val="28"/>
      <w:szCs w:val="20"/>
      <w:lang w:val="fr-FR"/>
    </w:rPr>
  </w:style>
  <w:style w:type="paragraph" w:customStyle="1" w:styleId="2705">
    <w:name w:val="tt3"/>
    <w:basedOn w:val="1"/>
    <w:autoRedefine/>
    <w:qFormat/>
    <w:uiPriority w:val="0"/>
    <w:pPr>
      <w:widowControl/>
      <w:spacing w:before="100" w:beforeAutospacing="1" w:after="100" w:afterAutospacing="1"/>
      <w:jc w:val="left"/>
    </w:pPr>
    <w:rPr>
      <w:rFonts w:eastAsia="仿宋_GB2312"/>
      <w:kern w:val="0"/>
      <w:szCs w:val="21"/>
    </w:rPr>
  </w:style>
  <w:style w:type="paragraph" w:customStyle="1" w:styleId="2706">
    <w:name w:val="couv"/>
    <w:basedOn w:val="1"/>
    <w:autoRedefine/>
    <w:qFormat/>
    <w:uiPriority w:val="0"/>
    <w:pPr>
      <w:widowControl/>
      <w:spacing w:before="120" w:after="120"/>
      <w:jc w:val="center"/>
    </w:pPr>
    <w:rPr>
      <w:rFonts w:eastAsia="仿宋_GB2312"/>
      <w:b/>
      <w:kern w:val="0"/>
      <w:sz w:val="40"/>
      <w:szCs w:val="20"/>
      <w:lang w:val="en-GB"/>
    </w:rPr>
  </w:style>
  <w:style w:type="paragraph" w:customStyle="1" w:styleId="2707">
    <w:name w:val="MG"/>
    <w:basedOn w:val="3"/>
    <w:autoRedefine/>
    <w:qFormat/>
    <w:uiPriority w:val="0"/>
    <w:pPr>
      <w:keepLines w:val="0"/>
      <w:widowControl/>
      <w:tabs>
        <w:tab w:val="left" w:pos="2260"/>
        <w:tab w:val="left" w:pos="2820"/>
        <w:tab w:val="left" w:pos="3420"/>
      </w:tabs>
      <w:adjustRightInd w:val="0"/>
      <w:snapToGrid w:val="0"/>
      <w:spacing w:before="0" w:after="0" w:line="240" w:lineRule="auto"/>
      <w:ind w:left="851" w:right="-28" w:hanging="851"/>
    </w:pPr>
    <w:rPr>
      <w:rFonts w:ascii="Arial" w:hAnsi="Arial" w:eastAsia="仿宋_GB2312"/>
      <w:kern w:val="0"/>
      <w:sz w:val="22"/>
      <w:lang w:val="en-GB"/>
    </w:rPr>
  </w:style>
  <w:style w:type="paragraph" w:customStyle="1" w:styleId="2708">
    <w:name w:val="Char Char Char Char Char Char Char Char Char Char Char Char Char Char Char1 Char Char Char Char Char Char Char Char Char Char Char Char Char1"/>
    <w:basedOn w:val="1"/>
    <w:autoRedefine/>
    <w:qFormat/>
    <w:uiPriority w:val="0"/>
    <w:pPr>
      <w:autoSpaceDE w:val="0"/>
      <w:autoSpaceDN w:val="0"/>
      <w:adjustRightInd w:val="0"/>
      <w:snapToGrid w:val="0"/>
      <w:spacing w:before="50" w:after="50" w:line="360" w:lineRule="auto"/>
      <w:ind w:firstLine="200" w:firstLineChars="200"/>
    </w:pPr>
    <w:rPr>
      <w:rFonts w:eastAsia="仿宋_GB2312"/>
      <w:color w:val="000000"/>
      <w:szCs w:val="21"/>
    </w:rPr>
  </w:style>
  <w:style w:type="paragraph" w:customStyle="1" w:styleId="2709">
    <w:name w:val="M"/>
    <w:basedOn w:val="3"/>
    <w:autoRedefine/>
    <w:qFormat/>
    <w:uiPriority w:val="0"/>
    <w:pPr>
      <w:keepLines w:val="0"/>
      <w:widowControl/>
      <w:tabs>
        <w:tab w:val="left" w:pos="2260"/>
        <w:tab w:val="left" w:pos="2820"/>
        <w:tab w:val="left" w:pos="3420"/>
      </w:tabs>
      <w:adjustRightInd w:val="0"/>
      <w:snapToGrid w:val="0"/>
      <w:spacing w:before="0" w:after="0" w:line="240" w:lineRule="auto"/>
      <w:ind w:left="851" w:right="-28" w:hanging="851"/>
    </w:pPr>
    <w:rPr>
      <w:rFonts w:ascii="Arial" w:hAnsi="Arial" w:eastAsia="仿宋_GB2312"/>
      <w:b w:val="0"/>
      <w:kern w:val="0"/>
      <w:sz w:val="22"/>
      <w:lang w:val="en-GB"/>
    </w:rPr>
  </w:style>
  <w:style w:type="paragraph" w:customStyle="1" w:styleId="2710">
    <w:name w:val="A2"/>
    <w:basedOn w:val="1"/>
    <w:autoRedefine/>
    <w:qFormat/>
    <w:uiPriority w:val="0"/>
    <w:pPr>
      <w:spacing w:line="360" w:lineRule="auto"/>
      <w:ind w:firstLine="570"/>
    </w:pPr>
    <w:rPr>
      <w:rFonts w:eastAsia="仿宋_GB2312"/>
      <w:sz w:val="30"/>
      <w:szCs w:val="21"/>
    </w:rPr>
  </w:style>
  <w:style w:type="paragraph" w:customStyle="1" w:styleId="2711">
    <w:name w:val="GM"/>
    <w:basedOn w:val="3"/>
    <w:autoRedefine/>
    <w:qFormat/>
    <w:uiPriority w:val="0"/>
    <w:pPr>
      <w:keepLines w:val="0"/>
      <w:widowControl/>
      <w:tabs>
        <w:tab w:val="left" w:pos="2260"/>
        <w:tab w:val="left" w:pos="2820"/>
        <w:tab w:val="left" w:pos="3420"/>
      </w:tabs>
      <w:adjustRightInd w:val="0"/>
      <w:snapToGrid w:val="0"/>
      <w:spacing w:before="0" w:after="0" w:line="240" w:lineRule="auto"/>
      <w:ind w:left="851" w:right="-28" w:hanging="851"/>
    </w:pPr>
    <w:rPr>
      <w:rFonts w:ascii="Arial" w:hAnsi="Arial" w:eastAsia="仿宋_GB2312"/>
      <w:kern w:val="0"/>
      <w:sz w:val="22"/>
      <w:lang w:val="en-GB"/>
    </w:rPr>
  </w:style>
  <w:style w:type="paragraph" w:customStyle="1" w:styleId="2712">
    <w:name w:val="正"/>
    <w:basedOn w:val="1"/>
    <w:autoRedefine/>
    <w:qFormat/>
    <w:uiPriority w:val="0"/>
    <w:pPr>
      <w:ind w:firstLine="150" w:firstLineChars="150"/>
    </w:pPr>
    <w:rPr>
      <w:rFonts w:eastAsia="仿宋_GB2312"/>
      <w:szCs w:val="21"/>
    </w:rPr>
  </w:style>
  <w:style w:type="paragraph" w:customStyle="1" w:styleId="2713">
    <w:name w:val="Texte"/>
    <w:basedOn w:val="1"/>
    <w:autoRedefine/>
    <w:qFormat/>
    <w:uiPriority w:val="0"/>
    <w:pPr>
      <w:widowControl/>
      <w:spacing w:before="120" w:after="120"/>
      <w:ind w:left="851"/>
      <w:jc w:val="left"/>
    </w:pPr>
    <w:rPr>
      <w:rFonts w:ascii="Arial" w:hAnsi="Arial" w:eastAsia="仿宋_GB2312"/>
      <w:kern w:val="0"/>
      <w:sz w:val="22"/>
      <w:szCs w:val="20"/>
      <w:lang w:val="en-GB"/>
    </w:rPr>
  </w:style>
  <w:style w:type="paragraph" w:customStyle="1" w:styleId="2714">
    <w:name w:val="ENUM"/>
    <w:basedOn w:val="1"/>
    <w:autoRedefine/>
    <w:qFormat/>
    <w:uiPriority w:val="0"/>
    <w:pPr>
      <w:widowControl/>
      <w:tabs>
        <w:tab w:val="left" w:pos="840"/>
        <w:tab w:val="left" w:pos="1418"/>
      </w:tabs>
      <w:spacing w:before="60" w:after="60"/>
      <w:ind w:left="1418" w:hanging="284"/>
      <w:jc w:val="left"/>
    </w:pPr>
    <w:rPr>
      <w:rFonts w:ascii="Arial" w:hAnsi="Arial" w:eastAsia="仿宋_GB2312"/>
      <w:kern w:val="0"/>
      <w:sz w:val="22"/>
      <w:szCs w:val="20"/>
      <w:lang w:val="en-GB"/>
    </w:rPr>
  </w:style>
  <w:style w:type="paragraph" w:customStyle="1" w:styleId="2715">
    <w:name w:val="样式 标题 2第一章 标题 2Heading 2 HiddenHeading 2 CCBSheading 2H2h2...3"/>
    <w:basedOn w:val="4"/>
    <w:autoRedefine/>
    <w:qFormat/>
    <w:uiPriority w:val="0"/>
    <w:pPr>
      <w:keepNext w:val="0"/>
      <w:keepLines w:val="0"/>
      <w:tabs>
        <w:tab w:val="clear" w:pos="1276"/>
      </w:tabs>
      <w:adjustRightInd/>
      <w:spacing w:before="0" w:after="0" w:line="500" w:lineRule="exact"/>
      <w:ind w:left="0"/>
      <w:contextualSpacing/>
      <w:jc w:val="both"/>
      <w:textAlignment w:val="auto"/>
    </w:pPr>
    <w:rPr>
      <w:rFonts w:ascii="Times New Roman" w:hAnsi="Times New Roman" w:eastAsia="仿宋_GB2312" w:cs="宋体"/>
      <w:lang w:val="zh-CN"/>
    </w:rPr>
  </w:style>
  <w:style w:type="paragraph" w:customStyle="1" w:styleId="2716">
    <w:name w:val="標準インデント　2"/>
    <w:basedOn w:val="21"/>
    <w:autoRedefine/>
    <w:qFormat/>
    <w:uiPriority w:val="0"/>
    <w:pPr>
      <w:widowControl/>
      <w:overflowPunct w:val="0"/>
      <w:autoSpaceDE w:val="0"/>
      <w:autoSpaceDN w:val="0"/>
      <w:adjustRightInd w:val="0"/>
      <w:ind w:left="2900" w:hanging="2038" w:firstLineChars="0"/>
      <w:jc w:val="left"/>
      <w:textAlignment w:val="baseline"/>
    </w:pPr>
    <w:rPr>
      <w:rFonts w:eastAsia="MS Mincho" w:asciiTheme="minorHAnsi" w:cstheme="minorBidi"/>
      <w:sz w:val="20"/>
      <w:szCs w:val="22"/>
      <w:lang w:eastAsia="ja-JP"/>
    </w:rPr>
  </w:style>
  <w:style w:type="paragraph" w:customStyle="1" w:styleId="2717">
    <w:name w:val="——"/>
    <w:basedOn w:val="2713"/>
    <w:autoRedefine/>
    <w:qFormat/>
    <w:uiPriority w:val="0"/>
    <w:pPr>
      <w:ind w:left="0" w:firstLine="300" w:firstLineChars="300"/>
    </w:pPr>
  </w:style>
  <w:style w:type="paragraph" w:customStyle="1" w:styleId="2718">
    <w:name w:val="标-4"/>
    <w:basedOn w:val="1"/>
    <w:autoRedefine/>
    <w:qFormat/>
    <w:uiPriority w:val="0"/>
    <w:pPr>
      <w:widowControl/>
      <w:spacing w:before="120"/>
      <w:ind w:left="851" w:hanging="851"/>
      <w:jc w:val="left"/>
    </w:pPr>
    <w:rPr>
      <w:rFonts w:eastAsia="仿宋_GB2312"/>
      <w:szCs w:val="20"/>
    </w:rPr>
  </w:style>
  <w:style w:type="paragraph" w:customStyle="1" w:styleId="2719">
    <w:name w:val="xl178"/>
    <w:basedOn w:val="1"/>
    <w:autoRedefine/>
    <w:qFormat/>
    <w:uiPriority w:val="0"/>
    <w:pPr>
      <w:widowControl/>
      <w:spacing w:before="100" w:beforeAutospacing="1" w:after="100" w:afterAutospacing="1"/>
      <w:jc w:val="center"/>
    </w:pPr>
    <w:rPr>
      <w:rFonts w:ascii="Arial Unicode MS" w:hAnsi="Arial Unicode MS" w:eastAsia="仿宋_GB2312"/>
      <w:kern w:val="0"/>
      <w:sz w:val="12"/>
      <w:szCs w:val="12"/>
    </w:rPr>
  </w:style>
  <w:style w:type="paragraph" w:customStyle="1" w:styleId="2720">
    <w:name w:val="xl17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仿宋_GB2312"/>
      <w:kern w:val="0"/>
      <w:sz w:val="16"/>
      <w:szCs w:val="16"/>
    </w:rPr>
  </w:style>
  <w:style w:type="paragraph" w:customStyle="1" w:styleId="2721">
    <w:name w:val="样式 正文(首行缩进) + 8 磅 加粗 首行缩进:  2 字符"/>
    <w:basedOn w:val="1"/>
    <w:autoRedefine/>
    <w:qFormat/>
    <w:uiPriority w:val="0"/>
    <w:pPr>
      <w:widowControl/>
      <w:adjustRightInd w:val="0"/>
      <w:snapToGrid w:val="0"/>
      <w:jc w:val="left"/>
    </w:pPr>
    <w:rPr>
      <w:rFonts w:eastAsia="仿宋_GB2312" w:cs="宋体"/>
      <w:b/>
      <w:bCs/>
      <w:snapToGrid w:val="0"/>
      <w:kern w:val="0"/>
      <w:sz w:val="16"/>
      <w:szCs w:val="20"/>
    </w:rPr>
  </w:style>
  <w:style w:type="paragraph" w:customStyle="1" w:styleId="2722">
    <w:name w:val="xl180"/>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仿宋_GB2312"/>
      <w:kern w:val="0"/>
      <w:sz w:val="16"/>
      <w:szCs w:val="16"/>
    </w:rPr>
  </w:style>
  <w:style w:type="paragraph" w:customStyle="1" w:styleId="2723">
    <w:name w:val="样式 标题 2标题21.1H2h2第一层条2Header 2nd PageA.B.C.h2 main head..."/>
    <w:basedOn w:val="4"/>
    <w:autoRedefine/>
    <w:qFormat/>
    <w:uiPriority w:val="0"/>
    <w:pPr>
      <w:keepNext w:val="0"/>
      <w:keepLines w:val="0"/>
      <w:tabs>
        <w:tab w:val="clear" w:pos="1276"/>
      </w:tabs>
      <w:adjustRightInd/>
      <w:snapToGrid w:val="0"/>
      <w:spacing w:before="0" w:after="0" w:line="500" w:lineRule="exact"/>
      <w:ind w:left="0"/>
      <w:contextualSpacing/>
      <w:jc w:val="both"/>
      <w:textAlignment w:val="auto"/>
    </w:pPr>
    <w:rPr>
      <w:rFonts w:ascii="Times New Roman" w:hAnsi="Times New Roman"/>
      <w:sz w:val="30"/>
      <w:szCs w:val="30"/>
      <w:lang w:val="zh-CN"/>
    </w:rPr>
  </w:style>
  <w:style w:type="paragraph" w:customStyle="1" w:styleId="2724">
    <w:name w:val="xl18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仿宋_GB2312"/>
      <w:kern w:val="0"/>
      <w:sz w:val="16"/>
      <w:szCs w:val="16"/>
    </w:rPr>
  </w:style>
  <w:style w:type="paragraph" w:customStyle="1" w:styleId="2725">
    <w:name w:val="样式 标题 1 + 行距: 1.5 倍行距"/>
    <w:basedOn w:val="3"/>
    <w:autoRedefine/>
    <w:qFormat/>
    <w:uiPriority w:val="0"/>
    <w:pPr>
      <w:pageBreakBefore/>
      <w:tabs>
        <w:tab w:val="left" w:pos="0"/>
      </w:tabs>
      <w:autoSpaceDE w:val="0"/>
      <w:autoSpaceDN w:val="0"/>
      <w:adjustRightInd w:val="0"/>
      <w:spacing w:before="0" w:beforeLines="100" w:after="0" w:line="360" w:lineRule="auto"/>
      <w:ind w:left="572" w:hanging="567"/>
      <w:jc w:val="center"/>
      <w:textAlignment w:val="baseline"/>
    </w:pPr>
    <w:rPr>
      <w:rFonts w:eastAsia="黑体" w:cs="宋体"/>
      <w:b w:val="0"/>
      <w:snapToGrid w:val="0"/>
      <w:spacing w:val="10"/>
      <w:sz w:val="36"/>
      <w:lang w:val="zh-CN"/>
    </w:rPr>
  </w:style>
  <w:style w:type="paragraph" w:customStyle="1" w:styleId="2726">
    <w:name w:val="样式 正文(首行缩进) + 8 磅 加粗 首行缩进:  2 字符1"/>
    <w:basedOn w:val="1"/>
    <w:autoRedefine/>
    <w:qFormat/>
    <w:uiPriority w:val="0"/>
    <w:pPr>
      <w:widowControl/>
      <w:adjustRightInd w:val="0"/>
      <w:snapToGrid w:val="0"/>
      <w:jc w:val="left"/>
    </w:pPr>
    <w:rPr>
      <w:rFonts w:eastAsia="仿宋_GB2312" w:cs="宋体"/>
      <w:b/>
      <w:bCs/>
      <w:snapToGrid w:val="0"/>
      <w:kern w:val="0"/>
      <w:sz w:val="16"/>
      <w:szCs w:val="20"/>
    </w:rPr>
  </w:style>
  <w:style w:type="paragraph" w:customStyle="1" w:styleId="2727">
    <w:name w:val="xl18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仿宋_GB2312"/>
      <w:kern w:val="0"/>
      <w:sz w:val="16"/>
      <w:szCs w:val="16"/>
    </w:rPr>
  </w:style>
  <w:style w:type="paragraph" w:customStyle="1" w:styleId="2728">
    <w:name w:val="正文样式1"/>
    <w:basedOn w:val="1"/>
    <w:autoRedefine/>
    <w:qFormat/>
    <w:uiPriority w:val="0"/>
    <w:pPr>
      <w:widowControl/>
      <w:adjustRightInd w:val="0"/>
      <w:spacing w:line="400" w:lineRule="atLeast"/>
      <w:ind w:firstLine="454"/>
      <w:jc w:val="left"/>
      <w:textAlignment w:val="baseline"/>
    </w:pPr>
    <w:rPr>
      <w:rFonts w:eastAsia="仿宋_GB2312"/>
      <w:b/>
      <w:kern w:val="24"/>
      <w:szCs w:val="20"/>
    </w:rPr>
  </w:style>
  <w:style w:type="paragraph" w:customStyle="1" w:styleId="2729">
    <w:name w:val="xl18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仿宋_GB2312"/>
      <w:kern w:val="0"/>
      <w:sz w:val="16"/>
      <w:szCs w:val="16"/>
    </w:rPr>
  </w:style>
  <w:style w:type="paragraph" w:customStyle="1" w:styleId="2730">
    <w:name w:val="标题样式2"/>
    <w:basedOn w:val="1"/>
    <w:autoRedefine/>
    <w:qFormat/>
    <w:uiPriority w:val="0"/>
    <w:pPr>
      <w:widowControl/>
      <w:adjustRightInd w:val="0"/>
      <w:spacing w:line="480" w:lineRule="atLeast"/>
      <w:jc w:val="left"/>
      <w:textAlignment w:val="baseline"/>
    </w:pPr>
    <w:rPr>
      <w:rFonts w:ascii="新宋体" w:hAnsi="新宋体" w:eastAsia="仿宋_GB2312"/>
      <w:kern w:val="0"/>
      <w:sz w:val="28"/>
      <w:szCs w:val="20"/>
    </w:rPr>
  </w:style>
  <w:style w:type="paragraph" w:customStyle="1" w:styleId="2731">
    <w:name w:val="xl18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仿宋_GB2312"/>
      <w:kern w:val="0"/>
      <w:sz w:val="16"/>
      <w:szCs w:val="16"/>
    </w:rPr>
  </w:style>
  <w:style w:type="paragraph" w:customStyle="1" w:styleId="2732">
    <w:name w:val="正文样式一"/>
    <w:basedOn w:val="1"/>
    <w:autoRedefine/>
    <w:qFormat/>
    <w:uiPriority w:val="0"/>
    <w:pPr>
      <w:widowControl/>
      <w:adjustRightInd w:val="0"/>
      <w:spacing w:line="400" w:lineRule="atLeast"/>
      <w:ind w:firstLine="510"/>
      <w:jc w:val="left"/>
      <w:textAlignment w:val="baseline"/>
    </w:pPr>
    <w:rPr>
      <w:rFonts w:eastAsia="仿宋_GB2312"/>
      <w:kern w:val="0"/>
      <w:szCs w:val="20"/>
    </w:rPr>
  </w:style>
  <w:style w:type="paragraph" w:customStyle="1" w:styleId="2733">
    <w:name w:val="xl185"/>
    <w:basedOn w:val="1"/>
    <w:autoRedefine/>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eastAsia="仿宋_GB2312"/>
      <w:kern w:val="0"/>
      <w:sz w:val="12"/>
      <w:szCs w:val="12"/>
    </w:rPr>
  </w:style>
  <w:style w:type="paragraph" w:customStyle="1" w:styleId="2734">
    <w:name w:val="图表名"/>
    <w:basedOn w:val="1"/>
    <w:autoRedefine/>
    <w:qFormat/>
    <w:uiPriority w:val="0"/>
    <w:pPr>
      <w:widowControl/>
      <w:adjustRightInd w:val="0"/>
      <w:snapToGrid w:val="0"/>
      <w:jc w:val="center"/>
    </w:pPr>
    <w:rPr>
      <w:rFonts w:eastAsia="黑体"/>
      <w:snapToGrid w:val="0"/>
      <w:color w:val="000000"/>
      <w:kern w:val="0"/>
      <w:sz w:val="28"/>
      <w:szCs w:val="28"/>
    </w:rPr>
  </w:style>
  <w:style w:type="paragraph" w:customStyle="1" w:styleId="2735">
    <w:name w:val="xl18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仿宋_GB2312"/>
      <w:kern w:val="0"/>
      <w:sz w:val="16"/>
      <w:szCs w:val="16"/>
    </w:rPr>
  </w:style>
  <w:style w:type="paragraph" w:customStyle="1" w:styleId="2736">
    <w:name w:val="样式 样式 标题 3 + 段前: 0.5 行 + 段前: 1 行 行距: 单倍行距"/>
    <w:basedOn w:val="2737"/>
    <w:autoRedefine/>
    <w:qFormat/>
    <w:uiPriority w:val="0"/>
    <w:pPr>
      <w:keepNext w:val="0"/>
      <w:widowControl w:val="0"/>
      <w:tabs>
        <w:tab w:val="left" w:pos="1080"/>
        <w:tab w:val="left" w:pos="7088"/>
      </w:tabs>
      <w:suppressAutoHyphens w:val="0"/>
      <w:autoSpaceDE w:val="0"/>
      <w:autoSpaceDN w:val="0"/>
      <w:snapToGrid w:val="0"/>
      <w:spacing w:beforeLines="100" w:line="360" w:lineRule="auto"/>
      <w:ind w:left="227" w:hanging="227"/>
      <w:textAlignment w:val="baseline"/>
    </w:pPr>
    <w:rPr>
      <w:rFonts w:eastAsia="黑体"/>
      <w:bCs w:val="0"/>
      <w:snapToGrid w:val="0"/>
      <w:kern w:val="0"/>
    </w:rPr>
  </w:style>
  <w:style w:type="paragraph" w:customStyle="1" w:styleId="2737">
    <w:name w:val="样式 标题 3 + 段前: 0.5 行"/>
    <w:basedOn w:val="5"/>
    <w:autoRedefine/>
    <w:qFormat/>
    <w:uiPriority w:val="0"/>
    <w:pPr>
      <w:keepLines w:val="0"/>
      <w:widowControl/>
      <w:tabs>
        <w:tab w:val="left" w:pos="7088"/>
      </w:tabs>
      <w:suppressAutoHyphens/>
      <w:adjustRightInd w:val="0"/>
      <w:spacing w:beforeLines="50" w:after="0" w:line="500" w:lineRule="exact"/>
      <w:jc w:val="left"/>
    </w:pPr>
    <w:rPr>
      <w:rFonts w:ascii="Times New Roman" w:hAnsi="Times New Roman" w:eastAsia="仿宋_GB2312" w:cs="宋体"/>
      <w:b w:val="0"/>
      <w:kern w:val="24"/>
      <w:sz w:val="30"/>
      <w:szCs w:val="20"/>
      <w:lang w:val="zh-CN"/>
    </w:rPr>
  </w:style>
  <w:style w:type="paragraph" w:customStyle="1" w:styleId="2738">
    <w:name w:val="样式 样式 表格 + (符号) 宋体 五号 居中 + 小五"/>
    <w:basedOn w:val="1"/>
    <w:autoRedefine/>
    <w:qFormat/>
    <w:uiPriority w:val="0"/>
    <w:pPr>
      <w:widowControl/>
      <w:kinsoku w:val="0"/>
      <w:overflowPunct w:val="0"/>
      <w:adjustRightInd w:val="0"/>
      <w:snapToGrid w:val="0"/>
      <w:jc w:val="center"/>
    </w:pPr>
    <w:rPr>
      <w:rFonts w:eastAsia="仿宋_GB2312"/>
      <w:snapToGrid w:val="0"/>
      <w:kern w:val="0"/>
      <w:sz w:val="18"/>
      <w:szCs w:val="21"/>
    </w:rPr>
  </w:style>
  <w:style w:type="paragraph" w:customStyle="1" w:styleId="2739">
    <w:name w:val="xl18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仿宋_GB2312"/>
      <w:kern w:val="0"/>
      <w:sz w:val="16"/>
      <w:szCs w:val="16"/>
    </w:rPr>
  </w:style>
  <w:style w:type="paragraph" w:customStyle="1" w:styleId="2740">
    <w:name w:val="样式 表格 + 居中"/>
    <w:basedOn w:val="1"/>
    <w:autoRedefine/>
    <w:qFormat/>
    <w:uiPriority w:val="0"/>
    <w:pPr>
      <w:widowControl/>
      <w:kinsoku w:val="0"/>
      <w:overflowPunct w:val="0"/>
      <w:adjustRightInd w:val="0"/>
      <w:snapToGrid w:val="0"/>
      <w:jc w:val="center"/>
    </w:pPr>
    <w:rPr>
      <w:rFonts w:eastAsia="仿宋_GB2312"/>
      <w:snapToGrid w:val="0"/>
      <w:color w:val="000000"/>
      <w:kern w:val="0"/>
      <w:szCs w:val="21"/>
    </w:rPr>
  </w:style>
  <w:style w:type="paragraph" w:customStyle="1" w:styleId="2741">
    <w:name w:val="xl188"/>
    <w:basedOn w:val="1"/>
    <w:autoRedefine/>
    <w:qFormat/>
    <w:uiPriority w:val="0"/>
    <w:pPr>
      <w:widowControl/>
      <w:spacing w:before="100" w:beforeAutospacing="1" w:after="100" w:afterAutospacing="1"/>
      <w:jc w:val="left"/>
      <w:textAlignment w:val="center"/>
    </w:pPr>
    <w:rPr>
      <w:rFonts w:eastAsia="仿宋_GB2312"/>
      <w:kern w:val="0"/>
      <w:sz w:val="12"/>
      <w:szCs w:val="12"/>
    </w:rPr>
  </w:style>
  <w:style w:type="paragraph" w:customStyle="1" w:styleId="2742">
    <w:name w:val="样式 标题 3 + 段前: 1 行 行距: 单倍行距"/>
    <w:basedOn w:val="5"/>
    <w:autoRedefine/>
    <w:qFormat/>
    <w:uiPriority w:val="0"/>
    <w:pPr>
      <w:keepNext w:val="0"/>
      <w:keepLines w:val="0"/>
      <w:tabs>
        <w:tab w:val="left" w:pos="720"/>
        <w:tab w:val="left" w:pos="1085"/>
        <w:tab w:val="left" w:pos="7088"/>
      </w:tabs>
      <w:autoSpaceDE w:val="0"/>
      <w:autoSpaceDN w:val="0"/>
      <w:adjustRightInd w:val="0"/>
      <w:snapToGrid w:val="0"/>
      <w:spacing w:beforeLines="100" w:after="0" w:line="360" w:lineRule="auto"/>
      <w:ind w:left="232" w:hanging="227"/>
      <w:jc w:val="left"/>
      <w:textAlignment w:val="baseline"/>
    </w:pPr>
    <w:rPr>
      <w:rFonts w:ascii="Times New Roman" w:hAnsi="Times New Roman" w:eastAsia="黑体" w:cs="宋体"/>
      <w:b w:val="0"/>
      <w:bCs w:val="0"/>
      <w:snapToGrid w:val="0"/>
      <w:kern w:val="0"/>
      <w:sz w:val="30"/>
      <w:szCs w:val="20"/>
      <w:lang w:val="zh-CN"/>
    </w:rPr>
  </w:style>
  <w:style w:type="paragraph" w:customStyle="1" w:styleId="2743">
    <w:name w:val="注×："/>
    <w:autoRedefine/>
    <w:qFormat/>
    <w:uiPriority w:val="0"/>
    <w:pPr>
      <w:widowControl w:val="0"/>
      <w:tabs>
        <w:tab w:val="left" w:pos="630"/>
        <w:tab w:val="left" w:pos="900"/>
      </w:tabs>
      <w:autoSpaceDE w:val="0"/>
      <w:autoSpaceDN w:val="0"/>
      <w:ind w:left="900" w:hanging="420"/>
      <w:jc w:val="both"/>
    </w:pPr>
    <w:rPr>
      <w:rFonts w:ascii="宋体" w:hAnsi="Times New Roman" w:eastAsia="仿宋_GB2312" w:cs="宋体"/>
      <w:sz w:val="18"/>
      <w:szCs w:val="21"/>
      <w:lang w:val="en-US" w:eastAsia="zh-CN" w:bidi="ar-SA"/>
    </w:rPr>
  </w:style>
  <w:style w:type="paragraph" w:customStyle="1" w:styleId="2744">
    <w:name w:val="xl189"/>
    <w:basedOn w:val="1"/>
    <w:autoRedefine/>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eastAsia="仿宋_GB2312"/>
      <w:kern w:val="0"/>
      <w:sz w:val="28"/>
      <w:szCs w:val="21"/>
    </w:rPr>
  </w:style>
  <w:style w:type="paragraph" w:customStyle="1" w:styleId="2745">
    <w:name w:val="样式 标题 3 + 段前: 1 行 行距: 单倍行距1"/>
    <w:basedOn w:val="5"/>
    <w:autoRedefine/>
    <w:qFormat/>
    <w:uiPriority w:val="0"/>
    <w:pPr>
      <w:keepNext w:val="0"/>
      <w:keepLines w:val="0"/>
      <w:tabs>
        <w:tab w:val="left" w:pos="720"/>
        <w:tab w:val="left" w:pos="1085"/>
        <w:tab w:val="left" w:pos="7088"/>
      </w:tabs>
      <w:autoSpaceDE w:val="0"/>
      <w:autoSpaceDN w:val="0"/>
      <w:adjustRightInd w:val="0"/>
      <w:snapToGrid w:val="0"/>
      <w:spacing w:beforeLines="100" w:after="0" w:line="360" w:lineRule="auto"/>
      <w:ind w:left="232" w:hanging="227"/>
      <w:jc w:val="left"/>
      <w:textAlignment w:val="baseline"/>
    </w:pPr>
    <w:rPr>
      <w:rFonts w:ascii="Times New Roman" w:hAnsi="Times New Roman" w:eastAsia="黑体" w:cs="宋体"/>
      <w:b w:val="0"/>
      <w:bCs w:val="0"/>
      <w:snapToGrid w:val="0"/>
      <w:kern w:val="0"/>
      <w:sz w:val="30"/>
      <w:szCs w:val="20"/>
      <w:lang w:val="zh-CN"/>
    </w:rPr>
  </w:style>
  <w:style w:type="paragraph" w:customStyle="1" w:styleId="2746">
    <w:name w:val="Char 正文"/>
    <w:basedOn w:val="3"/>
    <w:autoRedefine/>
    <w:qFormat/>
    <w:uiPriority w:val="0"/>
    <w:pPr>
      <w:widowControl/>
      <w:adjustRightInd w:val="0"/>
      <w:snapToGrid w:val="0"/>
      <w:spacing w:before="0" w:after="0" w:line="348" w:lineRule="auto"/>
    </w:pPr>
    <w:rPr>
      <w:rFonts w:ascii="Tahoma" w:hAnsi="Tahoma" w:eastAsia="仿宋_GB2312"/>
      <w:sz w:val="24"/>
      <w:lang w:val="zh-CN"/>
    </w:rPr>
  </w:style>
  <w:style w:type="paragraph" w:customStyle="1" w:styleId="2747">
    <w:name w:val="xl190"/>
    <w:basedOn w:val="1"/>
    <w:autoRedefine/>
    <w:qFormat/>
    <w:uiPriority w:val="0"/>
    <w:pPr>
      <w:widowControl/>
      <w:pBdr>
        <w:top w:val="single" w:color="auto" w:sz="12" w:space="0"/>
      </w:pBdr>
      <w:spacing w:before="100" w:beforeAutospacing="1" w:after="100" w:afterAutospacing="1"/>
      <w:jc w:val="left"/>
      <w:textAlignment w:val="center"/>
    </w:pPr>
    <w:rPr>
      <w:rFonts w:ascii="Arial Unicode MS" w:hAnsi="Arial Unicode MS" w:eastAsia="仿宋_GB2312"/>
      <w:kern w:val="0"/>
      <w:sz w:val="12"/>
      <w:szCs w:val="12"/>
    </w:rPr>
  </w:style>
  <w:style w:type="paragraph" w:customStyle="1" w:styleId="2748">
    <w:name w:val="样式 样式 标题4 + 段前: 0.25 行 行距: 单倍行距 + 段前: 0.5 行1"/>
    <w:basedOn w:val="2310"/>
    <w:autoRedefine/>
    <w:qFormat/>
    <w:uiPriority w:val="0"/>
    <w:pPr>
      <w:tabs>
        <w:tab w:val="left" w:pos="2315"/>
      </w:tabs>
      <w:ind w:left="1405"/>
    </w:pPr>
  </w:style>
  <w:style w:type="paragraph" w:customStyle="1" w:styleId="2749">
    <w:name w:val="xl198"/>
    <w:basedOn w:val="1"/>
    <w:autoRedefine/>
    <w:qFormat/>
    <w:uiPriority w:val="0"/>
    <w:pPr>
      <w:widowControl/>
      <w:pBdr>
        <w:bottom w:val="single" w:color="auto" w:sz="8" w:space="0"/>
      </w:pBdr>
      <w:spacing w:before="100" w:beforeAutospacing="1" w:after="100" w:afterAutospacing="1"/>
      <w:jc w:val="center"/>
    </w:pPr>
    <w:rPr>
      <w:rFonts w:ascii="Arial Unicode MS" w:hAnsi="Arial Unicode MS" w:eastAsia="仿宋_GB2312"/>
      <w:kern w:val="0"/>
      <w:sz w:val="16"/>
      <w:szCs w:val="16"/>
    </w:rPr>
  </w:style>
  <w:style w:type="paragraph" w:customStyle="1" w:styleId="2750">
    <w:name w:val="1级标题"/>
    <w:basedOn w:val="3"/>
    <w:autoRedefine/>
    <w:qFormat/>
    <w:uiPriority w:val="0"/>
    <w:pPr>
      <w:keepNext w:val="0"/>
      <w:keepLines w:val="0"/>
      <w:widowControl/>
      <w:adjustRightInd w:val="0"/>
      <w:snapToGrid w:val="0"/>
      <w:spacing w:before="0" w:after="0" w:line="240" w:lineRule="auto"/>
    </w:pPr>
    <w:rPr>
      <w:rFonts w:ascii="黑体" w:eastAsia="黑体"/>
      <w:b w:val="0"/>
      <w:bCs/>
      <w:sz w:val="32"/>
      <w:szCs w:val="30"/>
      <w:lang w:val="zh-CN"/>
    </w:rPr>
  </w:style>
  <w:style w:type="paragraph" w:customStyle="1" w:styleId="2751">
    <w:name w:val="样式 样式 样式 标题4 + 段前: 0.5 行 + 段前: 0.5 行 + 段前: 0.5 行"/>
    <w:basedOn w:val="1"/>
    <w:autoRedefine/>
    <w:qFormat/>
    <w:uiPriority w:val="0"/>
    <w:pPr>
      <w:tabs>
        <w:tab w:val="left" w:pos="1080"/>
        <w:tab w:val="left" w:pos="3450"/>
      </w:tabs>
      <w:autoSpaceDE w:val="0"/>
      <w:autoSpaceDN w:val="0"/>
      <w:adjustRightInd w:val="0"/>
      <w:snapToGrid w:val="0"/>
      <w:spacing w:beforeLines="50" w:line="360" w:lineRule="auto"/>
      <w:ind w:left="170" w:hanging="1405"/>
      <w:jc w:val="left"/>
      <w:textAlignment w:val="baseline"/>
      <w:outlineLvl w:val="3"/>
    </w:pPr>
    <w:rPr>
      <w:rFonts w:eastAsia="黑体" w:cs="宋体"/>
      <w:snapToGrid w:val="0"/>
      <w:kern w:val="0"/>
      <w:sz w:val="28"/>
      <w:szCs w:val="20"/>
    </w:rPr>
  </w:style>
  <w:style w:type="paragraph" w:customStyle="1" w:styleId="2752">
    <w:name w:val="2级标题"/>
    <w:basedOn w:val="4"/>
    <w:autoRedefine/>
    <w:qFormat/>
    <w:uiPriority w:val="0"/>
    <w:pPr>
      <w:keepNext w:val="0"/>
      <w:keepLines w:val="0"/>
      <w:tabs>
        <w:tab w:val="left" w:pos="3564"/>
        <w:tab w:val="clear" w:pos="1276"/>
      </w:tabs>
      <w:snapToGrid w:val="0"/>
      <w:spacing w:before="50" w:after="0" w:line="500" w:lineRule="exact"/>
      <w:ind w:left="0"/>
      <w:contextualSpacing/>
      <w:jc w:val="both"/>
      <w:textAlignment w:val="auto"/>
    </w:pPr>
    <w:rPr>
      <w:rFonts w:ascii="黑体" w:hAnsi="Times New Roman"/>
      <w:b w:val="0"/>
      <w:snapToGrid w:val="0"/>
      <w:kern w:val="0"/>
      <w:sz w:val="30"/>
      <w:szCs w:val="28"/>
      <w:lang w:val="zh-CN"/>
    </w:rPr>
  </w:style>
  <w:style w:type="paragraph" w:customStyle="1" w:styleId="2753">
    <w:name w:val="高表内"/>
    <w:basedOn w:val="45"/>
    <w:autoRedefine/>
    <w:qFormat/>
    <w:uiPriority w:val="0"/>
    <w:pPr>
      <w:autoSpaceDE w:val="0"/>
      <w:snapToGrid w:val="0"/>
      <w:spacing w:before="0" w:line="240" w:lineRule="auto"/>
      <w:jc w:val="center"/>
    </w:pPr>
    <w:rPr>
      <w:rFonts w:ascii="Arial" w:hAnsi="Arial" w:eastAsia="楷体_GB2312" w:cstheme="minorBidi"/>
      <w:spacing w:val="0"/>
      <w:kern w:val="2"/>
      <w:szCs w:val="24"/>
    </w:rPr>
  </w:style>
  <w:style w:type="paragraph" w:customStyle="1" w:styleId="2754">
    <w:name w:val="2 Char Char Char Char Char Char Char Char Char Char"/>
    <w:basedOn w:val="1"/>
    <w:autoRedefine/>
    <w:qFormat/>
    <w:uiPriority w:val="0"/>
    <w:pPr>
      <w:widowControl/>
      <w:jc w:val="left"/>
    </w:pPr>
    <w:rPr>
      <w:rFonts w:eastAsia="仿宋_GB2312"/>
      <w:sz w:val="28"/>
      <w:szCs w:val="21"/>
    </w:rPr>
  </w:style>
  <w:style w:type="paragraph" w:customStyle="1" w:styleId="2755">
    <w:name w:val="高表标"/>
    <w:basedOn w:val="1"/>
    <w:autoRedefine/>
    <w:qFormat/>
    <w:uiPriority w:val="0"/>
    <w:pPr>
      <w:snapToGrid w:val="0"/>
      <w:spacing w:line="300" w:lineRule="auto"/>
      <w:jc w:val="right"/>
    </w:pPr>
    <w:rPr>
      <w:rFonts w:ascii="Arial" w:hAnsi="Arial" w:eastAsia="黑体"/>
      <w:bCs/>
      <w:szCs w:val="21"/>
    </w:rPr>
  </w:style>
  <w:style w:type="paragraph" w:customStyle="1" w:styleId="2756">
    <w:name w:val="BG1"/>
    <w:basedOn w:val="1"/>
    <w:autoRedefine/>
    <w:qFormat/>
    <w:uiPriority w:val="0"/>
    <w:pPr>
      <w:widowControl/>
      <w:autoSpaceDE w:val="0"/>
      <w:autoSpaceDN w:val="0"/>
      <w:jc w:val="center"/>
    </w:pPr>
    <w:rPr>
      <w:rFonts w:eastAsia="仿宋_GB2312"/>
      <w:color w:val="000000"/>
      <w:kern w:val="0"/>
      <w:sz w:val="28"/>
      <w:szCs w:val="21"/>
    </w:rPr>
  </w:style>
  <w:style w:type="paragraph" w:customStyle="1" w:styleId="2757">
    <w:name w:val="页眉左"/>
    <w:basedOn w:val="58"/>
    <w:autoRedefine/>
    <w:qFormat/>
    <w:uiPriority w:val="0"/>
    <w:pPr>
      <w:pBdr>
        <w:bottom w:val="none" w:color="auto" w:sz="0" w:space="0"/>
      </w:pBdr>
      <w:tabs>
        <w:tab w:val="left" w:pos="11775"/>
      </w:tabs>
      <w:adjustRightInd w:val="0"/>
      <w:snapToGrid/>
      <w:spacing w:before="60" w:after="60" w:line="240" w:lineRule="atLeast"/>
      <w:jc w:val="left"/>
      <w:textAlignment w:val="baseline"/>
    </w:pPr>
    <w:rPr>
      <w:rFonts w:ascii="Times New Roman" w:hAnsi="Times New Roman" w:eastAsia="仿宋_GB2312" w:cs="Times New Roman"/>
      <w:kern w:val="0"/>
      <w:sz w:val="22"/>
      <w:szCs w:val="20"/>
      <w:lang w:val="en-GB" w:eastAsia="zh-TW"/>
    </w:rPr>
  </w:style>
  <w:style w:type="paragraph" w:customStyle="1" w:styleId="2758">
    <w:name w:val="样式 目录 3 + 首行缩进:  2 字符"/>
    <w:basedOn w:val="44"/>
    <w:autoRedefine/>
    <w:qFormat/>
    <w:uiPriority w:val="0"/>
    <w:pPr>
      <w:tabs>
        <w:tab w:val="left" w:pos="1920"/>
        <w:tab w:val="right" w:leader="dot" w:pos="9062"/>
      </w:tabs>
      <w:spacing w:line="360" w:lineRule="auto"/>
      <w:ind w:firstLine="600" w:firstLineChars="600"/>
    </w:pPr>
    <w:rPr>
      <w:rFonts w:eastAsia="仿宋_GB2312" w:cs="宋体"/>
      <w:smallCaps w:val="0"/>
      <w:snapToGrid w:val="0"/>
      <w:spacing w:val="10"/>
      <w:kern w:val="0"/>
      <w:sz w:val="21"/>
      <w:szCs w:val="20"/>
    </w:rPr>
  </w:style>
  <w:style w:type="paragraph" w:customStyle="1" w:styleId="2759">
    <w:name w:val="Char Char Char Char Char Char1 Char1"/>
    <w:basedOn w:val="1"/>
    <w:autoRedefine/>
    <w:qFormat/>
    <w:uiPriority w:val="0"/>
    <w:pPr>
      <w:widowControl/>
      <w:jc w:val="left"/>
    </w:pPr>
    <w:rPr>
      <w:rFonts w:eastAsia="仿宋_GB2312"/>
      <w:sz w:val="28"/>
      <w:szCs w:val="21"/>
    </w:rPr>
  </w:style>
  <w:style w:type="paragraph" w:customStyle="1" w:styleId="2760">
    <w:name w:val="Char Char Char1 Char Char Char Char Char Char Char Char Char Char Char Char Char Char Char Char2"/>
    <w:basedOn w:val="1"/>
    <w:autoRedefine/>
    <w:qFormat/>
    <w:uiPriority w:val="0"/>
    <w:rPr>
      <w:rFonts w:eastAsia="仿宋_GB2312"/>
      <w:sz w:val="28"/>
      <w:szCs w:val="21"/>
    </w:rPr>
  </w:style>
  <w:style w:type="paragraph" w:customStyle="1" w:styleId="2761">
    <w:name w:val="样式 样式 目录 3 + 首行缩进:  2 字符 + 首行缩进:  6 字符"/>
    <w:basedOn w:val="2758"/>
    <w:autoRedefine/>
    <w:qFormat/>
    <w:uiPriority w:val="0"/>
    <w:pPr>
      <w:tabs>
        <w:tab w:val="left" w:pos="2169"/>
        <w:tab w:val="clear" w:pos="1920"/>
      </w:tabs>
    </w:pPr>
  </w:style>
  <w:style w:type="paragraph" w:customStyle="1" w:styleId="2762">
    <w:name w:val="Char Char Char1 Char1"/>
    <w:basedOn w:val="1"/>
    <w:autoRedefine/>
    <w:qFormat/>
    <w:uiPriority w:val="0"/>
    <w:pPr>
      <w:widowControl/>
      <w:jc w:val="left"/>
    </w:pPr>
    <w:rPr>
      <w:rFonts w:eastAsia="仿宋_GB2312"/>
      <w:sz w:val="28"/>
      <w:szCs w:val="21"/>
    </w:rPr>
  </w:style>
  <w:style w:type="paragraph" w:customStyle="1" w:styleId="2763">
    <w:name w:val="样式 黑体 20 居中"/>
    <w:basedOn w:val="1"/>
    <w:autoRedefine/>
    <w:qFormat/>
    <w:uiPriority w:val="0"/>
    <w:pPr>
      <w:spacing w:line="360" w:lineRule="auto"/>
      <w:jc w:val="center"/>
    </w:pPr>
    <w:rPr>
      <w:rFonts w:ascii="黑体" w:eastAsia="黑体"/>
      <w:bCs/>
      <w:sz w:val="40"/>
      <w:szCs w:val="20"/>
    </w:rPr>
  </w:style>
  <w:style w:type="paragraph" w:customStyle="1" w:styleId="2764">
    <w:name w:val="kuangtu"/>
    <w:basedOn w:val="1"/>
    <w:autoRedefine/>
    <w:qFormat/>
    <w:uiPriority w:val="0"/>
    <w:pPr>
      <w:spacing w:line="320" w:lineRule="exact"/>
      <w:jc w:val="center"/>
    </w:pPr>
    <w:rPr>
      <w:rFonts w:eastAsia="仿宋_GB2312"/>
      <w:sz w:val="28"/>
      <w:szCs w:val="21"/>
      <w:lang w:val="en-GB"/>
    </w:rPr>
  </w:style>
  <w:style w:type="paragraph" w:customStyle="1" w:styleId="2765">
    <w:name w:val="BP bullet1"/>
    <w:basedOn w:val="1"/>
    <w:autoRedefine/>
    <w:qFormat/>
    <w:uiPriority w:val="0"/>
    <w:pPr>
      <w:widowControl/>
      <w:tabs>
        <w:tab w:val="left" w:pos="840"/>
        <w:tab w:val="left" w:pos="1710"/>
      </w:tabs>
      <w:spacing w:before="60" w:after="60"/>
      <w:ind w:left="840" w:hanging="360"/>
      <w:jc w:val="left"/>
    </w:pPr>
    <w:rPr>
      <w:rFonts w:ascii="Arial" w:hAnsi="Arial" w:eastAsia="仿宋_GB2312" w:cs="宋体"/>
      <w:kern w:val="0"/>
      <w:sz w:val="22"/>
      <w:szCs w:val="20"/>
    </w:rPr>
  </w:style>
  <w:style w:type="paragraph" w:customStyle="1" w:styleId="2766">
    <w:name w:val="样式 (中文) 仿宋_GB2312 四号 行距: 固定值 25 磅"/>
    <w:basedOn w:val="1"/>
    <w:autoRedefine/>
    <w:qFormat/>
    <w:uiPriority w:val="0"/>
    <w:pPr>
      <w:spacing w:line="500" w:lineRule="exact"/>
      <w:ind w:firstLine="150" w:firstLineChars="150"/>
      <w:jc w:val="left"/>
    </w:pPr>
    <w:rPr>
      <w:rFonts w:eastAsia="仿宋_GB2312" w:cs="宋体"/>
      <w:sz w:val="28"/>
      <w:szCs w:val="20"/>
    </w:rPr>
  </w:style>
  <w:style w:type="paragraph" w:customStyle="1" w:styleId="2767">
    <w:name w:val="cmp"/>
    <w:basedOn w:val="1"/>
    <w:autoRedefine/>
    <w:qFormat/>
    <w:uiPriority w:val="0"/>
    <w:pPr>
      <w:widowControl/>
      <w:spacing w:before="100" w:beforeAutospacing="1" w:after="100" w:afterAutospacing="1" w:line="408" w:lineRule="auto"/>
      <w:jc w:val="left"/>
    </w:pPr>
    <w:rPr>
      <w:rFonts w:ascii="Arial Unicode MS" w:hAnsi="Arial Unicode MS" w:eastAsia="仿宋_GB2312" w:cs="宋体"/>
      <w:color w:val="000000"/>
      <w:kern w:val="0"/>
      <w:sz w:val="20"/>
      <w:szCs w:val="20"/>
    </w:rPr>
  </w:style>
  <w:style w:type="paragraph" w:customStyle="1" w:styleId="2768">
    <w:name w:val="Chapter"/>
    <w:basedOn w:val="3"/>
    <w:autoRedefine/>
    <w:qFormat/>
    <w:uiPriority w:val="0"/>
    <w:pPr>
      <w:tabs>
        <w:tab w:val="left" w:pos="926"/>
      </w:tabs>
      <w:spacing w:before="0" w:after="0" w:line="578" w:lineRule="auto"/>
      <w:ind w:left="-16"/>
      <w:jc w:val="center"/>
    </w:pPr>
    <w:rPr>
      <w:rFonts w:eastAsia="仿宋_GB2312"/>
      <w:bCs/>
      <w:sz w:val="36"/>
      <w:szCs w:val="36"/>
      <w:lang w:val="zh-CN"/>
    </w:rPr>
  </w:style>
  <w:style w:type="paragraph" w:customStyle="1" w:styleId="2769">
    <w:name w:val="样式 内容的正文 + 首行缩进:  2 字符"/>
    <w:basedOn w:val="1"/>
    <w:autoRedefine/>
    <w:qFormat/>
    <w:uiPriority w:val="0"/>
    <w:pPr>
      <w:widowControl/>
      <w:spacing w:line="580" w:lineRule="exact"/>
      <w:ind w:firstLine="560"/>
      <w:jc w:val="left"/>
    </w:pPr>
    <w:rPr>
      <w:rFonts w:eastAsia="仿宋_GB2312" w:cs="宋体"/>
      <w:kern w:val="0"/>
      <w:sz w:val="28"/>
      <w:szCs w:val="20"/>
    </w:rPr>
  </w:style>
  <w:style w:type="paragraph" w:customStyle="1" w:styleId="2770">
    <w:name w:val="环表"/>
    <w:basedOn w:val="2424"/>
    <w:autoRedefine/>
    <w:qFormat/>
    <w:uiPriority w:val="0"/>
    <w:pPr>
      <w:widowControl w:val="0"/>
      <w:tabs>
        <w:tab w:val="left" w:pos="5094"/>
      </w:tabs>
      <w:suppressAutoHyphens w:val="0"/>
      <w:snapToGrid/>
      <w:spacing w:before="120" w:after="120" w:line="240" w:lineRule="atLeast"/>
      <w:ind w:left="6" w:right="29" w:firstLine="187" w:firstLineChars="187"/>
      <w:jc w:val="center"/>
    </w:pPr>
    <w:rPr>
      <w:rFonts w:ascii="宋体" w:eastAsia="宋体"/>
      <w:snapToGrid w:val="0"/>
      <w:color w:val="0000FF"/>
      <w:sz w:val="21"/>
    </w:rPr>
  </w:style>
  <w:style w:type="paragraph" w:customStyle="1" w:styleId="2771">
    <w:name w:val="*正文"/>
    <w:autoRedefine/>
    <w:qFormat/>
    <w:uiPriority w:val="0"/>
    <w:pPr>
      <w:spacing w:line="360" w:lineRule="auto"/>
      <w:ind w:firstLine="200" w:firstLineChars="200"/>
      <w:jc w:val="both"/>
      <w:textAlignment w:val="baseline"/>
    </w:pPr>
    <w:rPr>
      <w:rFonts w:ascii="Times New Roman" w:hAnsi="Times New Roman" w:eastAsia="仿宋_GB2312" w:cs="宋体"/>
      <w:color w:val="000000"/>
      <w:sz w:val="24"/>
      <w:szCs w:val="21"/>
      <w:lang w:val="en-US" w:eastAsia="zh-CN" w:bidi="ar-SA"/>
    </w:rPr>
  </w:style>
  <w:style w:type="paragraph" w:customStyle="1" w:styleId="2772">
    <w:name w:val="药标2"/>
    <w:basedOn w:val="4"/>
    <w:autoRedefine/>
    <w:qFormat/>
    <w:uiPriority w:val="0"/>
    <w:pPr>
      <w:keepNext w:val="0"/>
      <w:keepLines w:val="0"/>
      <w:tabs>
        <w:tab w:val="clear" w:pos="1276"/>
      </w:tabs>
      <w:spacing w:before="480" w:after="480" w:line="312" w:lineRule="atLeast"/>
      <w:ind w:left="0"/>
      <w:contextualSpacing/>
    </w:pPr>
    <w:rPr>
      <w:rFonts w:ascii="黑体" w:hAnsi="Times New Roman"/>
      <w:b w:val="0"/>
      <w:bCs/>
      <w:kern w:val="0"/>
      <w:sz w:val="32"/>
      <w:lang w:val="zh-CN"/>
    </w:rPr>
  </w:style>
  <w:style w:type="paragraph" w:customStyle="1" w:styleId="2773">
    <w:name w:val="样式 样式 宋体 小四 行距: 多倍行距 1.4 字行2 + 黑色"/>
    <w:basedOn w:val="1"/>
    <w:autoRedefine/>
    <w:qFormat/>
    <w:uiPriority w:val="0"/>
    <w:pPr>
      <w:spacing w:line="336" w:lineRule="auto"/>
      <w:ind w:firstLine="200" w:firstLineChars="200"/>
    </w:pPr>
    <w:rPr>
      <w:rFonts w:eastAsia="仿宋_GB2312" w:cs="宋体"/>
      <w:color w:val="000000"/>
      <w:szCs w:val="21"/>
    </w:rPr>
  </w:style>
  <w:style w:type="paragraph" w:customStyle="1" w:styleId="2774">
    <w:name w:val="样式 标题 3条标题1.1.1h3H3level_3PIM 3Level 3 HeadHeading 3 - ol..."/>
    <w:basedOn w:val="5"/>
    <w:autoRedefine/>
    <w:qFormat/>
    <w:uiPriority w:val="0"/>
    <w:pPr>
      <w:widowControl/>
      <w:tabs>
        <w:tab w:val="left" w:pos="0"/>
        <w:tab w:val="left" w:pos="7088"/>
      </w:tabs>
      <w:adjustRightInd w:val="0"/>
      <w:spacing w:beforeLines="50" w:afterLines="20" w:line="500" w:lineRule="exact"/>
      <w:jc w:val="left"/>
    </w:pPr>
    <w:rPr>
      <w:rFonts w:ascii="宋体" w:hAnsi="Times New Roman" w:eastAsia="仿宋_GB2312" w:cs="Times New Roman"/>
      <w:bCs w:val="0"/>
      <w:kern w:val="21"/>
      <w:sz w:val="30"/>
      <w:szCs w:val="20"/>
      <w:lang w:val="zh-CN"/>
    </w:rPr>
  </w:style>
  <w:style w:type="paragraph" w:customStyle="1" w:styleId="2775">
    <w:name w:val="食疗标题2"/>
    <w:basedOn w:val="4"/>
    <w:autoRedefine/>
    <w:qFormat/>
    <w:uiPriority w:val="0"/>
    <w:pPr>
      <w:keepNext w:val="0"/>
      <w:keepLines w:val="0"/>
      <w:tabs>
        <w:tab w:val="clear" w:pos="1276"/>
      </w:tabs>
      <w:overflowPunct w:val="0"/>
      <w:adjustRightInd/>
      <w:spacing w:before="360" w:after="0" w:line="312" w:lineRule="atLeast"/>
      <w:ind w:left="0"/>
      <w:contextualSpacing/>
      <w:jc w:val="both"/>
      <w:textAlignment w:val="auto"/>
    </w:pPr>
    <w:rPr>
      <w:rFonts w:ascii="宋体" w:hAnsi="Times New Roman"/>
      <w:b w:val="0"/>
      <w:color w:val="008000"/>
      <w:kern w:val="0"/>
      <w:szCs w:val="24"/>
      <w:lang w:val="zh-CN"/>
    </w:rPr>
  </w:style>
  <w:style w:type="paragraph" w:customStyle="1" w:styleId="2776">
    <w:name w:val="样式 样式 样式 宋体 小四 行距: 多倍行距 1.4 字行2 + 黑色 + Times New Roman1"/>
    <w:basedOn w:val="1"/>
    <w:autoRedefine/>
    <w:qFormat/>
    <w:uiPriority w:val="0"/>
    <w:pPr>
      <w:spacing w:line="360" w:lineRule="auto"/>
      <w:ind w:firstLine="200" w:firstLineChars="200"/>
    </w:pPr>
    <w:rPr>
      <w:rFonts w:eastAsia="仿宋_GB2312"/>
      <w:color w:val="000000"/>
      <w:szCs w:val="20"/>
    </w:rPr>
  </w:style>
  <w:style w:type="paragraph" w:customStyle="1" w:styleId="2777">
    <w:name w:val="我的样式（正文）"/>
    <w:basedOn w:val="1"/>
    <w:autoRedefine/>
    <w:qFormat/>
    <w:uiPriority w:val="0"/>
    <w:pPr>
      <w:widowControl/>
      <w:spacing w:line="440" w:lineRule="exact"/>
      <w:jc w:val="left"/>
    </w:pPr>
    <w:rPr>
      <w:rFonts w:eastAsia="仿宋_GB2312"/>
      <w:sz w:val="28"/>
      <w:szCs w:val="20"/>
    </w:rPr>
  </w:style>
  <w:style w:type="paragraph" w:customStyle="1" w:styleId="2778">
    <w:name w:val="样式 标题 3 + 行距: 最小值 25 磅"/>
    <w:basedOn w:val="5"/>
    <w:autoRedefine/>
    <w:qFormat/>
    <w:uiPriority w:val="0"/>
    <w:pPr>
      <w:keepLines w:val="0"/>
      <w:tabs>
        <w:tab w:val="left" w:pos="7088"/>
      </w:tabs>
      <w:adjustRightInd w:val="0"/>
      <w:snapToGrid w:val="0"/>
      <w:spacing w:beforeLines="50" w:after="0" w:line="490" w:lineRule="atLeast"/>
      <w:jc w:val="left"/>
    </w:pPr>
    <w:rPr>
      <w:rFonts w:ascii="Times New Roman" w:hAnsi="Times New Roman" w:eastAsia="仿宋_GB2312" w:cs="Times New Roman"/>
      <w:b w:val="0"/>
      <w:bCs w:val="0"/>
      <w:sz w:val="30"/>
      <w:szCs w:val="30"/>
      <w:lang w:val="zh-CN"/>
    </w:rPr>
  </w:style>
  <w:style w:type="paragraph" w:customStyle="1" w:styleId="2779">
    <w:name w:val="chen正文字体11"/>
    <w:basedOn w:val="1"/>
    <w:autoRedefine/>
    <w:qFormat/>
    <w:uiPriority w:val="0"/>
    <w:pPr>
      <w:spacing w:line="360" w:lineRule="auto"/>
      <w:ind w:firstLine="200" w:firstLineChars="200"/>
    </w:pPr>
    <w:rPr>
      <w:rFonts w:eastAsia="仿宋_GB2312"/>
      <w:color w:val="000000"/>
      <w:szCs w:val="20"/>
    </w:rPr>
  </w:style>
  <w:style w:type="paragraph" w:customStyle="1" w:styleId="2780">
    <w:name w:val="样式 标题 1一、1.标题章标题 + 小三"/>
    <w:basedOn w:val="3"/>
    <w:autoRedefine/>
    <w:qFormat/>
    <w:uiPriority w:val="0"/>
    <w:pPr>
      <w:widowControl/>
      <w:spacing w:before="0" w:after="0" w:line="240" w:lineRule="auto"/>
    </w:pPr>
    <w:rPr>
      <w:rFonts w:ascii="黑体" w:eastAsia="黑体"/>
      <w:b w:val="0"/>
      <w:sz w:val="32"/>
      <w:lang w:val="zh-CN"/>
    </w:rPr>
  </w:style>
  <w:style w:type="paragraph" w:customStyle="1" w:styleId="2781">
    <w:name w:val="样式正文"/>
    <w:basedOn w:val="1"/>
    <w:autoRedefine/>
    <w:qFormat/>
    <w:uiPriority w:val="0"/>
    <w:pPr>
      <w:spacing w:line="400" w:lineRule="exact"/>
      <w:ind w:firstLine="200" w:firstLineChars="200"/>
    </w:pPr>
    <w:rPr>
      <w:rFonts w:eastAsia="仿宋_GB2312"/>
      <w:szCs w:val="21"/>
    </w:rPr>
  </w:style>
  <w:style w:type="paragraph" w:customStyle="1" w:styleId="2782">
    <w:name w:val="样式 标题 2 + 宋体 段前: 0.5 行 段后: 0.5 行"/>
    <w:basedOn w:val="112"/>
    <w:next w:val="112"/>
    <w:autoRedefine/>
    <w:qFormat/>
    <w:uiPriority w:val="0"/>
    <w:pPr>
      <w:spacing w:before="120" w:after="120"/>
    </w:pPr>
    <w:rPr>
      <w:rFonts w:ascii="Times New Roman" w:cs="宋体"/>
      <w:color w:val="auto"/>
    </w:rPr>
  </w:style>
  <w:style w:type="paragraph" w:customStyle="1" w:styleId="2783">
    <w:name w:val="样式 标题 3 + 宋体 四号 行距: 1.5 倍行距"/>
    <w:basedOn w:val="5"/>
    <w:autoRedefine/>
    <w:qFormat/>
    <w:uiPriority w:val="0"/>
    <w:pPr>
      <w:widowControl/>
      <w:tabs>
        <w:tab w:val="left" w:pos="0"/>
        <w:tab w:val="left" w:pos="7088"/>
      </w:tabs>
      <w:adjustRightInd w:val="0"/>
      <w:spacing w:beforeLines="50" w:line="500" w:lineRule="exact"/>
      <w:jc w:val="left"/>
    </w:pPr>
    <w:rPr>
      <w:rFonts w:ascii="宋体" w:hAnsi="Times New Roman" w:eastAsia="仿宋_GB2312" w:cs="Times New Roman"/>
      <w:sz w:val="24"/>
      <w:szCs w:val="30"/>
      <w:lang w:val="zh-CN"/>
    </w:rPr>
  </w:style>
  <w:style w:type="paragraph" w:customStyle="1" w:styleId="2784">
    <w:name w:val="8"/>
    <w:basedOn w:val="1"/>
    <w:autoRedefine/>
    <w:qFormat/>
    <w:uiPriority w:val="0"/>
    <w:pPr>
      <w:widowControl/>
      <w:jc w:val="left"/>
    </w:pPr>
    <w:rPr>
      <w:rFonts w:eastAsia="仿宋_GB2312"/>
      <w:szCs w:val="21"/>
    </w:rPr>
  </w:style>
  <w:style w:type="paragraph" w:customStyle="1" w:styleId="2785">
    <w:name w:val="宋体 行距: 固定值 12 磅"/>
    <w:basedOn w:val="58"/>
    <w:autoRedefine/>
    <w:qFormat/>
    <w:uiPriority w:val="0"/>
    <w:pPr>
      <w:pBdr>
        <w:bottom w:val="none" w:color="auto" w:sz="0" w:space="0"/>
      </w:pBdr>
      <w:tabs>
        <w:tab w:val="left" w:pos="11775"/>
        <w:tab w:val="clear" w:pos="4153"/>
        <w:tab w:val="clear" w:pos="8306"/>
      </w:tabs>
      <w:snapToGrid/>
      <w:spacing w:line="240" w:lineRule="exact"/>
      <w:jc w:val="left"/>
    </w:pPr>
    <w:rPr>
      <w:rFonts w:ascii="宋体" w:hAnsi="Times New Roman" w:eastAsia="仿宋_GB2312" w:cs="Times New Roman"/>
      <w:spacing w:val="-20"/>
      <w:kern w:val="0"/>
      <w:lang w:val="zh-CN" w:eastAsia="zh-TW"/>
    </w:rPr>
  </w:style>
  <w:style w:type="paragraph" w:customStyle="1" w:styleId="2786">
    <w:name w:val="样式 列表 + 左侧:  0 厘米 悬挂缩进: 5.85 字符"/>
    <w:basedOn w:val="67"/>
    <w:autoRedefine/>
    <w:qFormat/>
    <w:uiPriority w:val="0"/>
    <w:pPr>
      <w:widowControl/>
      <w:spacing w:line="240" w:lineRule="auto"/>
    </w:pPr>
    <w:rPr>
      <w:rFonts w:ascii="Times New Roman" w:hAnsi="Times New Roman" w:cstheme="minorBidi"/>
      <w:color w:val="FF0000"/>
      <w:sz w:val="21"/>
      <w:szCs w:val="21"/>
      <w:lang w:val="zh-CN"/>
    </w:rPr>
  </w:style>
  <w:style w:type="paragraph" w:customStyle="1" w:styleId="2787">
    <w:name w:val="文件名称"/>
    <w:basedOn w:val="1"/>
    <w:next w:val="1"/>
    <w:autoRedefine/>
    <w:qFormat/>
    <w:uiPriority w:val="0"/>
    <w:pPr>
      <w:spacing w:beforeLines="100" w:line="500" w:lineRule="atLeast"/>
      <w:jc w:val="center"/>
    </w:pPr>
    <w:rPr>
      <w:rFonts w:ascii="黑体" w:eastAsia="黑体"/>
      <w:sz w:val="84"/>
      <w:szCs w:val="84"/>
    </w:rPr>
  </w:style>
  <w:style w:type="paragraph" w:customStyle="1" w:styleId="2788">
    <w:name w:val="aa"/>
    <w:basedOn w:val="1"/>
    <w:autoRedefine/>
    <w:qFormat/>
    <w:uiPriority w:val="0"/>
    <w:pPr>
      <w:widowControl/>
      <w:spacing w:before="100" w:beforeAutospacing="1" w:after="100" w:afterAutospacing="1"/>
      <w:jc w:val="left"/>
    </w:pPr>
    <w:rPr>
      <w:rFonts w:ascii="Arial" w:hAnsi="Arial" w:eastAsia="仿宋_GB2312" w:cs="Arial"/>
      <w:kern w:val="0"/>
      <w:sz w:val="18"/>
      <w:szCs w:val="18"/>
    </w:rPr>
  </w:style>
  <w:style w:type="paragraph" w:customStyle="1" w:styleId="2789">
    <w:name w:val="样式 样式 列表 + 左侧:  0 厘米 悬挂缩进: 5.85 字符 + 行距: 固定值 24 磅"/>
    <w:basedOn w:val="2786"/>
    <w:autoRedefine/>
    <w:qFormat/>
    <w:uiPriority w:val="0"/>
    <w:pPr>
      <w:framePr w:hSpace="180" w:wrap="around" w:vAnchor="text" w:hAnchor="margin" w:xAlign="center" w:y="202"/>
      <w:ind w:left="-26" w:leftChars="-26"/>
    </w:pPr>
    <w:rPr>
      <w:color w:val="auto"/>
      <w:sz w:val="24"/>
      <w:szCs w:val="24"/>
    </w:rPr>
  </w:style>
  <w:style w:type="paragraph" w:customStyle="1" w:styleId="2790">
    <w:name w:val="正文张阳"/>
    <w:basedOn w:val="1"/>
    <w:autoRedefine/>
    <w:qFormat/>
    <w:uiPriority w:val="0"/>
    <w:pPr>
      <w:spacing w:line="360" w:lineRule="auto"/>
      <w:ind w:firstLine="200" w:firstLineChars="200"/>
    </w:pPr>
    <w:rPr>
      <w:rFonts w:eastAsia="仿宋_GB2312"/>
      <w:sz w:val="28"/>
      <w:szCs w:val="28"/>
    </w:rPr>
  </w:style>
  <w:style w:type="paragraph" w:customStyle="1" w:styleId="2791">
    <w:name w:val="Char Char Char2 Char Char Char Char Char Char Char Char Char Char Char Char Char Char Char Char Char Char Char Char Char Char Char Char Char Char Char Char Char Char Char Char Char Char Char Char Char Char Char Char"/>
    <w:basedOn w:val="1"/>
    <w:autoRedefine/>
    <w:qFormat/>
    <w:uiPriority w:val="0"/>
    <w:pPr>
      <w:widowControl/>
      <w:jc w:val="left"/>
    </w:pPr>
    <w:rPr>
      <w:rFonts w:eastAsia="仿宋_GB2312"/>
      <w:szCs w:val="21"/>
    </w:rPr>
  </w:style>
  <w:style w:type="paragraph" w:customStyle="1" w:styleId="2792">
    <w:name w:val="标题ab"/>
    <w:basedOn w:val="1"/>
    <w:next w:val="85"/>
    <w:autoRedefine/>
    <w:qFormat/>
    <w:uiPriority w:val="0"/>
    <w:pPr>
      <w:spacing w:line="1500" w:lineRule="exact"/>
      <w:jc w:val="center"/>
    </w:pPr>
    <w:rPr>
      <w:rFonts w:eastAsia="仿宋_GB2312"/>
      <w:b/>
      <w:color w:val="000000"/>
      <w:sz w:val="44"/>
      <w:szCs w:val="21"/>
    </w:rPr>
  </w:style>
  <w:style w:type="paragraph" w:customStyle="1" w:styleId="2793">
    <w:name w:val="环标2"/>
    <w:basedOn w:val="4"/>
    <w:autoRedefine/>
    <w:qFormat/>
    <w:uiPriority w:val="0"/>
    <w:pPr>
      <w:keepNext w:val="0"/>
      <w:keepLines w:val="0"/>
      <w:tabs>
        <w:tab w:val="clear" w:pos="1276"/>
      </w:tabs>
      <w:spacing w:before="60" w:after="60" w:line="312" w:lineRule="atLeast"/>
      <w:ind w:left="0"/>
      <w:contextualSpacing/>
    </w:pPr>
    <w:rPr>
      <w:rFonts w:ascii="黑体" w:hAnsi="Times New Roman"/>
      <w:b w:val="0"/>
      <w:bCs/>
      <w:kern w:val="0"/>
      <w:lang w:val="zh-CN"/>
    </w:rPr>
  </w:style>
  <w:style w:type="paragraph" w:customStyle="1" w:styleId="2794">
    <w:name w:val="内部地址姓名"/>
    <w:basedOn w:val="1"/>
    <w:autoRedefine/>
    <w:qFormat/>
    <w:uiPriority w:val="0"/>
    <w:pPr>
      <w:widowControl/>
      <w:autoSpaceDE w:val="0"/>
      <w:autoSpaceDN w:val="0"/>
      <w:jc w:val="left"/>
    </w:pPr>
    <w:rPr>
      <w:rFonts w:eastAsia="仿宋_GB2312" w:cs="宋体"/>
      <w:sz w:val="28"/>
      <w:szCs w:val="21"/>
      <w:lang w:val="zh-CN"/>
    </w:rPr>
  </w:style>
  <w:style w:type="paragraph" w:customStyle="1" w:styleId="2795">
    <w:name w:val="环标3"/>
    <w:basedOn w:val="5"/>
    <w:next w:val="1"/>
    <w:autoRedefine/>
    <w:qFormat/>
    <w:uiPriority w:val="0"/>
    <w:pPr>
      <w:keepNext w:val="0"/>
      <w:keepLines w:val="0"/>
      <w:tabs>
        <w:tab w:val="left" w:pos="7088"/>
      </w:tabs>
      <w:adjustRightInd w:val="0"/>
      <w:spacing w:beforeLines="50" w:after="0" w:line="312" w:lineRule="atLeast"/>
      <w:jc w:val="left"/>
      <w:textAlignment w:val="baseline"/>
    </w:pPr>
    <w:rPr>
      <w:rFonts w:ascii="宋体" w:hAnsi="Times New Roman" w:eastAsia="仿宋_GB2312" w:cs="Times New Roman"/>
      <w:b w:val="0"/>
      <w:bCs w:val="0"/>
      <w:kern w:val="0"/>
      <w:sz w:val="24"/>
      <w:szCs w:val="20"/>
      <w:lang w:val="zh-CN"/>
    </w:rPr>
  </w:style>
  <w:style w:type="paragraph" w:customStyle="1" w:styleId="2796">
    <w:name w:val="Char1 Char Char Char Char Char Char1"/>
    <w:basedOn w:val="1"/>
    <w:autoRedefine/>
    <w:qFormat/>
    <w:uiPriority w:val="0"/>
    <w:pPr>
      <w:widowControl/>
      <w:jc w:val="left"/>
    </w:pPr>
    <w:rPr>
      <w:rFonts w:eastAsia="仿宋_GB2312"/>
      <w:szCs w:val="21"/>
    </w:rPr>
  </w:style>
  <w:style w:type="paragraph" w:customStyle="1" w:styleId="2797">
    <w:name w:val="金兰"/>
    <w:basedOn w:val="1"/>
    <w:autoRedefine/>
    <w:qFormat/>
    <w:uiPriority w:val="0"/>
    <w:pPr>
      <w:topLinePunct/>
      <w:spacing w:line="480" w:lineRule="exact"/>
      <w:ind w:firstLine="200" w:firstLineChars="200"/>
      <w:jc w:val="left"/>
    </w:pPr>
    <w:rPr>
      <w:rFonts w:eastAsia="仿宋_GB2312"/>
      <w:kern w:val="0"/>
      <w:sz w:val="28"/>
      <w:szCs w:val="28"/>
    </w:rPr>
  </w:style>
  <w:style w:type="paragraph" w:customStyle="1" w:styleId="2798">
    <w:name w:val="Char Char Char Char Char Char Char Char Char1 Char Char Char Char1"/>
    <w:basedOn w:val="1"/>
    <w:autoRedefine/>
    <w:qFormat/>
    <w:uiPriority w:val="0"/>
    <w:pPr>
      <w:widowControl/>
      <w:jc w:val="left"/>
    </w:pPr>
    <w:rPr>
      <w:rFonts w:eastAsia="仿宋_GB2312"/>
      <w:sz w:val="28"/>
      <w:szCs w:val="21"/>
    </w:rPr>
  </w:style>
  <w:style w:type="paragraph" w:customStyle="1" w:styleId="2799">
    <w:name w:val="正文一"/>
    <w:basedOn w:val="1"/>
    <w:autoRedefine/>
    <w:qFormat/>
    <w:uiPriority w:val="0"/>
    <w:pPr>
      <w:spacing w:line="300" w:lineRule="auto"/>
      <w:ind w:firstLine="510"/>
    </w:pPr>
    <w:rPr>
      <w:rFonts w:eastAsia="仿宋_GB2312"/>
      <w:szCs w:val="20"/>
    </w:rPr>
  </w:style>
  <w:style w:type="paragraph" w:customStyle="1" w:styleId="2800">
    <w:name w:val="char"/>
    <w:basedOn w:val="1"/>
    <w:autoRedefine/>
    <w:qFormat/>
    <w:uiPriority w:val="0"/>
    <w:pPr>
      <w:widowControl/>
      <w:spacing w:after="160" w:line="240" w:lineRule="exact"/>
      <w:jc w:val="left"/>
    </w:pPr>
    <w:rPr>
      <w:rFonts w:ascii="Verdana" w:hAnsi="Verdana" w:eastAsia="仿宋_GB2312" w:cs="”“Times New Roman”“"/>
      <w:kern w:val="0"/>
      <w:szCs w:val="20"/>
      <w:lang w:eastAsia="en-US"/>
    </w:rPr>
  </w:style>
  <w:style w:type="paragraph" w:customStyle="1" w:styleId="2801">
    <w:name w:val="样式 标题 5标题 5 Char Char + Times New Roman Char"/>
    <w:basedOn w:val="7"/>
    <w:next w:val="1268"/>
    <w:autoRedefine/>
    <w:qFormat/>
    <w:uiPriority w:val="0"/>
    <w:pPr>
      <w:widowControl/>
      <w:tabs>
        <w:tab w:val="clear" w:pos="3827"/>
      </w:tabs>
      <w:spacing w:before="0" w:after="0" w:line="240" w:lineRule="auto"/>
      <w:ind w:left="0" w:firstLine="200" w:firstLineChars="200"/>
    </w:pPr>
    <w:rPr>
      <w:rFonts w:eastAsia="仿宋_GB2312"/>
      <w:lang w:val="zh-CN"/>
    </w:rPr>
  </w:style>
  <w:style w:type="paragraph" w:customStyle="1" w:styleId="2802">
    <w:name w:val="样式 表文字 + 左侧:  -0.85 厘米"/>
    <w:basedOn w:val="1268"/>
    <w:autoRedefine/>
    <w:qFormat/>
    <w:uiPriority w:val="0"/>
    <w:pPr>
      <w:adjustRightInd/>
      <w:spacing w:line="240" w:lineRule="auto"/>
      <w:ind w:firstLine="0"/>
      <w:textAlignment w:val="auto"/>
    </w:pPr>
    <w:rPr>
      <w:rFonts w:ascii="Arial" w:hAnsi="Arial" w:eastAsia="仿宋_GB2312" w:cs="宋体"/>
      <w:spacing w:val="0"/>
      <w:kern w:val="2"/>
      <w:sz w:val="21"/>
      <w:szCs w:val="20"/>
    </w:rPr>
  </w:style>
  <w:style w:type="paragraph" w:customStyle="1" w:styleId="2803">
    <w:name w:val="表中居中文字!"/>
    <w:basedOn w:val="1"/>
    <w:autoRedefine/>
    <w:qFormat/>
    <w:uiPriority w:val="0"/>
    <w:pPr>
      <w:adjustRightInd w:val="0"/>
      <w:snapToGrid w:val="0"/>
      <w:jc w:val="center"/>
    </w:pPr>
    <w:rPr>
      <w:rFonts w:eastAsia="仿宋_GB2312" w:cs="Arial"/>
      <w:snapToGrid w:val="0"/>
      <w:kern w:val="0"/>
      <w:szCs w:val="21"/>
    </w:rPr>
  </w:style>
  <w:style w:type="paragraph" w:customStyle="1" w:styleId="2804">
    <w:name w:val="样式 标题 4H4 + 四号"/>
    <w:basedOn w:val="6"/>
    <w:next w:val="1276"/>
    <w:autoRedefine/>
    <w:qFormat/>
    <w:uiPriority w:val="0"/>
    <w:pPr>
      <w:tabs>
        <w:tab w:val="left" w:pos="2220"/>
        <w:tab w:val="clear" w:pos="2976"/>
      </w:tabs>
      <w:adjustRightInd w:val="0"/>
      <w:snapToGrid w:val="0"/>
      <w:spacing w:before="0" w:after="0" w:line="500" w:lineRule="exact"/>
      <w:ind w:left="2220" w:hanging="420"/>
    </w:pPr>
    <w:rPr>
      <w:rFonts w:ascii="Times New Roman" w:hAnsi="Times New Roman"/>
      <w:snapToGrid w:val="0"/>
      <w:color w:val="000000"/>
      <w:lang w:val="zh-CN"/>
    </w:rPr>
  </w:style>
  <w:style w:type="paragraph" w:customStyle="1" w:styleId="2805">
    <w:name w:val="表格文字中"/>
    <w:basedOn w:val="1"/>
    <w:next w:val="87"/>
    <w:autoRedefine/>
    <w:qFormat/>
    <w:uiPriority w:val="0"/>
    <w:pPr>
      <w:keepNext/>
      <w:tabs>
        <w:tab w:val="left" w:pos="1727"/>
        <w:tab w:val="left" w:pos="1884"/>
      </w:tabs>
      <w:snapToGrid w:val="0"/>
      <w:jc w:val="center"/>
    </w:pPr>
    <w:rPr>
      <w:rFonts w:eastAsia="仿宋_GB2312"/>
      <w:kern w:val="0"/>
      <w:szCs w:val="21"/>
    </w:rPr>
  </w:style>
  <w:style w:type="paragraph" w:customStyle="1" w:styleId="2806">
    <w:name w:val="Char Char Char Char1 Char Char Char Char Char Char Char Char Char Char Char Char"/>
    <w:basedOn w:val="1"/>
    <w:autoRedefine/>
    <w:qFormat/>
    <w:uiPriority w:val="0"/>
    <w:pPr>
      <w:widowControl/>
      <w:spacing w:line="240" w:lineRule="exact"/>
      <w:jc w:val="left"/>
    </w:pPr>
    <w:rPr>
      <w:rFonts w:eastAsia="仿宋_GB2312"/>
      <w:sz w:val="28"/>
      <w:szCs w:val="28"/>
    </w:rPr>
  </w:style>
  <w:style w:type="paragraph" w:customStyle="1" w:styleId="2807">
    <w:name w:val="注解"/>
    <w:autoRedefine/>
    <w:qFormat/>
    <w:uiPriority w:val="0"/>
    <w:pPr>
      <w:widowControl w:val="0"/>
      <w:autoSpaceDE w:val="0"/>
      <w:autoSpaceDN w:val="0"/>
      <w:adjustRightInd w:val="0"/>
      <w:jc w:val="center"/>
    </w:pPr>
    <w:rPr>
      <w:rFonts w:ascii="宋体" w:hAnsi="Times New Roman" w:eastAsia="仿宋_GB2312" w:cs="宋体"/>
      <w:kern w:val="2"/>
      <w:sz w:val="21"/>
      <w:szCs w:val="21"/>
      <w:lang w:val="en-US" w:eastAsia="zh-CN" w:bidi="ar-SA"/>
    </w:rPr>
  </w:style>
  <w:style w:type="paragraph" w:customStyle="1" w:styleId="2808">
    <w:name w:val="公式样式1"/>
    <w:basedOn w:val="1"/>
    <w:autoRedefine/>
    <w:qFormat/>
    <w:uiPriority w:val="0"/>
    <w:pPr>
      <w:adjustRightInd w:val="0"/>
      <w:snapToGrid w:val="0"/>
      <w:jc w:val="center"/>
    </w:pPr>
    <w:rPr>
      <w:rFonts w:ascii="仿宋_GB2312" w:eastAsia="仿宋_GB2312"/>
      <w:sz w:val="28"/>
      <w:szCs w:val="21"/>
    </w:rPr>
  </w:style>
  <w:style w:type="paragraph" w:customStyle="1" w:styleId="2809">
    <w:name w:val="0正文缩进"/>
    <w:basedOn w:val="21"/>
    <w:autoRedefine/>
    <w:qFormat/>
    <w:uiPriority w:val="0"/>
    <w:pPr>
      <w:widowControl/>
      <w:adjustRightInd w:val="0"/>
      <w:snapToGrid w:val="0"/>
      <w:ind w:firstLine="480" w:firstLineChars="0"/>
      <w:jc w:val="left"/>
    </w:pPr>
    <w:rPr>
      <w:rFonts w:eastAsia="仿宋_GB2312" w:asciiTheme="minorHAnsi" w:cstheme="minorBidi"/>
      <w:szCs w:val="21"/>
    </w:rPr>
  </w:style>
  <w:style w:type="paragraph" w:customStyle="1" w:styleId="2810">
    <w:name w:val="Char Char Char Char Char Char Char Char Char Char Char Char2"/>
    <w:basedOn w:val="1"/>
    <w:autoRedefine/>
    <w:qFormat/>
    <w:uiPriority w:val="0"/>
    <w:rPr>
      <w:rFonts w:eastAsia="仿宋_GB2312"/>
      <w:sz w:val="28"/>
      <w:szCs w:val="21"/>
    </w:rPr>
  </w:style>
  <w:style w:type="paragraph" w:customStyle="1" w:styleId="2811">
    <w:name w:val="样式 标题 3 + 自动设置"/>
    <w:basedOn w:val="5"/>
    <w:autoRedefine/>
    <w:qFormat/>
    <w:uiPriority w:val="0"/>
    <w:pPr>
      <w:keepLines w:val="0"/>
      <w:widowControl/>
      <w:tabs>
        <w:tab w:val="left" w:pos="7088"/>
      </w:tabs>
      <w:suppressAutoHyphens/>
      <w:adjustRightInd w:val="0"/>
      <w:spacing w:beforeLines="50" w:after="0" w:line="500" w:lineRule="exact"/>
      <w:jc w:val="left"/>
    </w:pPr>
    <w:rPr>
      <w:rFonts w:ascii="Courier New" w:hAnsi="Courier New" w:eastAsia="仿宋_GB2312" w:cs="Courier New"/>
      <w:b w:val="0"/>
      <w:kern w:val="24"/>
      <w:sz w:val="30"/>
      <w:szCs w:val="28"/>
      <w:lang w:val="zh-CN"/>
    </w:rPr>
  </w:style>
  <w:style w:type="paragraph" w:customStyle="1" w:styleId="2812">
    <w:name w:val="样式 宋体 首行缩进:  0.93 厘米 段前: 6 磅 段后: 6 磅 行距: 固定值 18 磅"/>
    <w:basedOn w:val="1"/>
    <w:autoRedefine/>
    <w:qFormat/>
    <w:uiPriority w:val="0"/>
    <w:pPr>
      <w:snapToGrid w:val="0"/>
      <w:spacing w:before="160" w:after="160" w:line="320" w:lineRule="exact"/>
      <w:ind w:firstLine="482"/>
    </w:pPr>
    <w:rPr>
      <w:rFonts w:eastAsia="仿宋_GB2312" w:cs="宋体"/>
      <w:szCs w:val="20"/>
    </w:rPr>
  </w:style>
  <w:style w:type="paragraph" w:customStyle="1" w:styleId="2813">
    <w:name w:val="样式 宋体 首行缩进:  0.93 厘米 段前: 6 磅 段后: 6 磅 行距: 固定值 16 磅"/>
    <w:basedOn w:val="1"/>
    <w:autoRedefine/>
    <w:qFormat/>
    <w:uiPriority w:val="0"/>
    <w:pPr>
      <w:snapToGrid w:val="0"/>
      <w:spacing w:before="160" w:after="160" w:line="320" w:lineRule="exact"/>
      <w:ind w:firstLine="527"/>
    </w:pPr>
    <w:rPr>
      <w:rFonts w:eastAsia="仿宋_GB2312" w:cs="宋体"/>
      <w:szCs w:val="20"/>
    </w:rPr>
  </w:style>
  <w:style w:type="paragraph" w:customStyle="1" w:styleId="2814">
    <w:name w:val="标题3_MHZ"/>
    <w:basedOn w:val="1"/>
    <w:next w:val="1"/>
    <w:autoRedefine/>
    <w:qFormat/>
    <w:uiPriority w:val="0"/>
    <w:pPr>
      <w:widowControl/>
      <w:jc w:val="left"/>
    </w:pPr>
    <w:rPr>
      <w:rFonts w:eastAsia="楷体_GB2312"/>
      <w:b/>
      <w:bCs/>
      <w:sz w:val="28"/>
      <w:szCs w:val="28"/>
    </w:rPr>
  </w:style>
  <w:style w:type="paragraph" w:customStyle="1" w:styleId="2815">
    <w:name w:val="标题4_MHZ"/>
    <w:basedOn w:val="1"/>
    <w:next w:val="1"/>
    <w:autoRedefine/>
    <w:qFormat/>
    <w:uiPriority w:val="0"/>
    <w:pPr>
      <w:widowControl/>
      <w:spacing w:beforeLines="50" w:afterLines="50"/>
      <w:jc w:val="left"/>
    </w:pPr>
    <w:rPr>
      <w:rFonts w:eastAsia="楷体_GB2312"/>
      <w:b/>
      <w:bCs/>
      <w:szCs w:val="21"/>
    </w:rPr>
  </w:style>
  <w:style w:type="paragraph" w:customStyle="1" w:styleId="2816">
    <w:name w:val="正文缩"/>
    <w:basedOn w:val="1"/>
    <w:autoRedefine/>
    <w:qFormat/>
    <w:uiPriority w:val="0"/>
    <w:pPr>
      <w:widowControl/>
      <w:adjustRightInd w:val="0"/>
      <w:snapToGrid w:val="0"/>
      <w:spacing w:line="480" w:lineRule="atLeast"/>
      <w:ind w:firstLine="567"/>
      <w:jc w:val="left"/>
      <w:textAlignment w:val="baseline"/>
    </w:pPr>
    <w:rPr>
      <w:rFonts w:eastAsia="仿宋_GB2312"/>
      <w:color w:val="000080"/>
      <w:spacing w:val="6"/>
      <w:kern w:val="0"/>
      <w:sz w:val="28"/>
      <w:szCs w:val="20"/>
    </w:rPr>
  </w:style>
  <w:style w:type="paragraph" w:customStyle="1" w:styleId="2817">
    <w:name w:val="样式 题注 + 首行缩进:  2 字符"/>
    <w:basedOn w:val="22"/>
    <w:autoRedefine/>
    <w:qFormat/>
    <w:uiPriority w:val="0"/>
    <w:pPr>
      <w:adjustRightInd/>
      <w:spacing w:line="520" w:lineRule="exact"/>
      <w:ind w:firstLine="0"/>
      <w:jc w:val="center"/>
      <w:textAlignment w:val="auto"/>
    </w:pPr>
    <w:rPr>
      <w:spacing w:val="0"/>
      <w:kern w:val="2"/>
      <w:sz w:val="24"/>
      <w:szCs w:val="22"/>
    </w:rPr>
  </w:style>
  <w:style w:type="paragraph" w:customStyle="1" w:styleId="2818">
    <w:name w:val="样式 正文缩进 + 黑色 首行缩进:  0.7 厘米 行距: 最小值 23 磅"/>
    <w:basedOn w:val="21"/>
    <w:autoRedefine/>
    <w:qFormat/>
    <w:uiPriority w:val="0"/>
    <w:pPr>
      <w:widowControl/>
      <w:suppressAutoHyphens/>
      <w:adjustRightInd w:val="0"/>
      <w:spacing w:line="460" w:lineRule="atLeast"/>
      <w:ind w:firstLine="510" w:firstLineChars="0"/>
      <w:jc w:val="left"/>
    </w:pPr>
    <w:rPr>
      <w:rFonts w:eastAsia="仿宋_GB2312" w:cs="宋体" w:asciiTheme="minorHAnsi"/>
      <w:color w:val="000000"/>
      <w:kern w:val="24"/>
      <w:szCs w:val="22"/>
    </w:rPr>
  </w:style>
  <w:style w:type="paragraph" w:customStyle="1" w:styleId="2819">
    <w:name w:val="样式 正文缩进 + 黑色 首行缩进:  0.7 厘米 行距: 最小值 23 磅1"/>
    <w:basedOn w:val="21"/>
    <w:autoRedefine/>
    <w:qFormat/>
    <w:uiPriority w:val="0"/>
    <w:pPr>
      <w:widowControl/>
      <w:suppressAutoHyphens/>
      <w:adjustRightInd w:val="0"/>
      <w:spacing w:line="460" w:lineRule="atLeast"/>
      <w:ind w:firstLine="465" w:firstLineChars="0"/>
      <w:jc w:val="left"/>
    </w:pPr>
    <w:rPr>
      <w:rFonts w:eastAsia="仿宋_GB2312" w:cs="宋体" w:asciiTheme="minorHAnsi"/>
      <w:color w:val="000000"/>
      <w:kern w:val="24"/>
      <w:szCs w:val="22"/>
    </w:rPr>
  </w:style>
  <w:style w:type="paragraph" w:customStyle="1" w:styleId="2820">
    <w:name w:val="标题 2p2 + 自动设置"/>
    <w:basedOn w:val="4"/>
    <w:autoRedefine/>
    <w:qFormat/>
    <w:uiPriority w:val="0"/>
    <w:pPr>
      <w:keepNext w:val="0"/>
      <w:keepLines w:val="0"/>
      <w:tabs>
        <w:tab w:val="clear" w:pos="1276"/>
      </w:tabs>
      <w:suppressAutoHyphens/>
      <w:snapToGrid w:val="0"/>
      <w:spacing w:before="0" w:after="0" w:line="312" w:lineRule="auto"/>
      <w:ind w:left="0"/>
      <w:contextualSpacing/>
      <w:textAlignment w:val="auto"/>
    </w:pPr>
    <w:rPr>
      <w:rFonts w:ascii="宋体" w:hAnsi="Times New Roman" w:eastAsia="仿宋_GB2312"/>
      <w:bCs/>
      <w:color w:val="000000"/>
      <w:kern w:val="24"/>
      <w:sz w:val="24"/>
      <w:szCs w:val="28"/>
      <w:lang w:val="zh-CN"/>
    </w:rPr>
  </w:style>
  <w:style w:type="paragraph" w:customStyle="1" w:styleId="2821">
    <w:name w:val="谏壁表头（chen）"/>
    <w:basedOn w:val="1"/>
    <w:autoRedefine/>
    <w:qFormat/>
    <w:uiPriority w:val="0"/>
    <w:pPr>
      <w:spacing w:line="360" w:lineRule="auto"/>
      <w:jc w:val="center"/>
    </w:pPr>
    <w:rPr>
      <w:rFonts w:eastAsia="仿宋_GB2312"/>
      <w:b/>
      <w:bCs/>
      <w:szCs w:val="21"/>
    </w:rPr>
  </w:style>
  <w:style w:type="paragraph" w:customStyle="1" w:styleId="2822">
    <w:name w:val="标题 1 + 小二 黑色 段前: 1 行 段后: 12 磅"/>
    <w:basedOn w:val="3"/>
    <w:autoRedefine/>
    <w:qFormat/>
    <w:uiPriority w:val="0"/>
    <w:pPr>
      <w:keepLines w:val="0"/>
      <w:pageBreakBefore/>
      <w:widowControl/>
      <w:adjustRightInd w:val="0"/>
      <w:spacing w:before="0" w:beforeLines="100" w:after="0" w:line="312" w:lineRule="auto"/>
      <w:ind w:firstLine="482"/>
      <w:jc w:val="center"/>
    </w:pPr>
    <w:rPr>
      <w:rFonts w:ascii="黑体" w:eastAsia="黑体" w:cs="宋体"/>
      <w:bCs/>
      <w:color w:val="000000"/>
      <w:spacing w:val="20"/>
      <w:kern w:val="28"/>
      <w:lang w:val="zh-CN"/>
    </w:rPr>
  </w:style>
  <w:style w:type="paragraph" w:customStyle="1" w:styleId="2823">
    <w:name w:val="样式 标题 4 + 黑色 行距: 多倍行距 1.35 字行"/>
    <w:basedOn w:val="6"/>
    <w:autoRedefine/>
    <w:qFormat/>
    <w:uiPriority w:val="0"/>
    <w:pPr>
      <w:keepLines w:val="0"/>
      <w:tabs>
        <w:tab w:val="clear" w:pos="2976"/>
      </w:tabs>
      <w:suppressAutoHyphens/>
      <w:adjustRightInd w:val="0"/>
      <w:snapToGrid w:val="0"/>
      <w:spacing w:beforeLines="50" w:afterLines="50" w:line="300" w:lineRule="auto"/>
      <w:ind w:left="0"/>
    </w:pPr>
    <w:rPr>
      <w:rFonts w:ascii="Times New Roman" w:hAnsi="Times New Roman" w:cs="宋体"/>
      <w:snapToGrid w:val="0"/>
      <w:color w:val="000000"/>
      <w:kern w:val="24"/>
      <w:lang w:val="zh-CN"/>
    </w:rPr>
  </w:style>
  <w:style w:type="paragraph" w:customStyle="1" w:styleId="2824">
    <w:name w:val="标题 2p2 + 自动设置 + 小三 黑色"/>
    <w:basedOn w:val="2820"/>
    <w:autoRedefine/>
    <w:qFormat/>
    <w:uiPriority w:val="0"/>
    <w:pPr/>
    <w:rPr>
      <w:sz w:val="30"/>
      <w:szCs w:val="30"/>
    </w:rPr>
  </w:style>
  <w:style w:type="paragraph" w:customStyle="1" w:styleId="2825">
    <w:name w:val="谏壁表头"/>
    <w:basedOn w:val="1603"/>
    <w:autoRedefine/>
    <w:qFormat/>
    <w:uiPriority w:val="0"/>
    <w:pPr>
      <w:jc w:val="center"/>
    </w:pPr>
    <w:rPr>
      <w:rFonts w:eastAsia="仿宋_GB2312"/>
      <w:b/>
      <w:sz w:val="21"/>
      <w:szCs w:val="21"/>
    </w:rPr>
  </w:style>
  <w:style w:type="paragraph" w:customStyle="1" w:styleId="2826">
    <w:name w:val="标题 4 + 黑色 行距: 多倍行距 1.35 字行 + 段前: 0.5 行 段后: 0.5 行 行距: 多倍行..."/>
    <w:basedOn w:val="2823"/>
    <w:autoRedefine/>
    <w:qFormat/>
    <w:uiPriority w:val="0"/>
    <w:pPr>
      <w:spacing w:beforeLines="0" w:afterLines="0" w:line="324" w:lineRule="auto"/>
    </w:pPr>
    <w:rPr>
      <w:rFonts w:ascii="宋体" w:hAnsi="宋体"/>
      <w:b w:val="0"/>
    </w:rPr>
  </w:style>
  <w:style w:type="paragraph" w:customStyle="1" w:styleId="2827">
    <w:name w:val="标题 1 + 小二 黑色 段前: 1 行 段后: 12 磅 + 段前: 1 行 行距: 多倍行距 1.35 字行"/>
    <w:basedOn w:val="2822"/>
    <w:next w:val="2822"/>
    <w:autoRedefine/>
    <w:qFormat/>
    <w:uiPriority w:val="0"/>
    <w:pPr>
      <w:spacing w:beforeLines="0" w:line="324" w:lineRule="auto"/>
    </w:pPr>
  </w:style>
  <w:style w:type="paragraph" w:customStyle="1" w:styleId="2828">
    <w:name w:val="标题 2p2 + 自动设置 + 小三 黑色 + 行距: 多倍行距 1.35 字行"/>
    <w:basedOn w:val="2824"/>
    <w:next w:val="2824"/>
    <w:autoRedefine/>
    <w:qFormat/>
    <w:uiPriority w:val="0"/>
    <w:pPr>
      <w:spacing w:before="50" w:line="324" w:lineRule="auto"/>
    </w:pPr>
    <w:rPr>
      <w:rFonts w:cs="宋体"/>
      <w:szCs w:val="20"/>
    </w:rPr>
  </w:style>
  <w:style w:type="paragraph" w:customStyle="1" w:styleId="2829">
    <w:name w:val="样式 标题 3 + 五号 加粗 段前: 0 磅 段后: 0 磅 行距: 单倍行距"/>
    <w:basedOn w:val="5"/>
    <w:autoRedefine/>
    <w:qFormat/>
    <w:uiPriority w:val="0"/>
    <w:pPr>
      <w:tabs>
        <w:tab w:val="left" w:pos="7088"/>
      </w:tabs>
      <w:adjustRightInd w:val="0"/>
      <w:spacing w:beforeLines="50" w:after="0" w:line="240" w:lineRule="auto"/>
    </w:pPr>
    <w:rPr>
      <w:rFonts w:ascii="Times New Roman" w:hAnsi="Times New Roman" w:eastAsia="仿宋_GB2312" w:cs="宋体"/>
      <w:b w:val="0"/>
      <w:sz w:val="30"/>
      <w:szCs w:val="21"/>
      <w:lang w:val="zh-CN"/>
    </w:rPr>
  </w:style>
  <w:style w:type="paragraph" w:customStyle="1" w:styleId="2830">
    <w:name w:val="标题 2 + 自动设置 + 小三 黑色 + 行距: 多倍行距 1.35 字行 + 段前: 0.5 行"/>
    <w:basedOn w:val="2828"/>
    <w:next w:val="2824"/>
    <w:autoRedefine/>
    <w:qFormat/>
    <w:uiPriority w:val="0"/>
    <w:pPr/>
    <w:rPr>
      <w:sz w:val="28"/>
    </w:rPr>
  </w:style>
  <w:style w:type="paragraph" w:customStyle="1" w:styleId="2831">
    <w:name w:val="样式 仿宋_GB2312 小四 居中 行距: 固定值 20 磅"/>
    <w:basedOn w:val="1"/>
    <w:autoRedefine/>
    <w:qFormat/>
    <w:uiPriority w:val="0"/>
    <w:pPr>
      <w:spacing w:line="400" w:lineRule="exact"/>
      <w:jc w:val="center"/>
    </w:pPr>
    <w:rPr>
      <w:rFonts w:ascii="仿宋_GB2312" w:eastAsia="仿宋_GB2312" w:cs="宋体"/>
      <w:szCs w:val="20"/>
    </w:rPr>
  </w:style>
  <w:style w:type="paragraph" w:customStyle="1" w:styleId="2832">
    <w:name w:val="样式 标题 3 + 段前: 0.5 行 + 行距: 多倍行距 1.35 字行 + 段前: 0.5 行"/>
    <w:basedOn w:val="2528"/>
    <w:autoRedefine/>
    <w:qFormat/>
    <w:uiPriority w:val="0"/>
    <w:rPr>
      <w:rFonts w:cs="宋体"/>
      <w:szCs w:val="20"/>
    </w:rPr>
  </w:style>
  <w:style w:type="paragraph" w:customStyle="1" w:styleId="2833">
    <w:name w:val="标题 4 + 黑色 行距: 多倍行距 1.35 字行1"/>
    <w:basedOn w:val="6"/>
    <w:autoRedefine/>
    <w:qFormat/>
    <w:uiPriority w:val="0"/>
    <w:pPr>
      <w:keepLines w:val="0"/>
      <w:tabs>
        <w:tab w:val="clear" w:pos="2976"/>
      </w:tabs>
      <w:suppressAutoHyphens/>
      <w:adjustRightInd w:val="0"/>
      <w:snapToGrid w:val="0"/>
      <w:spacing w:beforeLines="50" w:after="0" w:line="312" w:lineRule="auto"/>
      <w:ind w:left="0"/>
    </w:pPr>
    <w:rPr>
      <w:rFonts w:ascii="Times New Roman" w:hAnsi="宋体" w:eastAsia="仿宋_GB2312" w:cs="宋体"/>
      <w:snapToGrid w:val="0"/>
      <w:color w:val="000000"/>
      <w:kern w:val="24"/>
      <w:szCs w:val="21"/>
      <w:lang w:val="zh-CN"/>
    </w:rPr>
  </w:style>
  <w:style w:type="paragraph" w:customStyle="1" w:styleId="2834">
    <w:name w:val="样式 标题 1 + 黑色 段前: 1 行 行距: 多倍行距 1.35 字行"/>
    <w:basedOn w:val="3"/>
    <w:autoRedefine/>
    <w:qFormat/>
    <w:uiPriority w:val="0"/>
    <w:pPr>
      <w:keepLines w:val="0"/>
      <w:pageBreakBefore/>
      <w:widowControl/>
      <w:adjustRightInd w:val="0"/>
      <w:spacing w:before="0" w:beforeLines="100" w:after="0" w:line="324" w:lineRule="auto"/>
      <w:ind w:firstLine="482"/>
      <w:jc w:val="center"/>
    </w:pPr>
    <w:rPr>
      <w:rFonts w:ascii="黑体" w:eastAsia="黑体" w:cs="宋体"/>
      <w:bCs/>
      <w:color w:val="000000"/>
      <w:spacing w:val="20"/>
      <w:kern w:val="28"/>
      <w:sz w:val="36"/>
      <w:lang w:val="zh-CN"/>
    </w:rPr>
  </w:style>
  <w:style w:type="paragraph" w:customStyle="1" w:styleId="2835">
    <w:name w:val="表格 23"/>
    <w:basedOn w:val="1"/>
    <w:autoRedefine/>
    <w:qFormat/>
    <w:uiPriority w:val="0"/>
    <w:pPr>
      <w:autoSpaceDE w:val="0"/>
      <w:autoSpaceDN w:val="0"/>
      <w:adjustRightInd w:val="0"/>
      <w:jc w:val="center"/>
      <w:textAlignment w:val="baseline"/>
    </w:pPr>
    <w:rPr>
      <w:rFonts w:eastAsia="仿宋体"/>
      <w:kern w:val="0"/>
      <w:sz w:val="28"/>
      <w:szCs w:val="20"/>
    </w:rPr>
  </w:style>
  <w:style w:type="paragraph" w:customStyle="1" w:styleId="2836">
    <w:name w:val="样式 标题 3 + 黑色 段前: 0.5 行 行距: 多倍行距 1.35 字行"/>
    <w:basedOn w:val="5"/>
    <w:autoRedefine/>
    <w:qFormat/>
    <w:uiPriority w:val="0"/>
    <w:pPr>
      <w:keepLines w:val="0"/>
      <w:widowControl/>
      <w:tabs>
        <w:tab w:val="left" w:pos="7088"/>
      </w:tabs>
      <w:suppressAutoHyphens/>
      <w:adjustRightInd w:val="0"/>
      <w:spacing w:beforeLines="50" w:after="0" w:line="324" w:lineRule="auto"/>
      <w:jc w:val="left"/>
    </w:pPr>
    <w:rPr>
      <w:rFonts w:ascii="Times New Roman" w:hAnsi="Times New Roman" w:eastAsia="仿宋_GB2312" w:cs="宋体"/>
      <w:b w:val="0"/>
      <w:color w:val="000000"/>
      <w:kern w:val="24"/>
      <w:sz w:val="30"/>
      <w:szCs w:val="30"/>
      <w:lang w:val="zh-CN"/>
    </w:rPr>
  </w:style>
  <w:style w:type="paragraph" w:customStyle="1" w:styleId="2837">
    <w:name w:val="InstÀÀll4"/>
    <w:autoRedefine/>
    <w:qFormat/>
    <w:uiPriority w:val="0"/>
    <w:pPr>
      <w:tabs>
        <w:tab w:val="left" w:pos="-720"/>
      </w:tabs>
      <w:suppressAutoHyphens/>
      <w:jc w:val="both"/>
    </w:pPr>
    <w:rPr>
      <w:rFonts w:ascii="Courier" w:hAnsi="Courier" w:eastAsia="仿宋_GB2312" w:cs="宋体"/>
      <w:spacing w:val="-3"/>
      <w:sz w:val="24"/>
      <w:szCs w:val="21"/>
      <w:lang w:val="en-US" w:eastAsia="sv-SE" w:bidi="ar-SA"/>
    </w:rPr>
  </w:style>
  <w:style w:type="paragraph" w:customStyle="1" w:styleId="2838">
    <w:name w:val="样式 样式 标题 3 + 段前: 0.5 行 + 行距: 多倍行距 1.35 字行 + 段前: 0.5 行 + 段前: 0.5 行"/>
    <w:basedOn w:val="2832"/>
    <w:autoRedefine/>
    <w:qFormat/>
    <w:uiPriority w:val="0"/>
    <w:pPr>
      <w:snapToGrid w:val="0"/>
    </w:pPr>
  </w:style>
  <w:style w:type="paragraph" w:customStyle="1" w:styleId="2839">
    <w:name w:val="标题 3 + 段前: 0.5 行 + 行距: 多倍行距 1.35 字行 + 段前: 0.5 行 + 段前: 0..."/>
    <w:basedOn w:val="2838"/>
    <w:autoRedefine/>
    <w:qFormat/>
    <w:uiPriority w:val="0"/>
  </w:style>
  <w:style w:type="paragraph" w:customStyle="1" w:styleId="2840">
    <w:name w:val="标题 3 + 段前: 0.5 行 + 行距: 多倍行距 1.35 字行 + 段前: 0.5 行 + 段前: 0.5 行1"/>
    <w:basedOn w:val="2832"/>
    <w:autoRedefine/>
    <w:qFormat/>
    <w:uiPriority w:val="0"/>
  </w:style>
  <w:style w:type="paragraph" w:customStyle="1" w:styleId="2841">
    <w:name w:val="标题 4 + 行距: 多倍行距 1.35 字行"/>
    <w:basedOn w:val="6"/>
    <w:autoRedefine/>
    <w:qFormat/>
    <w:uiPriority w:val="0"/>
    <w:pPr>
      <w:keepLines w:val="0"/>
      <w:tabs>
        <w:tab w:val="clear" w:pos="2976"/>
      </w:tabs>
      <w:suppressAutoHyphens/>
      <w:adjustRightInd w:val="0"/>
      <w:snapToGrid w:val="0"/>
      <w:spacing w:beforeLines="50" w:after="0" w:line="324" w:lineRule="auto"/>
      <w:ind w:left="0"/>
    </w:pPr>
    <w:rPr>
      <w:rFonts w:ascii="Times New Roman" w:hAnsi="Times New Roman" w:cs="宋体"/>
      <w:snapToGrid w:val="0"/>
      <w:color w:val="000000"/>
      <w:kern w:val="24"/>
      <w:szCs w:val="20"/>
      <w:lang w:val="zh-CN"/>
    </w:rPr>
  </w:style>
  <w:style w:type="paragraph" w:customStyle="1" w:styleId="2842">
    <w:name w:val="环标1"/>
    <w:basedOn w:val="3"/>
    <w:autoRedefine/>
    <w:qFormat/>
    <w:uiPriority w:val="0"/>
    <w:pPr>
      <w:keepNext w:val="0"/>
      <w:keepLines w:val="0"/>
      <w:adjustRightInd w:val="0"/>
      <w:spacing w:before="0" w:after="0" w:line="312" w:lineRule="atLeast"/>
      <w:jc w:val="left"/>
      <w:textAlignment w:val="baseline"/>
    </w:pPr>
    <w:rPr>
      <w:rFonts w:ascii="黑体" w:eastAsia="黑体"/>
      <w:b w:val="0"/>
      <w:sz w:val="32"/>
      <w:lang w:val="zh-CN"/>
    </w:rPr>
  </w:style>
  <w:style w:type="paragraph" w:customStyle="1" w:styleId="2843">
    <w:name w:val="标题 4 + 行距: 多倍行距 1.35 字行 + 段前: 0.5 行"/>
    <w:basedOn w:val="2841"/>
    <w:autoRedefine/>
    <w:qFormat/>
    <w:uiPriority w:val="0"/>
    <w:pPr>
      <w:spacing w:beforeLines="0"/>
    </w:pPr>
    <w:rPr>
      <w:szCs w:val="28"/>
    </w:rPr>
  </w:style>
  <w:style w:type="paragraph" w:customStyle="1" w:styleId="2844">
    <w:name w:val="标题 4 + 红色 行距: 多倍行距 1.35 字行"/>
    <w:basedOn w:val="6"/>
    <w:next w:val="2826"/>
    <w:autoRedefine/>
    <w:qFormat/>
    <w:uiPriority w:val="0"/>
    <w:pPr>
      <w:keepLines w:val="0"/>
      <w:tabs>
        <w:tab w:val="clear" w:pos="2976"/>
      </w:tabs>
      <w:suppressAutoHyphens/>
      <w:adjustRightInd w:val="0"/>
      <w:snapToGrid w:val="0"/>
      <w:spacing w:beforeLines="50" w:after="0" w:line="324" w:lineRule="auto"/>
      <w:ind w:left="0"/>
    </w:pPr>
    <w:rPr>
      <w:rFonts w:ascii="黑体" w:hAnsi="Cambria" w:cs="宋体"/>
      <w:snapToGrid w:val="0"/>
      <w:color w:val="000000"/>
      <w:kern w:val="24"/>
      <w:lang w:val="zh-CN"/>
    </w:rPr>
  </w:style>
  <w:style w:type="paragraph" w:customStyle="1" w:styleId="2845">
    <w:name w:val="样式 标题 3 + 黑色 段前: 0.5 行 行距: 多倍行距 1.35 字行1"/>
    <w:basedOn w:val="5"/>
    <w:autoRedefine/>
    <w:qFormat/>
    <w:uiPriority w:val="0"/>
    <w:pPr>
      <w:keepLines w:val="0"/>
      <w:widowControl/>
      <w:tabs>
        <w:tab w:val="left" w:pos="7088"/>
      </w:tabs>
      <w:suppressAutoHyphens/>
      <w:adjustRightInd w:val="0"/>
      <w:spacing w:beforeLines="50" w:after="0" w:line="324" w:lineRule="auto"/>
      <w:jc w:val="left"/>
    </w:pPr>
    <w:rPr>
      <w:rFonts w:ascii="Times New Roman" w:hAnsi="Times New Roman" w:eastAsia="仿宋_GB2312" w:cs="宋体"/>
      <w:b w:val="0"/>
      <w:color w:val="000000"/>
      <w:kern w:val="24"/>
      <w:sz w:val="30"/>
      <w:szCs w:val="30"/>
      <w:lang w:val="zh-CN"/>
    </w:rPr>
  </w:style>
  <w:style w:type="paragraph" w:customStyle="1" w:styleId="2846">
    <w:name w:val="标题 3 + 黑色 段前: 0.5 行 行距: 多倍行距 1.35 字行1 + 段前: 0.5 行"/>
    <w:basedOn w:val="2845"/>
    <w:autoRedefine/>
    <w:qFormat/>
    <w:uiPriority w:val="0"/>
    <w:rPr>
      <w:szCs w:val="20"/>
    </w:rPr>
  </w:style>
  <w:style w:type="paragraph" w:customStyle="1" w:styleId="2847">
    <w:name w:val="文件册号"/>
    <w:basedOn w:val="1"/>
    <w:next w:val="1"/>
    <w:autoRedefine/>
    <w:qFormat/>
    <w:uiPriority w:val="0"/>
    <w:pPr>
      <w:spacing w:line="800" w:lineRule="atLeast"/>
      <w:jc w:val="center"/>
    </w:pPr>
    <w:rPr>
      <w:rFonts w:eastAsia="仿宋_GB2312"/>
      <w:sz w:val="52"/>
      <w:szCs w:val="52"/>
    </w:rPr>
  </w:style>
  <w:style w:type="paragraph" w:customStyle="1" w:styleId="2848">
    <w:name w:val="标题 2 + 自动设置 + (西文) 宋体 黑色 行距: 多倍行距 1.35 字行"/>
    <w:basedOn w:val="2820"/>
    <w:autoRedefine/>
    <w:qFormat/>
    <w:uiPriority w:val="0"/>
    <w:pPr>
      <w:spacing w:line="324" w:lineRule="auto"/>
    </w:pPr>
    <w:rPr>
      <w:rFonts w:cs="宋体"/>
      <w:szCs w:val="20"/>
    </w:rPr>
  </w:style>
  <w:style w:type="paragraph" w:customStyle="1" w:styleId="2849">
    <w:name w:val="样式 标题 3 + 字距调整二号 行距: 最小值 25 磅"/>
    <w:basedOn w:val="5"/>
    <w:autoRedefine/>
    <w:qFormat/>
    <w:uiPriority w:val="0"/>
    <w:pPr>
      <w:keepLines w:val="0"/>
      <w:tabs>
        <w:tab w:val="left" w:pos="0"/>
        <w:tab w:val="left" w:pos="7088"/>
      </w:tabs>
      <w:adjustRightInd w:val="0"/>
      <w:spacing w:beforeLines="50" w:after="0" w:line="500" w:lineRule="atLeast"/>
    </w:pPr>
    <w:rPr>
      <w:rFonts w:ascii="Times New Roman" w:hAnsi="Times New Roman" w:eastAsia="仿宋_GB2312" w:cs="宋体"/>
      <w:b w:val="0"/>
      <w:bCs w:val="0"/>
      <w:kern w:val="44"/>
      <w:sz w:val="30"/>
      <w:szCs w:val="20"/>
      <w:lang w:val="zh-CN"/>
    </w:rPr>
  </w:style>
  <w:style w:type="paragraph" w:customStyle="1" w:styleId="2850">
    <w:name w:val="标题 2 + 黑色 行距: 多倍行距 1.35 字行"/>
    <w:basedOn w:val="4"/>
    <w:autoRedefine/>
    <w:qFormat/>
    <w:uiPriority w:val="0"/>
    <w:pPr>
      <w:keepNext w:val="0"/>
      <w:keepLines w:val="0"/>
      <w:tabs>
        <w:tab w:val="clear" w:pos="1276"/>
      </w:tabs>
      <w:suppressAutoHyphens/>
      <w:snapToGrid w:val="0"/>
      <w:spacing w:before="0" w:after="0" w:line="324" w:lineRule="auto"/>
      <w:ind w:left="0"/>
      <w:contextualSpacing/>
      <w:textAlignment w:val="auto"/>
    </w:pPr>
    <w:rPr>
      <w:rFonts w:ascii="Times New Roman" w:hAnsi="Times New Roman" w:eastAsia="仿宋_GB2312" w:cs="宋体"/>
      <w:bCs/>
      <w:color w:val="000000"/>
      <w:kern w:val="24"/>
      <w:lang w:val="zh-CN"/>
    </w:rPr>
  </w:style>
  <w:style w:type="paragraph" w:customStyle="1" w:styleId="2851">
    <w:name w:val="样式 标题 4 + 四号 黑色 行距: 多倍行距 1.35 字行"/>
    <w:basedOn w:val="6"/>
    <w:autoRedefine/>
    <w:qFormat/>
    <w:uiPriority w:val="0"/>
    <w:pPr>
      <w:keepLines w:val="0"/>
      <w:tabs>
        <w:tab w:val="clear" w:pos="2976"/>
      </w:tabs>
      <w:suppressAutoHyphens/>
      <w:adjustRightInd w:val="0"/>
      <w:snapToGrid w:val="0"/>
      <w:spacing w:beforeLines="50" w:after="0" w:line="324" w:lineRule="auto"/>
      <w:ind w:left="0"/>
    </w:pPr>
    <w:rPr>
      <w:rFonts w:ascii="Times New Roman" w:hAnsi="Times New Roman" w:cs="宋体"/>
      <w:b w:val="0"/>
      <w:snapToGrid w:val="0"/>
      <w:color w:val="000000"/>
      <w:kern w:val="24"/>
      <w:szCs w:val="20"/>
      <w:lang w:val="zh-CN"/>
    </w:rPr>
  </w:style>
  <w:style w:type="paragraph" w:customStyle="1" w:styleId="2852">
    <w:name w:val="样式 标题 3 + 左侧:  0 毫米 首行缩进:  0 毫米 行距: 最小值 25 磅1"/>
    <w:basedOn w:val="5"/>
    <w:autoRedefine/>
    <w:qFormat/>
    <w:uiPriority w:val="0"/>
    <w:pPr>
      <w:keepLines w:val="0"/>
      <w:tabs>
        <w:tab w:val="left" w:pos="7088"/>
      </w:tabs>
      <w:adjustRightInd w:val="0"/>
      <w:spacing w:beforeLines="50" w:after="0" w:line="500" w:lineRule="atLeast"/>
    </w:pPr>
    <w:rPr>
      <w:rFonts w:ascii="Times New Roman" w:hAnsi="Times New Roman" w:eastAsia="仿宋_GB2312" w:cs="宋体"/>
      <w:b w:val="0"/>
      <w:bCs w:val="0"/>
      <w:sz w:val="30"/>
      <w:szCs w:val="20"/>
      <w:lang w:val="zh-CN"/>
    </w:rPr>
  </w:style>
  <w:style w:type="paragraph" w:customStyle="1" w:styleId="2853">
    <w:name w:val="样式 标题 4 + 黑色 行距: 多倍行距 1.35 字行1"/>
    <w:basedOn w:val="6"/>
    <w:autoRedefine/>
    <w:qFormat/>
    <w:uiPriority w:val="0"/>
    <w:pPr>
      <w:keepLines w:val="0"/>
      <w:tabs>
        <w:tab w:val="clear" w:pos="2976"/>
      </w:tabs>
      <w:suppressAutoHyphens/>
      <w:adjustRightInd w:val="0"/>
      <w:snapToGrid w:val="0"/>
      <w:spacing w:beforeLines="50" w:after="0" w:line="324" w:lineRule="auto"/>
      <w:ind w:left="0"/>
    </w:pPr>
    <w:rPr>
      <w:rFonts w:ascii="Times New Roman" w:hAnsi="Times New Roman" w:cs="宋体"/>
      <w:b w:val="0"/>
      <w:snapToGrid w:val="0"/>
      <w:color w:val="000000"/>
      <w:kern w:val="24"/>
      <w:szCs w:val="20"/>
      <w:lang w:val="zh-CN"/>
    </w:rPr>
  </w:style>
  <w:style w:type="paragraph" w:customStyle="1" w:styleId="2854">
    <w:name w:val="样式 标题 3 + 左侧:  0 毫米 悬挂缩进: 7.09 字符 行距: 最小值 25 磅"/>
    <w:basedOn w:val="5"/>
    <w:autoRedefine/>
    <w:qFormat/>
    <w:uiPriority w:val="0"/>
    <w:pPr>
      <w:keepLines w:val="0"/>
      <w:tabs>
        <w:tab w:val="left" w:pos="7088"/>
      </w:tabs>
      <w:adjustRightInd w:val="0"/>
      <w:spacing w:beforeLines="50" w:after="0" w:line="500" w:lineRule="atLeast"/>
      <w:ind w:left="709" w:hanging="709"/>
    </w:pPr>
    <w:rPr>
      <w:rFonts w:ascii="Times New Roman" w:hAnsi="Times New Roman" w:eastAsia="仿宋_GB2312" w:cs="宋体"/>
      <w:b w:val="0"/>
      <w:bCs w:val="0"/>
      <w:kern w:val="0"/>
      <w:sz w:val="30"/>
      <w:szCs w:val="20"/>
      <w:lang w:val="zh-CN"/>
    </w:rPr>
  </w:style>
  <w:style w:type="paragraph" w:customStyle="1" w:styleId="2855">
    <w:name w:val="标题 3 + 黑色 段前: 0.5 行 行距: 多倍行距 1.35 字行2"/>
    <w:basedOn w:val="5"/>
    <w:autoRedefine/>
    <w:qFormat/>
    <w:uiPriority w:val="0"/>
    <w:pPr>
      <w:keepLines w:val="0"/>
      <w:widowControl/>
      <w:tabs>
        <w:tab w:val="left" w:pos="7088"/>
      </w:tabs>
      <w:suppressAutoHyphens/>
      <w:adjustRightInd w:val="0"/>
      <w:spacing w:beforeLines="50" w:after="0" w:line="324" w:lineRule="auto"/>
      <w:jc w:val="left"/>
    </w:pPr>
    <w:rPr>
      <w:rFonts w:ascii="Times New Roman" w:hAnsi="Times New Roman" w:eastAsia="仿宋_GB2312" w:cs="宋体"/>
      <w:b w:val="0"/>
      <w:color w:val="000000"/>
      <w:kern w:val="0"/>
      <w:sz w:val="30"/>
      <w:szCs w:val="20"/>
      <w:lang w:val="zh-CN"/>
    </w:rPr>
  </w:style>
  <w:style w:type="paragraph" w:customStyle="1" w:styleId="2856">
    <w:name w:val="样式 标题 3 + 左侧:  0 毫米 首行缩进:  0 毫米 行距: 最小值 25 磅2"/>
    <w:basedOn w:val="5"/>
    <w:autoRedefine/>
    <w:qFormat/>
    <w:uiPriority w:val="0"/>
    <w:pPr>
      <w:keepLines w:val="0"/>
      <w:tabs>
        <w:tab w:val="left" w:pos="7088"/>
      </w:tabs>
      <w:adjustRightInd w:val="0"/>
      <w:spacing w:beforeLines="50" w:after="0" w:line="500" w:lineRule="atLeast"/>
    </w:pPr>
    <w:rPr>
      <w:rFonts w:ascii="Times New Roman" w:hAnsi="Times New Roman" w:eastAsia="仿宋_GB2312" w:cs="宋体"/>
      <w:b w:val="0"/>
      <w:bCs w:val="0"/>
      <w:kern w:val="0"/>
      <w:sz w:val="30"/>
      <w:szCs w:val="20"/>
      <w:lang w:val="zh-CN"/>
    </w:rPr>
  </w:style>
  <w:style w:type="paragraph" w:customStyle="1" w:styleId="2857">
    <w:name w:val="12"/>
    <w:basedOn w:val="1"/>
    <w:next w:val="52"/>
    <w:autoRedefine/>
    <w:qFormat/>
    <w:uiPriority w:val="0"/>
    <w:pPr>
      <w:ind w:left="145" w:firstLine="280"/>
    </w:pPr>
    <w:rPr>
      <w:rFonts w:eastAsia="仿宋_GB2312"/>
      <w:sz w:val="28"/>
      <w:szCs w:val="20"/>
    </w:rPr>
  </w:style>
  <w:style w:type="paragraph" w:customStyle="1" w:styleId="2858">
    <w:name w:val="样式 标题 3 + 黑色 段前: 0.5 行 行距: 多倍行距 1.35 字行2"/>
    <w:basedOn w:val="5"/>
    <w:autoRedefine/>
    <w:qFormat/>
    <w:uiPriority w:val="0"/>
    <w:pPr>
      <w:keepLines w:val="0"/>
      <w:widowControl/>
      <w:tabs>
        <w:tab w:val="left" w:pos="7088"/>
      </w:tabs>
      <w:suppressAutoHyphens/>
      <w:adjustRightInd w:val="0"/>
      <w:spacing w:beforeLines="50" w:after="0" w:line="324" w:lineRule="auto"/>
      <w:jc w:val="left"/>
    </w:pPr>
    <w:rPr>
      <w:rFonts w:ascii="Times New Roman" w:hAnsi="Times New Roman" w:eastAsia="仿宋_GB2312" w:cs="宋体"/>
      <w:b w:val="0"/>
      <w:color w:val="000000"/>
      <w:kern w:val="24"/>
      <w:sz w:val="30"/>
      <w:szCs w:val="20"/>
      <w:lang w:val="zh-CN"/>
    </w:rPr>
  </w:style>
  <w:style w:type="paragraph" w:customStyle="1" w:styleId="2859">
    <w:name w:val="标题 4 + 黑色 行距: 多倍行距 1.35 字行2"/>
    <w:basedOn w:val="6"/>
    <w:autoRedefine/>
    <w:qFormat/>
    <w:uiPriority w:val="0"/>
    <w:pPr>
      <w:keepLines w:val="0"/>
      <w:tabs>
        <w:tab w:val="clear" w:pos="2976"/>
      </w:tabs>
      <w:suppressAutoHyphens/>
      <w:adjustRightInd w:val="0"/>
      <w:snapToGrid w:val="0"/>
      <w:spacing w:beforeLines="50" w:after="0" w:line="324" w:lineRule="auto"/>
      <w:ind w:left="0"/>
    </w:pPr>
    <w:rPr>
      <w:rFonts w:ascii="Times New Roman" w:hAnsi="Times New Roman" w:cs="宋体"/>
      <w:b w:val="0"/>
      <w:snapToGrid w:val="0"/>
      <w:color w:val="000000"/>
      <w:kern w:val="24"/>
      <w:szCs w:val="20"/>
      <w:lang w:val="zh-CN"/>
    </w:rPr>
  </w:style>
  <w:style w:type="paragraph" w:customStyle="1" w:styleId="2860">
    <w:name w:val="参加人员名单"/>
    <w:basedOn w:val="1"/>
    <w:next w:val="1"/>
    <w:autoRedefine/>
    <w:qFormat/>
    <w:uiPriority w:val="0"/>
    <w:pPr>
      <w:spacing w:line="500" w:lineRule="atLeast"/>
      <w:jc w:val="center"/>
      <w:outlineLvl w:val="0"/>
    </w:pPr>
    <w:rPr>
      <w:rFonts w:eastAsia="仿宋_GB2312"/>
      <w:sz w:val="32"/>
      <w:szCs w:val="32"/>
    </w:rPr>
  </w:style>
  <w:style w:type="paragraph" w:customStyle="1" w:styleId="2861">
    <w:name w:val="样式 标题 4 + 黑色 行距: 多倍行距 1.35 字行2"/>
    <w:basedOn w:val="6"/>
    <w:autoRedefine/>
    <w:qFormat/>
    <w:uiPriority w:val="0"/>
    <w:pPr>
      <w:keepLines w:val="0"/>
      <w:tabs>
        <w:tab w:val="clear" w:pos="2976"/>
      </w:tabs>
      <w:suppressAutoHyphens/>
      <w:adjustRightInd w:val="0"/>
      <w:snapToGrid w:val="0"/>
      <w:spacing w:beforeLines="50" w:after="0" w:line="324" w:lineRule="auto"/>
      <w:ind w:left="0"/>
    </w:pPr>
    <w:rPr>
      <w:rFonts w:ascii="Times New Roman" w:hAnsi="Times New Roman" w:cs="宋体"/>
      <w:b w:val="0"/>
      <w:snapToGrid w:val="0"/>
      <w:color w:val="000000"/>
      <w:kern w:val="24"/>
      <w:szCs w:val="20"/>
      <w:lang w:val="zh-CN"/>
    </w:rPr>
  </w:style>
  <w:style w:type="paragraph" w:customStyle="1" w:styleId="2862">
    <w:name w:val="Char Char Char Char Char Char Char Char Char3"/>
    <w:basedOn w:val="1"/>
    <w:autoRedefine/>
    <w:qFormat/>
    <w:uiPriority w:val="0"/>
    <w:rPr>
      <w:rFonts w:eastAsia="仿宋_GB2312"/>
      <w:sz w:val="28"/>
      <w:szCs w:val="21"/>
    </w:rPr>
  </w:style>
  <w:style w:type="paragraph" w:customStyle="1" w:styleId="2863">
    <w:name w:val="样式 标题 4 + 行距: 多倍行距 1.35 字行 + 段前: 0.5 行"/>
    <w:basedOn w:val="2841"/>
    <w:autoRedefine/>
    <w:qFormat/>
    <w:uiPriority w:val="0"/>
    <w:pPr>
      <w:spacing w:beforeLines="0"/>
    </w:pPr>
    <w:rPr>
      <w:b w:val="0"/>
    </w:rPr>
  </w:style>
  <w:style w:type="paragraph" w:customStyle="1" w:styleId="2864">
    <w:name w:val="样式 标题 4 + 黑色 行距: 多倍行距 1.35 字行3"/>
    <w:basedOn w:val="6"/>
    <w:autoRedefine/>
    <w:qFormat/>
    <w:uiPriority w:val="0"/>
    <w:pPr>
      <w:keepLines w:val="0"/>
      <w:tabs>
        <w:tab w:val="clear" w:pos="2976"/>
      </w:tabs>
      <w:suppressAutoHyphens/>
      <w:adjustRightInd w:val="0"/>
      <w:snapToGrid w:val="0"/>
      <w:spacing w:beforeLines="50" w:after="0" w:line="324" w:lineRule="auto"/>
      <w:ind w:left="0"/>
    </w:pPr>
    <w:rPr>
      <w:rFonts w:ascii="Times New Roman" w:hAnsi="Times New Roman" w:cs="宋体"/>
      <w:b w:val="0"/>
      <w:snapToGrid w:val="0"/>
      <w:color w:val="000000"/>
      <w:kern w:val="24"/>
      <w:szCs w:val="20"/>
      <w:lang w:val="zh-CN"/>
    </w:rPr>
  </w:style>
  <w:style w:type="paragraph" w:customStyle="1" w:styleId="2865">
    <w:name w:val="样式 标题 4 + 黑色1"/>
    <w:basedOn w:val="6"/>
    <w:autoRedefine/>
    <w:qFormat/>
    <w:uiPriority w:val="0"/>
    <w:pPr>
      <w:keepLines w:val="0"/>
      <w:tabs>
        <w:tab w:val="clear" w:pos="2976"/>
      </w:tabs>
      <w:suppressAutoHyphens/>
      <w:adjustRightInd w:val="0"/>
      <w:snapToGrid w:val="0"/>
      <w:spacing w:beforeLines="50" w:after="0" w:line="312" w:lineRule="auto"/>
      <w:ind w:left="0"/>
    </w:pPr>
    <w:rPr>
      <w:rFonts w:ascii="Times New Roman" w:hAnsi="Times New Roman"/>
      <w:b w:val="0"/>
      <w:snapToGrid w:val="0"/>
      <w:color w:val="000000"/>
      <w:kern w:val="24"/>
      <w:lang w:val="zh-CN"/>
    </w:rPr>
  </w:style>
  <w:style w:type="paragraph" w:customStyle="1" w:styleId="2866">
    <w:name w:val="Char Char Char Char Char Char Char Char Char1 Char Char Char Char Char Char1 Char"/>
    <w:basedOn w:val="1"/>
    <w:autoRedefine/>
    <w:qFormat/>
    <w:uiPriority w:val="0"/>
    <w:rPr>
      <w:rFonts w:eastAsia="仿宋_GB2312"/>
      <w:sz w:val="28"/>
      <w:szCs w:val="21"/>
    </w:rPr>
  </w:style>
  <w:style w:type="paragraph" w:customStyle="1" w:styleId="2867">
    <w:name w:val="样式 标题 4 + 黑色2"/>
    <w:basedOn w:val="6"/>
    <w:autoRedefine/>
    <w:qFormat/>
    <w:uiPriority w:val="0"/>
    <w:pPr>
      <w:keepLines w:val="0"/>
      <w:tabs>
        <w:tab w:val="clear" w:pos="2976"/>
      </w:tabs>
      <w:suppressAutoHyphens/>
      <w:adjustRightInd w:val="0"/>
      <w:snapToGrid w:val="0"/>
      <w:spacing w:beforeLines="50" w:after="0" w:line="312" w:lineRule="auto"/>
      <w:ind w:left="0"/>
    </w:pPr>
    <w:rPr>
      <w:rFonts w:ascii="Times New Roman" w:hAnsi="Times New Roman"/>
      <w:b w:val="0"/>
      <w:snapToGrid w:val="0"/>
      <w:color w:val="000000"/>
      <w:kern w:val="24"/>
      <w:lang w:val="zh-CN"/>
    </w:rPr>
  </w:style>
  <w:style w:type="paragraph" w:customStyle="1" w:styleId="2868">
    <w:name w:val="和桥报告正文"/>
    <w:basedOn w:val="1"/>
    <w:autoRedefine/>
    <w:qFormat/>
    <w:uiPriority w:val="0"/>
    <w:pPr>
      <w:adjustRightInd w:val="0"/>
      <w:snapToGrid w:val="0"/>
      <w:spacing w:line="360" w:lineRule="auto"/>
      <w:ind w:firstLine="482"/>
      <w:textAlignment w:val="baseline"/>
    </w:pPr>
    <w:rPr>
      <w:rFonts w:eastAsia="仿宋_GB2312"/>
      <w:snapToGrid w:val="0"/>
      <w:kern w:val="24"/>
      <w:szCs w:val="21"/>
    </w:rPr>
  </w:style>
  <w:style w:type="paragraph" w:customStyle="1" w:styleId="2869">
    <w:name w:val="cg1"/>
    <w:basedOn w:val="1"/>
    <w:autoRedefine/>
    <w:qFormat/>
    <w:uiPriority w:val="0"/>
    <w:pPr>
      <w:widowControl/>
      <w:spacing w:before="100" w:beforeAutospacing="1" w:after="100" w:afterAutospacing="1" w:line="330" w:lineRule="atLeast"/>
      <w:ind w:firstLine="360"/>
      <w:jc w:val="left"/>
    </w:pPr>
    <w:rPr>
      <w:rFonts w:ascii="ˎ̥" w:hAnsi="ˎ̥" w:eastAsia="仿宋_GB2312"/>
      <w:color w:val="000099"/>
      <w:kern w:val="0"/>
      <w:sz w:val="18"/>
      <w:szCs w:val="18"/>
    </w:rPr>
  </w:style>
  <w:style w:type="paragraph" w:customStyle="1" w:styleId="2870">
    <w:name w:val="样式 正文缩进正文（首行缩进两字） + 宋体 行距: 1.5 倍行距"/>
    <w:basedOn w:val="21"/>
    <w:autoRedefine/>
    <w:qFormat/>
    <w:uiPriority w:val="0"/>
    <w:pPr>
      <w:widowControl/>
      <w:adjustRightInd w:val="0"/>
      <w:spacing w:line="300" w:lineRule="auto"/>
      <w:ind w:firstLine="482" w:firstLineChars="0"/>
      <w:jc w:val="left"/>
      <w:textAlignment w:val="baseline"/>
    </w:pPr>
    <w:rPr>
      <w:rFonts w:eastAsia="仿宋_GB2312" w:cs="宋体" w:asciiTheme="minorHAnsi"/>
      <w:szCs w:val="22"/>
    </w:rPr>
  </w:style>
  <w:style w:type="paragraph" w:customStyle="1" w:styleId="2871">
    <w:name w:val="样式 标题 3 + 段前: 6 磅 段后: 6 磅 行距: 多倍行距 1.73 字行"/>
    <w:basedOn w:val="5"/>
    <w:autoRedefine/>
    <w:qFormat/>
    <w:uiPriority w:val="0"/>
    <w:pPr>
      <w:tabs>
        <w:tab w:val="left" w:pos="7088"/>
      </w:tabs>
      <w:adjustRightInd w:val="0"/>
      <w:spacing w:beforeLines="50" w:after="0" w:line="415" w:lineRule="auto"/>
    </w:pPr>
    <w:rPr>
      <w:rFonts w:ascii="Times New Roman" w:hAnsi="Times New Roman" w:eastAsia="仿宋_GB2312" w:cs="宋体"/>
      <w:szCs w:val="20"/>
      <w:lang w:val="zh-CN"/>
    </w:rPr>
  </w:style>
  <w:style w:type="paragraph" w:customStyle="1" w:styleId="2872">
    <w:name w:val="2 Char Char Char Char Char Char Char Char Char1 Char Char Char1 Char Char Char Char"/>
    <w:basedOn w:val="26"/>
    <w:autoRedefine/>
    <w:qFormat/>
    <w:uiPriority w:val="0"/>
    <w:rPr>
      <w:rFonts w:ascii="Tahoma" w:hAnsi="Tahoma" w:eastAsia="仿宋_GB2312" w:cstheme="minorBidi"/>
      <w:sz w:val="24"/>
    </w:rPr>
  </w:style>
  <w:style w:type="paragraph" w:customStyle="1" w:styleId="2873">
    <w:name w:val="Char Char1 Char Char Char Char Char Char Char Char Char Char Char Char Char Char Char Char Char Char Char Char1 Char1"/>
    <w:basedOn w:val="1"/>
    <w:autoRedefine/>
    <w:qFormat/>
    <w:uiPriority w:val="0"/>
    <w:pPr>
      <w:widowControl/>
      <w:spacing w:before="60"/>
      <w:jc w:val="left"/>
    </w:pPr>
    <w:rPr>
      <w:rFonts w:eastAsia="仿宋_GB2312" w:cs="宋体"/>
      <w:szCs w:val="21"/>
    </w:rPr>
  </w:style>
  <w:style w:type="paragraph" w:customStyle="1" w:styleId="2874">
    <w:name w:val="InstÀÀll1"/>
    <w:autoRedefine/>
    <w:qFormat/>
    <w:uiPriority w:val="0"/>
    <w:pPr>
      <w:tabs>
        <w:tab w:val="left" w:pos="-720"/>
      </w:tabs>
      <w:suppressAutoHyphens/>
      <w:jc w:val="both"/>
    </w:pPr>
    <w:rPr>
      <w:rFonts w:ascii="Courier" w:hAnsi="Courier" w:eastAsia="仿宋_GB2312" w:cs="宋体"/>
      <w:spacing w:val="-3"/>
      <w:sz w:val="24"/>
      <w:szCs w:val="21"/>
      <w:lang w:val="en-US" w:eastAsia="sv-SE" w:bidi="ar-SA"/>
    </w:rPr>
  </w:style>
  <w:style w:type="paragraph" w:customStyle="1" w:styleId="2875">
    <w:name w:val="aaa"/>
    <w:basedOn w:val="1"/>
    <w:autoRedefine/>
    <w:qFormat/>
    <w:uiPriority w:val="0"/>
    <w:pPr>
      <w:widowControl/>
      <w:adjustRightInd w:val="0"/>
      <w:jc w:val="left"/>
      <w:textAlignment w:val="baseline"/>
    </w:pPr>
    <w:rPr>
      <w:rFonts w:ascii="仿宋_GB2312" w:eastAsia="仿宋_GB2312"/>
      <w:kern w:val="0"/>
      <w:szCs w:val="20"/>
    </w:rPr>
  </w:style>
  <w:style w:type="paragraph" w:customStyle="1" w:styleId="2876">
    <w:name w:val="Char Char Char Char Char Char Char Char Char1 Char Char Char Char3"/>
    <w:basedOn w:val="1"/>
    <w:autoRedefine/>
    <w:qFormat/>
    <w:uiPriority w:val="0"/>
    <w:rPr>
      <w:rFonts w:eastAsia="黑体"/>
      <w:b/>
      <w:sz w:val="28"/>
      <w:szCs w:val="20"/>
    </w:rPr>
  </w:style>
  <w:style w:type="paragraph" w:customStyle="1" w:styleId="2877">
    <w:name w:val="任务书正文"/>
    <w:basedOn w:val="1"/>
    <w:autoRedefine/>
    <w:qFormat/>
    <w:uiPriority w:val="0"/>
    <w:pPr>
      <w:spacing w:line="480" w:lineRule="exact"/>
      <w:ind w:firstLine="200"/>
    </w:pPr>
    <w:rPr>
      <w:rFonts w:eastAsia="仿宋_GB2312"/>
      <w:szCs w:val="20"/>
    </w:rPr>
  </w:style>
  <w:style w:type="paragraph" w:customStyle="1" w:styleId="2878">
    <w:name w:val="za正文"/>
    <w:basedOn w:val="1"/>
    <w:autoRedefine/>
    <w:qFormat/>
    <w:uiPriority w:val="0"/>
    <w:pPr>
      <w:widowControl/>
      <w:adjustRightInd w:val="0"/>
      <w:snapToGrid w:val="0"/>
      <w:jc w:val="left"/>
    </w:pPr>
    <w:rPr>
      <w:rFonts w:eastAsia="仿宋_GB2312"/>
      <w:b/>
      <w:bCs/>
      <w:kern w:val="0"/>
      <w:sz w:val="28"/>
      <w:szCs w:val="28"/>
    </w:rPr>
  </w:style>
  <w:style w:type="paragraph" w:customStyle="1" w:styleId="2879">
    <w:name w:val="InstÀÀll2"/>
    <w:autoRedefine/>
    <w:qFormat/>
    <w:uiPriority w:val="0"/>
    <w:pPr>
      <w:tabs>
        <w:tab w:val="left" w:pos="-720"/>
      </w:tabs>
      <w:suppressAutoHyphens/>
      <w:jc w:val="both"/>
    </w:pPr>
    <w:rPr>
      <w:rFonts w:ascii="Courier" w:hAnsi="Courier" w:eastAsia="仿宋_GB2312" w:cs="宋体"/>
      <w:spacing w:val="-3"/>
      <w:sz w:val="24"/>
      <w:szCs w:val="21"/>
      <w:lang w:val="en-US" w:eastAsia="sv-SE" w:bidi="ar-SA"/>
    </w:rPr>
  </w:style>
  <w:style w:type="paragraph" w:customStyle="1" w:styleId="2880">
    <w:name w:val="表格内容1"/>
    <w:basedOn w:val="1"/>
    <w:autoRedefine/>
    <w:qFormat/>
    <w:uiPriority w:val="0"/>
    <w:pPr>
      <w:adjustRightInd w:val="0"/>
      <w:snapToGrid w:val="0"/>
      <w:spacing w:beforeLines="15" w:afterLines="15" w:line="240" w:lineRule="exact"/>
      <w:jc w:val="center"/>
    </w:pPr>
    <w:rPr>
      <w:rFonts w:eastAsia="仿宋_GB2312"/>
      <w:snapToGrid w:val="0"/>
      <w:kern w:val="0"/>
      <w:sz w:val="28"/>
      <w:szCs w:val="21"/>
    </w:rPr>
  </w:style>
  <w:style w:type="paragraph" w:customStyle="1" w:styleId="2881">
    <w:name w:val="条1"/>
    <w:basedOn w:val="1"/>
    <w:next w:val="1"/>
    <w:autoRedefine/>
    <w:qFormat/>
    <w:uiPriority w:val="0"/>
    <w:pPr>
      <w:widowControl/>
      <w:tabs>
        <w:tab w:val="left" w:pos="720"/>
      </w:tabs>
      <w:jc w:val="left"/>
      <w:outlineLvl w:val="1"/>
    </w:pPr>
    <w:rPr>
      <w:rFonts w:ascii="黑体" w:eastAsia="黑体"/>
      <w:kern w:val="21"/>
      <w:sz w:val="28"/>
      <w:szCs w:val="20"/>
    </w:rPr>
  </w:style>
  <w:style w:type="paragraph" w:customStyle="1" w:styleId="2882">
    <w:name w:val="正文文本缩进3"/>
    <w:basedOn w:val="1"/>
    <w:autoRedefine/>
    <w:qFormat/>
    <w:uiPriority w:val="0"/>
    <w:pPr>
      <w:spacing w:after="120" w:line="360" w:lineRule="auto"/>
      <w:ind w:left="200" w:leftChars="200" w:firstLine="200" w:firstLineChars="200"/>
    </w:pPr>
    <w:rPr>
      <w:rFonts w:eastAsia="仿宋_GB2312"/>
      <w:szCs w:val="21"/>
    </w:rPr>
  </w:style>
  <w:style w:type="paragraph" w:customStyle="1" w:styleId="2883">
    <w:name w:val="条2"/>
    <w:basedOn w:val="1"/>
    <w:next w:val="1"/>
    <w:autoRedefine/>
    <w:qFormat/>
    <w:uiPriority w:val="0"/>
    <w:pPr>
      <w:widowControl/>
      <w:tabs>
        <w:tab w:val="left" w:pos="1080"/>
      </w:tabs>
      <w:jc w:val="left"/>
      <w:outlineLvl w:val="1"/>
    </w:pPr>
    <w:rPr>
      <w:rFonts w:ascii="黑体" w:eastAsia="黑体"/>
      <w:kern w:val="21"/>
      <w:sz w:val="28"/>
      <w:szCs w:val="20"/>
    </w:rPr>
  </w:style>
  <w:style w:type="paragraph" w:customStyle="1" w:styleId="2884">
    <w:name w:val="样式 正文1 + 首行缩进:  2 字符"/>
    <w:basedOn w:val="1"/>
    <w:autoRedefine/>
    <w:qFormat/>
    <w:uiPriority w:val="0"/>
    <w:pPr>
      <w:adjustRightInd w:val="0"/>
      <w:snapToGrid w:val="0"/>
      <w:spacing w:line="360" w:lineRule="auto"/>
      <w:ind w:firstLine="200" w:firstLineChars="200"/>
    </w:pPr>
    <w:rPr>
      <w:rFonts w:eastAsia="仿宋_GB2312"/>
      <w:sz w:val="28"/>
      <w:szCs w:val="28"/>
    </w:rPr>
  </w:style>
  <w:style w:type="paragraph" w:customStyle="1" w:styleId="2885">
    <w:name w:val="Char Char Char Char Char Char Char Char Char1 Char Char Char Char Char Char Char Char1 Char Char Char2"/>
    <w:basedOn w:val="1"/>
    <w:autoRedefine/>
    <w:qFormat/>
    <w:uiPriority w:val="0"/>
    <w:pPr>
      <w:snapToGrid w:val="0"/>
      <w:spacing w:line="360" w:lineRule="auto"/>
      <w:ind w:firstLine="200" w:firstLineChars="200"/>
    </w:pPr>
    <w:rPr>
      <w:rFonts w:eastAsia="仿宋_GB2312"/>
      <w:szCs w:val="21"/>
    </w:rPr>
  </w:style>
  <w:style w:type="paragraph" w:customStyle="1" w:styleId="2886">
    <w:name w:val="条3"/>
    <w:basedOn w:val="1"/>
    <w:next w:val="1"/>
    <w:autoRedefine/>
    <w:qFormat/>
    <w:uiPriority w:val="0"/>
    <w:pPr>
      <w:widowControl/>
      <w:tabs>
        <w:tab w:val="left" w:pos="1440"/>
      </w:tabs>
      <w:jc w:val="left"/>
      <w:outlineLvl w:val="1"/>
    </w:pPr>
    <w:rPr>
      <w:rFonts w:ascii="黑体" w:eastAsia="黑体"/>
      <w:kern w:val="21"/>
      <w:sz w:val="28"/>
      <w:szCs w:val="20"/>
    </w:rPr>
  </w:style>
  <w:style w:type="paragraph" w:customStyle="1" w:styleId="2887">
    <w:name w:val="条4"/>
    <w:basedOn w:val="1"/>
    <w:next w:val="1"/>
    <w:autoRedefine/>
    <w:qFormat/>
    <w:uiPriority w:val="0"/>
    <w:pPr>
      <w:widowControl/>
      <w:tabs>
        <w:tab w:val="left" w:pos="992"/>
      </w:tabs>
      <w:ind w:left="992" w:hanging="992"/>
      <w:jc w:val="left"/>
      <w:outlineLvl w:val="1"/>
    </w:pPr>
    <w:rPr>
      <w:rFonts w:ascii="黑体" w:eastAsia="黑体"/>
      <w:kern w:val="21"/>
      <w:sz w:val="28"/>
      <w:szCs w:val="20"/>
    </w:rPr>
  </w:style>
  <w:style w:type="paragraph" w:customStyle="1" w:styleId="2888">
    <w:name w:val="条5"/>
    <w:basedOn w:val="1"/>
    <w:next w:val="1"/>
    <w:autoRedefine/>
    <w:qFormat/>
    <w:uiPriority w:val="0"/>
    <w:pPr>
      <w:widowControl/>
      <w:tabs>
        <w:tab w:val="left" w:pos="1134"/>
      </w:tabs>
      <w:ind w:left="1134" w:hanging="1134"/>
      <w:jc w:val="left"/>
      <w:outlineLvl w:val="1"/>
    </w:pPr>
    <w:rPr>
      <w:rFonts w:ascii="黑体" w:eastAsia="黑体"/>
      <w:kern w:val="21"/>
      <w:sz w:val="28"/>
      <w:szCs w:val="20"/>
    </w:rPr>
  </w:style>
  <w:style w:type="paragraph" w:customStyle="1" w:styleId="2889">
    <w:name w:val="Char Char2 Char Char Char Char Char Char2"/>
    <w:basedOn w:val="1"/>
    <w:autoRedefine/>
    <w:qFormat/>
    <w:uiPriority w:val="0"/>
    <w:pPr>
      <w:spacing w:line="480" w:lineRule="exact"/>
    </w:pPr>
    <w:rPr>
      <w:rFonts w:eastAsia="仿宋_GB2312"/>
      <w:sz w:val="22"/>
      <w:szCs w:val="21"/>
    </w:rPr>
  </w:style>
  <w:style w:type="paragraph" w:customStyle="1" w:styleId="2890">
    <w:name w:val="IDC A-Head (2nd Line)"/>
    <w:basedOn w:val="1"/>
    <w:next w:val="1"/>
    <w:autoRedefine/>
    <w:qFormat/>
    <w:uiPriority w:val="0"/>
    <w:pPr>
      <w:widowControl/>
      <w:jc w:val="center"/>
    </w:pPr>
    <w:rPr>
      <w:rFonts w:eastAsia="仿宋_GB2312"/>
      <w:caps/>
      <w:kern w:val="0"/>
      <w:szCs w:val="20"/>
    </w:rPr>
  </w:style>
  <w:style w:type="paragraph" w:customStyle="1" w:styleId="2891">
    <w:name w:val="样式 小四 首行缩进:  24 磅 行距: 多倍行距 1.25 字行"/>
    <w:basedOn w:val="1"/>
    <w:autoRedefine/>
    <w:qFormat/>
    <w:uiPriority w:val="0"/>
    <w:pPr>
      <w:widowControl/>
      <w:adjustRightInd w:val="0"/>
      <w:spacing w:line="440" w:lineRule="exact"/>
      <w:ind w:firstLine="480"/>
      <w:jc w:val="left"/>
      <w:textAlignment w:val="baseline"/>
    </w:pPr>
    <w:rPr>
      <w:rFonts w:eastAsia="仿宋_GB2312"/>
      <w:kern w:val="0"/>
      <w:szCs w:val="20"/>
    </w:rPr>
  </w:style>
  <w:style w:type="paragraph" w:customStyle="1" w:styleId="2892">
    <w:name w:val="表格样式"/>
    <w:basedOn w:val="1"/>
    <w:autoRedefine/>
    <w:qFormat/>
    <w:uiPriority w:val="0"/>
    <w:pPr>
      <w:adjustRightInd w:val="0"/>
      <w:snapToGrid w:val="0"/>
    </w:pPr>
    <w:rPr>
      <w:rFonts w:eastAsia="仿宋_GB2312"/>
      <w:szCs w:val="21"/>
    </w:rPr>
  </w:style>
  <w:style w:type="paragraph" w:customStyle="1" w:styleId="2893">
    <w:name w:val=".66l.66l"/>
    <w:basedOn w:val="1"/>
    <w:autoRedefine/>
    <w:qFormat/>
    <w:uiPriority w:val="0"/>
    <w:pPr>
      <w:widowControl/>
      <w:autoSpaceDE w:val="0"/>
      <w:autoSpaceDN w:val="0"/>
      <w:adjustRightInd w:val="0"/>
      <w:spacing w:line="312" w:lineRule="atLeast"/>
      <w:ind w:firstLine="570"/>
      <w:jc w:val="left"/>
      <w:textAlignment w:val="baseline"/>
    </w:pPr>
    <w:rPr>
      <w:rFonts w:eastAsia="仿宋_GB2312"/>
      <w:kern w:val="0"/>
      <w:sz w:val="28"/>
      <w:szCs w:val="20"/>
    </w:rPr>
  </w:style>
  <w:style w:type="paragraph" w:customStyle="1" w:styleId="2894">
    <w:name w:val="样式 标题 3小标题小节标题条标题1.1.1H3BOD 0Heading 3 - oldLevel 3 Head..."/>
    <w:basedOn w:val="5"/>
    <w:autoRedefine/>
    <w:qFormat/>
    <w:uiPriority w:val="0"/>
    <w:pPr>
      <w:widowControl/>
      <w:tabs>
        <w:tab w:val="left" w:pos="1080"/>
        <w:tab w:val="left" w:pos="7088"/>
      </w:tabs>
      <w:adjustRightInd w:val="0"/>
      <w:snapToGrid w:val="0"/>
      <w:spacing w:beforeLines="50" w:afterLines="50" w:line="500" w:lineRule="exact"/>
    </w:pPr>
    <w:rPr>
      <w:rFonts w:ascii="黑体" w:hAnsi="Times New Roman" w:eastAsia="黑体" w:cs="Times New Roman"/>
      <w:b w:val="0"/>
      <w:bCs w:val="0"/>
      <w:sz w:val="30"/>
      <w:szCs w:val="20"/>
      <w:lang w:val="zh-CN"/>
    </w:rPr>
  </w:style>
  <w:style w:type="paragraph" w:customStyle="1" w:styleId="2895">
    <w:name w:val="目次、标准名称标题"/>
    <w:basedOn w:val="885"/>
    <w:next w:val="21"/>
    <w:autoRedefine/>
    <w:qFormat/>
    <w:uiPriority w:val="0"/>
    <w:pPr>
      <w:tabs>
        <w:tab w:val="clear" w:pos="903"/>
      </w:tabs>
      <w:spacing w:line="460" w:lineRule="exact"/>
      <w:ind w:left="0" w:firstLine="0"/>
    </w:pPr>
    <w:rPr>
      <w:rFonts w:cs="宋体"/>
      <w:szCs w:val="20"/>
    </w:rPr>
  </w:style>
  <w:style w:type="paragraph" w:customStyle="1" w:styleId="2896">
    <w:name w:val="纯文本11"/>
    <w:basedOn w:val="1"/>
    <w:autoRedefine/>
    <w:qFormat/>
    <w:uiPriority w:val="0"/>
    <w:pPr>
      <w:adjustRightInd w:val="0"/>
      <w:textAlignment w:val="baseline"/>
    </w:pPr>
    <w:rPr>
      <w:rFonts w:eastAsia="仿宋_GB2312"/>
      <w:sz w:val="28"/>
      <w:szCs w:val="20"/>
    </w:rPr>
  </w:style>
  <w:style w:type="paragraph" w:customStyle="1" w:styleId="2897">
    <w:name w:val="小五表文"/>
    <w:autoRedefine/>
    <w:qFormat/>
    <w:uiPriority w:val="0"/>
    <w:pPr>
      <w:jc w:val="center"/>
    </w:pPr>
    <w:rPr>
      <w:rFonts w:ascii="Times New Roman" w:hAnsi="Times New Roman" w:eastAsia="仿宋_GB2312" w:cs="宋体"/>
      <w:sz w:val="18"/>
      <w:szCs w:val="21"/>
      <w:lang w:val="en-US" w:eastAsia="zh-CN" w:bidi="ar-SA"/>
    </w:rPr>
  </w:style>
  <w:style w:type="paragraph" w:customStyle="1" w:styleId="2898">
    <w:name w:val="text0"/>
    <w:basedOn w:val="1"/>
    <w:autoRedefine/>
    <w:qFormat/>
    <w:uiPriority w:val="0"/>
    <w:pPr>
      <w:widowControl/>
      <w:spacing w:before="100" w:beforeAutospacing="1" w:after="100" w:afterAutospacing="1" w:line="420" w:lineRule="atLeast"/>
      <w:jc w:val="left"/>
    </w:pPr>
    <w:rPr>
      <w:rFonts w:ascii="??" w:hAnsi="??" w:eastAsia="仿宋_GB2312"/>
      <w:color w:val="333333"/>
      <w:kern w:val="0"/>
      <w:sz w:val="18"/>
      <w:szCs w:val="18"/>
    </w:rPr>
  </w:style>
  <w:style w:type="paragraph" w:customStyle="1" w:styleId="2899">
    <w:name w:val="目录标题"/>
    <w:basedOn w:val="1"/>
    <w:autoRedefine/>
    <w:qFormat/>
    <w:uiPriority w:val="0"/>
    <w:pPr>
      <w:widowControl/>
      <w:tabs>
        <w:tab w:val="right" w:leader="dot" w:pos="8296"/>
      </w:tabs>
      <w:spacing w:line="440" w:lineRule="exact"/>
      <w:ind w:firstLine="482"/>
      <w:jc w:val="center"/>
    </w:pPr>
    <w:rPr>
      <w:rFonts w:eastAsia="仿宋_GB2312"/>
      <w:b/>
      <w:sz w:val="32"/>
      <w:szCs w:val="20"/>
    </w:rPr>
  </w:style>
  <w:style w:type="paragraph" w:customStyle="1" w:styleId="2900">
    <w:name w:val="样式 标题 2 + 楷体_GB2312 四号 段前: 7.8 磅"/>
    <w:basedOn w:val="4"/>
    <w:autoRedefine/>
    <w:qFormat/>
    <w:uiPriority w:val="0"/>
    <w:pPr>
      <w:keepNext w:val="0"/>
      <w:keepLines w:val="0"/>
      <w:tabs>
        <w:tab w:val="clear" w:pos="1276"/>
      </w:tabs>
      <w:adjustRightInd/>
      <w:spacing w:beforeAutospacing="1" w:afterAutospacing="1" w:line="415" w:lineRule="auto"/>
      <w:ind w:left="0"/>
      <w:contextualSpacing/>
      <w:textAlignment w:val="auto"/>
    </w:pPr>
    <w:rPr>
      <w:rFonts w:ascii="楷体_GB2312" w:hAnsi="Times New Roman" w:eastAsia="楷体_GB2312" w:cs="宋体"/>
      <w:bCs/>
      <w:lang w:val="zh-CN"/>
    </w:rPr>
  </w:style>
  <w:style w:type="paragraph" w:customStyle="1" w:styleId="2901">
    <w:name w:val="样式 楷体_GB2312 四号 加粗 行距: 固定值 28 磅"/>
    <w:basedOn w:val="1"/>
    <w:autoRedefine/>
    <w:qFormat/>
    <w:uiPriority w:val="0"/>
    <w:pPr>
      <w:spacing w:before="100" w:beforeAutospacing="1" w:after="100" w:afterAutospacing="1" w:line="560" w:lineRule="exact"/>
    </w:pPr>
    <w:rPr>
      <w:rFonts w:ascii="楷体_GB2312" w:eastAsia="楷体_GB2312" w:cs="宋体"/>
      <w:b/>
      <w:bCs/>
      <w:sz w:val="28"/>
      <w:szCs w:val="20"/>
    </w:rPr>
  </w:style>
  <w:style w:type="paragraph" w:customStyle="1" w:styleId="2902">
    <w:name w:val="条款"/>
    <w:basedOn w:val="1"/>
    <w:autoRedefine/>
    <w:qFormat/>
    <w:uiPriority w:val="0"/>
    <w:pPr>
      <w:widowControl/>
      <w:jc w:val="left"/>
    </w:pPr>
    <w:rPr>
      <w:rFonts w:eastAsia="仿宋_GB2312"/>
      <w:sz w:val="28"/>
      <w:szCs w:val="20"/>
    </w:rPr>
  </w:style>
  <w:style w:type="paragraph" w:customStyle="1" w:styleId="2903">
    <w:name w:val="head"/>
    <w:basedOn w:val="1"/>
    <w:next w:val="1"/>
    <w:autoRedefine/>
    <w:qFormat/>
    <w:uiPriority w:val="0"/>
    <w:pPr>
      <w:keepNext/>
      <w:keepLines/>
      <w:widowControl/>
      <w:adjustRightInd w:val="0"/>
      <w:snapToGrid w:val="0"/>
      <w:spacing w:before="260" w:after="260" w:line="312" w:lineRule="auto"/>
      <w:jc w:val="left"/>
      <w:outlineLvl w:val="2"/>
    </w:pPr>
    <w:rPr>
      <w:rFonts w:ascii="仿宋_GB2312" w:eastAsia="仿宋_GB2312"/>
      <w:sz w:val="28"/>
      <w:szCs w:val="20"/>
    </w:rPr>
  </w:style>
  <w:style w:type="paragraph" w:customStyle="1" w:styleId="2904">
    <w:name w:val="表格名称"/>
    <w:basedOn w:val="1"/>
    <w:autoRedefine/>
    <w:qFormat/>
    <w:uiPriority w:val="0"/>
    <w:pPr>
      <w:keepLines/>
      <w:widowControl/>
      <w:tabs>
        <w:tab w:val="left" w:pos="360"/>
      </w:tabs>
      <w:spacing w:beforeLines="20" w:afterLines="20" w:line="440" w:lineRule="exact"/>
      <w:ind w:left="360" w:hanging="360"/>
      <w:jc w:val="left"/>
    </w:pPr>
    <w:rPr>
      <w:rFonts w:eastAsia="黑体"/>
      <w:szCs w:val="20"/>
    </w:rPr>
  </w:style>
  <w:style w:type="paragraph" w:customStyle="1" w:styleId="2905">
    <w:name w:val="报告书 1级标题"/>
    <w:basedOn w:val="3"/>
    <w:autoRedefine/>
    <w:qFormat/>
    <w:uiPriority w:val="0"/>
    <w:pPr>
      <w:widowControl/>
      <w:spacing w:before="0" w:after="0" w:line="500" w:lineRule="exact"/>
      <w:jc w:val="left"/>
    </w:pPr>
    <w:rPr>
      <w:rFonts w:eastAsia="黑体"/>
      <w:bCs/>
      <w:color w:val="000000"/>
      <w:sz w:val="32"/>
      <w:szCs w:val="32"/>
      <w:lang w:val="zh-CN"/>
    </w:rPr>
  </w:style>
  <w:style w:type="paragraph" w:customStyle="1" w:styleId="2906">
    <w:name w:val="报告书 2级标题"/>
    <w:basedOn w:val="4"/>
    <w:autoRedefine/>
    <w:qFormat/>
    <w:uiPriority w:val="0"/>
    <w:pPr>
      <w:keepNext w:val="0"/>
      <w:keepLines w:val="0"/>
      <w:tabs>
        <w:tab w:val="left" w:pos="0"/>
        <w:tab w:val="clear" w:pos="1276"/>
      </w:tabs>
      <w:adjustRightInd/>
      <w:spacing w:before="0" w:after="0" w:line="500" w:lineRule="exact"/>
      <w:ind w:left="420" w:hanging="420"/>
      <w:contextualSpacing/>
      <w:textAlignment w:val="auto"/>
    </w:pPr>
    <w:rPr>
      <w:rFonts w:ascii="Times New Roman" w:hAnsi="Times New Roman" w:eastAsia="仿宋"/>
      <w:bCs/>
      <w:sz w:val="30"/>
      <w:szCs w:val="30"/>
      <w:lang w:val="zh-CN"/>
    </w:rPr>
  </w:style>
  <w:style w:type="paragraph" w:customStyle="1" w:styleId="2907">
    <w:name w:val="报告书 表头"/>
    <w:next w:val="2834"/>
    <w:autoRedefine/>
    <w:qFormat/>
    <w:uiPriority w:val="0"/>
    <w:pPr>
      <w:adjustRightInd w:val="0"/>
      <w:snapToGrid w:val="0"/>
      <w:spacing w:line="500" w:lineRule="exact"/>
      <w:ind w:firstLine="273" w:firstLineChars="273"/>
      <w:jc w:val="center"/>
    </w:pPr>
    <w:rPr>
      <w:rFonts w:ascii="Times New Roman" w:hAnsi="Times New Roman" w:eastAsia="仿宋_GB2312" w:cs="宋体"/>
      <w:b/>
      <w:sz w:val="28"/>
      <w:szCs w:val="28"/>
      <w:lang w:val="zh-CN" w:eastAsia="zh-CN" w:bidi="ar-SA"/>
    </w:rPr>
  </w:style>
  <w:style w:type="paragraph" w:customStyle="1" w:styleId="2908">
    <w:name w:val="引用1"/>
    <w:basedOn w:val="1"/>
    <w:next w:val="1"/>
    <w:autoRedefine/>
    <w:qFormat/>
    <w:uiPriority w:val="0"/>
    <w:pPr>
      <w:widowControl/>
      <w:jc w:val="center"/>
    </w:pPr>
    <w:rPr>
      <w:rFonts w:eastAsia="仿宋_GB2312"/>
      <w:iCs/>
      <w:color w:val="000000"/>
      <w:szCs w:val="21"/>
    </w:rPr>
  </w:style>
  <w:style w:type="paragraph" w:customStyle="1" w:styleId="2909">
    <w:name w:val="Char Char Char Char4"/>
    <w:basedOn w:val="1"/>
    <w:autoRedefine/>
    <w:qFormat/>
    <w:uiPriority w:val="0"/>
    <w:pPr>
      <w:widowControl/>
      <w:jc w:val="left"/>
    </w:pPr>
    <w:rPr>
      <w:rFonts w:eastAsia="仿宋_GB2312"/>
      <w:szCs w:val="21"/>
    </w:rPr>
  </w:style>
  <w:style w:type="paragraph" w:customStyle="1" w:styleId="2910">
    <w:name w:val="Char Char Char Char Char Char Char Char Char Char Char Char Char2"/>
    <w:basedOn w:val="1"/>
    <w:autoRedefine/>
    <w:qFormat/>
    <w:uiPriority w:val="0"/>
    <w:rPr>
      <w:rFonts w:eastAsia="仿宋_GB2312"/>
      <w:sz w:val="28"/>
      <w:szCs w:val="21"/>
    </w:rPr>
  </w:style>
  <w:style w:type="paragraph" w:customStyle="1" w:styleId="2911">
    <w:name w:val="Char Char1 Char Char Char Char Char Char Char Char Char Char Char Char Char Char Char Char Char Char Char Char1 Char2"/>
    <w:basedOn w:val="1"/>
    <w:autoRedefine/>
    <w:qFormat/>
    <w:uiPriority w:val="0"/>
    <w:pPr>
      <w:widowControl/>
      <w:jc w:val="left"/>
    </w:pPr>
    <w:rPr>
      <w:rFonts w:eastAsia="仿宋_GB2312" w:cs="宋体"/>
      <w:szCs w:val="21"/>
    </w:rPr>
  </w:style>
  <w:style w:type="paragraph" w:customStyle="1" w:styleId="2912">
    <w:name w:val="Char Char Char Char Char Char Char Char Char Char Char1 Char Char Char Char Char Char Char"/>
    <w:basedOn w:val="1"/>
    <w:autoRedefine/>
    <w:qFormat/>
    <w:uiPriority w:val="0"/>
    <w:rPr>
      <w:rFonts w:eastAsia="仿宋_GB2312"/>
      <w:sz w:val="28"/>
      <w:szCs w:val="21"/>
    </w:rPr>
  </w:style>
  <w:style w:type="paragraph" w:customStyle="1" w:styleId="2913">
    <w:name w:val="Char4 Char Char Char Char Char Char Char Char Char Char Char Char Char Char Char Char Char1 Char Char Char Char Char Char1 Char1"/>
    <w:basedOn w:val="1"/>
    <w:autoRedefine/>
    <w:qFormat/>
    <w:uiPriority w:val="0"/>
    <w:pPr>
      <w:widowControl/>
      <w:spacing w:line="240" w:lineRule="exact"/>
      <w:jc w:val="left"/>
    </w:pPr>
    <w:rPr>
      <w:rFonts w:eastAsia="仿宋_GB2312" w:cs="宋体"/>
      <w:kern w:val="0"/>
      <w:sz w:val="28"/>
      <w:szCs w:val="28"/>
    </w:rPr>
  </w:style>
  <w:style w:type="paragraph" w:customStyle="1" w:styleId="2914">
    <w:name w:val="样式 居中 段前: 4 磅 段后: 4 磅"/>
    <w:basedOn w:val="1"/>
    <w:autoRedefine/>
    <w:qFormat/>
    <w:uiPriority w:val="0"/>
    <w:pPr>
      <w:snapToGrid w:val="0"/>
      <w:spacing w:before="80" w:after="80"/>
      <w:jc w:val="center"/>
    </w:pPr>
    <w:rPr>
      <w:rFonts w:eastAsia="仿宋_GB2312" w:cs="宋体"/>
      <w:sz w:val="28"/>
      <w:szCs w:val="20"/>
    </w:rPr>
  </w:style>
  <w:style w:type="paragraph" w:customStyle="1" w:styleId="2915">
    <w:name w:val="Char Char Char Char Char Char Char Char1 Char Char Char Char Char Char Char Char Char Char Char Char1 Char1"/>
    <w:basedOn w:val="1"/>
    <w:autoRedefine/>
    <w:qFormat/>
    <w:uiPriority w:val="0"/>
    <w:pPr>
      <w:widowControl/>
      <w:jc w:val="left"/>
    </w:pPr>
    <w:rPr>
      <w:rFonts w:eastAsia="仿宋_GB2312" w:cs="宋体"/>
      <w:kern w:val="0"/>
      <w:szCs w:val="21"/>
    </w:rPr>
  </w:style>
  <w:style w:type="paragraph" w:customStyle="1" w:styleId="2916">
    <w:name w:val="Char1 Char Char Char2"/>
    <w:basedOn w:val="1"/>
    <w:autoRedefine/>
    <w:qFormat/>
    <w:uiPriority w:val="0"/>
    <w:pPr>
      <w:widowControl/>
      <w:jc w:val="left"/>
    </w:pPr>
    <w:rPr>
      <w:rFonts w:eastAsia="仿宋_GB2312" w:cs="宋体"/>
      <w:kern w:val="0"/>
      <w:szCs w:val="21"/>
    </w:rPr>
  </w:style>
  <w:style w:type="paragraph" w:customStyle="1" w:styleId="2917">
    <w:name w:val="Char Char Char Char Char Char Char Char Char Char Char Char Char Char Char Char Char Char Char Char Char Char Char Char Char Char Char Char Char Char Char Char Char Char Char Char1"/>
    <w:basedOn w:val="1"/>
    <w:autoRedefine/>
    <w:qFormat/>
    <w:uiPriority w:val="0"/>
    <w:pPr>
      <w:widowControl/>
      <w:jc w:val="left"/>
    </w:pPr>
    <w:rPr>
      <w:rFonts w:eastAsia="仿宋_GB2312" w:cs="宋体"/>
      <w:kern w:val="0"/>
      <w:szCs w:val="21"/>
    </w:rPr>
  </w:style>
  <w:style w:type="paragraph" w:customStyle="1" w:styleId="2918">
    <w:name w:val="样式 (符号) 宋体 段前: 4 磅 段后: 4 磅 行距: 最小值 12 磅"/>
    <w:basedOn w:val="1"/>
    <w:autoRedefine/>
    <w:qFormat/>
    <w:uiPriority w:val="0"/>
    <w:pPr>
      <w:snapToGrid w:val="0"/>
      <w:spacing w:before="80" w:after="80"/>
    </w:pPr>
    <w:rPr>
      <w:rFonts w:eastAsia="仿宋_GB2312" w:cs="宋体"/>
      <w:sz w:val="28"/>
      <w:szCs w:val="20"/>
    </w:rPr>
  </w:style>
  <w:style w:type="paragraph" w:customStyle="1" w:styleId="2919">
    <w:name w:val="Char Char Char Char Char Char Char Char Char1 Char Char Char Char2"/>
    <w:basedOn w:val="1"/>
    <w:autoRedefine/>
    <w:qFormat/>
    <w:uiPriority w:val="0"/>
    <w:pPr>
      <w:widowControl/>
      <w:jc w:val="left"/>
    </w:pPr>
    <w:rPr>
      <w:rFonts w:eastAsia="仿宋_GB2312" w:cs="宋体"/>
      <w:kern w:val="0"/>
      <w:szCs w:val="21"/>
    </w:rPr>
  </w:style>
  <w:style w:type="paragraph" w:customStyle="1" w:styleId="2920">
    <w:name w:val="Char Char Char Char Char Char Char Char Char Char Char Char1"/>
    <w:basedOn w:val="1"/>
    <w:autoRedefine/>
    <w:qFormat/>
    <w:uiPriority w:val="0"/>
    <w:pPr>
      <w:widowControl/>
      <w:jc w:val="left"/>
    </w:pPr>
    <w:rPr>
      <w:rFonts w:eastAsia="仿宋_GB2312" w:cs="宋体"/>
      <w:kern w:val="0"/>
      <w:szCs w:val="21"/>
    </w:rPr>
  </w:style>
  <w:style w:type="paragraph" w:customStyle="1" w:styleId="2921">
    <w:name w:val="基准页眉样式"/>
    <w:basedOn w:val="34"/>
    <w:autoRedefine/>
    <w:qFormat/>
    <w:uiPriority w:val="0"/>
    <w:pPr>
      <w:spacing w:after="0"/>
      <w:jc w:val="center"/>
    </w:pPr>
    <w:rPr>
      <w:rFonts w:eastAsia="仿宋_GB2312" w:cstheme="minorBidi"/>
      <w:color w:val="000000"/>
      <w:spacing w:val="15"/>
      <w:szCs w:val="20"/>
    </w:rPr>
  </w:style>
  <w:style w:type="paragraph" w:customStyle="1" w:styleId="2922">
    <w:name w:val="正文文本 23"/>
    <w:basedOn w:val="1"/>
    <w:autoRedefine/>
    <w:qFormat/>
    <w:uiPriority w:val="0"/>
    <w:pPr>
      <w:widowControl/>
      <w:adjustRightInd w:val="0"/>
      <w:spacing w:after="120"/>
      <w:ind w:left="420"/>
      <w:jc w:val="left"/>
      <w:textAlignment w:val="baseline"/>
    </w:pPr>
    <w:rPr>
      <w:rFonts w:eastAsia="仿宋_GB2312" w:cs="宋体"/>
      <w:kern w:val="0"/>
      <w:szCs w:val="20"/>
    </w:rPr>
  </w:style>
  <w:style w:type="paragraph" w:customStyle="1" w:styleId="2923">
    <w:name w:val="Char Char Char2"/>
    <w:basedOn w:val="1"/>
    <w:autoRedefine/>
    <w:qFormat/>
    <w:uiPriority w:val="0"/>
    <w:pPr>
      <w:widowControl/>
      <w:jc w:val="left"/>
    </w:pPr>
    <w:rPr>
      <w:rFonts w:eastAsia="仿宋_GB2312" w:cs="宋体"/>
      <w:kern w:val="0"/>
      <w:szCs w:val="21"/>
    </w:rPr>
  </w:style>
  <w:style w:type="paragraph" w:customStyle="1" w:styleId="2924">
    <w:name w:val="样式1 + 四号 居中"/>
    <w:basedOn w:val="1113"/>
    <w:autoRedefine/>
    <w:qFormat/>
    <w:uiPriority w:val="0"/>
    <w:pPr>
      <w:keepNext w:val="0"/>
      <w:keepLines w:val="0"/>
      <w:spacing w:before="0" w:after="0" w:line="336" w:lineRule="auto"/>
      <w:outlineLvl w:val="9"/>
    </w:pPr>
    <w:rPr>
      <w:rFonts w:cs="宋体" w:asciiTheme="minorHAnsi" w:hAnsiTheme="minorHAnsi"/>
      <w:b w:val="0"/>
      <w:bCs w:val="0"/>
      <w:kern w:val="2"/>
      <w:sz w:val="28"/>
      <w:szCs w:val="20"/>
    </w:rPr>
  </w:style>
  <w:style w:type="paragraph" w:customStyle="1" w:styleId="2925">
    <w:name w:val="Char Char Char Char Char Char Char Char Char Char Char Char Char Char Char Char Char Char Char1"/>
    <w:basedOn w:val="1"/>
    <w:autoRedefine/>
    <w:qFormat/>
    <w:uiPriority w:val="0"/>
    <w:pPr>
      <w:widowControl/>
      <w:jc w:val="left"/>
    </w:pPr>
    <w:rPr>
      <w:rFonts w:eastAsia="仿宋_GB2312" w:cs="宋体"/>
      <w:kern w:val="0"/>
      <w:szCs w:val="21"/>
    </w:rPr>
  </w:style>
  <w:style w:type="paragraph" w:customStyle="1" w:styleId="2926">
    <w:name w:val="项目符号2"/>
    <w:basedOn w:val="2927"/>
    <w:autoRedefine/>
    <w:qFormat/>
    <w:uiPriority w:val="0"/>
    <w:pPr>
      <w:tabs>
        <w:tab w:val="left" w:pos="360"/>
        <w:tab w:val="left" w:pos="420"/>
        <w:tab w:val="left" w:pos="935"/>
        <w:tab w:val="left" w:pos="1275"/>
      </w:tabs>
      <w:ind w:left="850" w:hanging="1275"/>
    </w:pPr>
    <w:rPr>
      <w:b w:val="0"/>
    </w:rPr>
  </w:style>
  <w:style w:type="paragraph" w:customStyle="1" w:styleId="2927">
    <w:name w:val="项目符号1"/>
    <w:basedOn w:val="1"/>
    <w:autoRedefine/>
    <w:qFormat/>
    <w:uiPriority w:val="0"/>
    <w:pPr>
      <w:tabs>
        <w:tab w:val="left" w:pos="360"/>
        <w:tab w:val="left" w:pos="935"/>
      </w:tabs>
      <w:snapToGrid w:val="0"/>
      <w:spacing w:before="120" w:after="120" w:line="312" w:lineRule="auto"/>
      <w:ind w:left="935"/>
    </w:pPr>
    <w:rPr>
      <w:rFonts w:ascii="Arial" w:hAnsi="Arial" w:eastAsia="楷体_GB2312"/>
      <w:b/>
      <w:sz w:val="28"/>
      <w:szCs w:val="20"/>
    </w:rPr>
  </w:style>
  <w:style w:type="paragraph" w:customStyle="1" w:styleId="2928">
    <w:name w:val="Char Char Char Char Char Char Char Char Char Char Char Char Char Char Char Char Char Char1"/>
    <w:basedOn w:val="1"/>
    <w:autoRedefine/>
    <w:qFormat/>
    <w:uiPriority w:val="0"/>
    <w:pPr>
      <w:widowControl/>
      <w:jc w:val="left"/>
    </w:pPr>
    <w:rPr>
      <w:rFonts w:eastAsia="仿宋_GB2312" w:cs="宋体"/>
      <w:kern w:val="0"/>
      <w:szCs w:val="21"/>
    </w:rPr>
  </w:style>
  <w:style w:type="paragraph" w:customStyle="1" w:styleId="2929">
    <w:name w:val="Char2 Char Char Char Char Char Char Char Char Char Char Char1 Char Char Char Char Char Char Char1"/>
    <w:basedOn w:val="1"/>
    <w:autoRedefine/>
    <w:qFormat/>
    <w:uiPriority w:val="0"/>
    <w:pPr>
      <w:widowControl/>
      <w:jc w:val="left"/>
    </w:pPr>
    <w:rPr>
      <w:rFonts w:eastAsia="仿宋_GB2312" w:cs="宋体"/>
      <w:kern w:val="0"/>
      <w:szCs w:val="21"/>
    </w:rPr>
  </w:style>
  <w:style w:type="paragraph" w:customStyle="1" w:styleId="2930">
    <w:name w:val="段前: 4 磅 段后: 4 磅"/>
    <w:basedOn w:val="1"/>
    <w:next w:val="2931"/>
    <w:autoRedefine/>
    <w:qFormat/>
    <w:uiPriority w:val="0"/>
    <w:pPr>
      <w:spacing w:before="80" w:after="80"/>
    </w:pPr>
    <w:rPr>
      <w:rFonts w:eastAsia="仿宋_GB2312" w:cs="宋体"/>
      <w:sz w:val="28"/>
      <w:szCs w:val="21"/>
    </w:rPr>
  </w:style>
  <w:style w:type="paragraph" w:customStyle="1" w:styleId="2931">
    <w:name w:val="样式 段前: 4 磅 段后: 4 磅"/>
    <w:basedOn w:val="1"/>
    <w:autoRedefine/>
    <w:qFormat/>
    <w:uiPriority w:val="0"/>
    <w:pPr>
      <w:snapToGrid w:val="0"/>
      <w:spacing w:before="80" w:after="80"/>
    </w:pPr>
    <w:rPr>
      <w:rFonts w:eastAsia="仿宋_GB2312" w:cs="宋体"/>
      <w:sz w:val="28"/>
      <w:szCs w:val="20"/>
    </w:rPr>
  </w:style>
  <w:style w:type="paragraph" w:customStyle="1" w:styleId="2932">
    <w:name w:val="Char Char Char1 Char Char Char Char2"/>
    <w:basedOn w:val="1"/>
    <w:next w:val="1"/>
    <w:autoRedefine/>
    <w:qFormat/>
    <w:uiPriority w:val="0"/>
    <w:pPr>
      <w:widowControl/>
      <w:jc w:val="left"/>
    </w:pPr>
    <w:rPr>
      <w:rFonts w:eastAsia="汉鼎简书宋" w:cs="宋体"/>
      <w:szCs w:val="21"/>
    </w:rPr>
  </w:style>
  <w:style w:type="paragraph" w:customStyle="1" w:styleId="2933">
    <w:name w:val="profile"/>
    <w:basedOn w:val="1"/>
    <w:autoRedefine/>
    <w:qFormat/>
    <w:uiPriority w:val="0"/>
    <w:pPr>
      <w:widowControl/>
      <w:spacing w:before="100" w:beforeAutospacing="1" w:after="100" w:afterAutospacing="1" w:line="384" w:lineRule="auto"/>
    </w:pPr>
    <w:rPr>
      <w:rFonts w:eastAsia="仿宋_GB2312"/>
      <w:kern w:val="0"/>
      <w:sz w:val="28"/>
      <w:szCs w:val="21"/>
    </w:rPr>
  </w:style>
  <w:style w:type="paragraph" w:customStyle="1" w:styleId="2934">
    <w:name w:val="Char Char Char Char Char Char1 Char2"/>
    <w:basedOn w:val="1"/>
    <w:autoRedefine/>
    <w:qFormat/>
    <w:uiPriority w:val="0"/>
    <w:pPr>
      <w:widowControl/>
      <w:jc w:val="left"/>
    </w:pPr>
    <w:rPr>
      <w:rFonts w:eastAsia="仿宋_GB2312"/>
      <w:sz w:val="28"/>
      <w:szCs w:val="21"/>
    </w:rPr>
  </w:style>
  <w:style w:type="paragraph" w:customStyle="1" w:styleId="2935">
    <w:name w:val="日期2"/>
    <w:basedOn w:val="1"/>
    <w:next w:val="1"/>
    <w:autoRedefine/>
    <w:qFormat/>
    <w:uiPriority w:val="0"/>
    <w:pPr>
      <w:widowControl/>
      <w:adjustRightInd w:val="0"/>
      <w:jc w:val="left"/>
      <w:textAlignment w:val="baseline"/>
    </w:pPr>
    <w:rPr>
      <w:rFonts w:eastAsia="仿宋_GB2312"/>
      <w:spacing w:val="24"/>
      <w:kern w:val="24"/>
      <w:szCs w:val="20"/>
    </w:rPr>
  </w:style>
  <w:style w:type="paragraph" w:customStyle="1" w:styleId="2936">
    <w:name w:val="Char Char Char Char Char Char Char Char Char Char Char Char Char Char Char Char Char Char Char Char Char Char Char Char Char Char Char Char Char Char Char Char Char Char Char Char Char Char Char Char Char Char2"/>
    <w:basedOn w:val="1"/>
    <w:autoRedefine/>
    <w:qFormat/>
    <w:uiPriority w:val="0"/>
    <w:pPr>
      <w:widowControl/>
      <w:jc w:val="left"/>
    </w:pPr>
    <w:rPr>
      <w:rFonts w:eastAsia="仿宋_GB2312"/>
      <w:sz w:val="28"/>
      <w:szCs w:val="21"/>
    </w:rPr>
  </w:style>
  <w:style w:type="paragraph" w:customStyle="1" w:styleId="2937">
    <w:name w:val="内容"/>
    <w:basedOn w:val="1"/>
    <w:autoRedefine/>
    <w:qFormat/>
    <w:uiPriority w:val="0"/>
    <w:pPr>
      <w:spacing w:line="280" w:lineRule="atLeast"/>
      <w:jc w:val="center"/>
    </w:pPr>
    <w:rPr>
      <w:rFonts w:eastAsia="仿宋_GB2312"/>
      <w:szCs w:val="20"/>
    </w:rPr>
  </w:style>
  <w:style w:type="paragraph" w:customStyle="1" w:styleId="2938">
    <w:name w:val="Char32"/>
    <w:basedOn w:val="1"/>
    <w:autoRedefine/>
    <w:qFormat/>
    <w:uiPriority w:val="0"/>
    <w:pPr>
      <w:widowControl/>
      <w:jc w:val="left"/>
    </w:pPr>
    <w:rPr>
      <w:rFonts w:eastAsia="仿宋_GB2312"/>
      <w:szCs w:val="21"/>
    </w:rPr>
  </w:style>
  <w:style w:type="paragraph" w:customStyle="1" w:styleId="2939">
    <w:name w:val="样式 首行缩进:  0.85 厘米"/>
    <w:basedOn w:val="1"/>
    <w:autoRedefine/>
    <w:qFormat/>
    <w:uiPriority w:val="0"/>
    <w:pPr>
      <w:snapToGrid w:val="0"/>
      <w:ind w:firstLine="200" w:firstLineChars="200"/>
    </w:pPr>
    <w:rPr>
      <w:rFonts w:eastAsia="仿宋_GB2312"/>
      <w:szCs w:val="20"/>
    </w:rPr>
  </w:style>
  <w:style w:type="paragraph" w:customStyle="1" w:styleId="2940">
    <w:name w:val="Char1 Char Char Char11"/>
    <w:basedOn w:val="1"/>
    <w:autoRedefine/>
    <w:qFormat/>
    <w:uiPriority w:val="0"/>
    <w:pPr>
      <w:widowControl/>
      <w:jc w:val="left"/>
    </w:pPr>
    <w:rPr>
      <w:rFonts w:eastAsia="仿宋_GB2312"/>
      <w:szCs w:val="21"/>
    </w:rPr>
  </w:style>
  <w:style w:type="paragraph" w:customStyle="1" w:styleId="2941">
    <w:name w:val="样式2－王鹏"/>
    <w:basedOn w:val="1"/>
    <w:autoRedefine/>
    <w:qFormat/>
    <w:uiPriority w:val="0"/>
    <w:pPr>
      <w:autoSpaceDE w:val="0"/>
      <w:autoSpaceDN w:val="0"/>
      <w:adjustRightInd w:val="0"/>
      <w:snapToGrid w:val="0"/>
      <w:spacing w:line="300" w:lineRule="auto"/>
      <w:jc w:val="center"/>
      <w:textAlignment w:val="baseline"/>
    </w:pPr>
    <w:rPr>
      <w:rFonts w:eastAsia="仿宋_GB2312"/>
      <w:snapToGrid w:val="0"/>
      <w:kern w:val="0"/>
      <w:sz w:val="28"/>
      <w:szCs w:val="21"/>
    </w:rPr>
  </w:style>
  <w:style w:type="paragraph" w:customStyle="1" w:styleId="2942">
    <w:name w:val="正文 New New New New New New New New New New New New New New New New New New New New New New New New New New New New New New New New New New New New New New New New New New New New New New New New"/>
    <w:autoRedefine/>
    <w:qFormat/>
    <w:uiPriority w:val="0"/>
    <w:pPr>
      <w:widowControl w:val="0"/>
      <w:spacing w:line="360" w:lineRule="auto"/>
    </w:pPr>
    <w:rPr>
      <w:rFonts w:ascii="Times New Roman" w:hAnsi="Times New Roman" w:eastAsia="仿宋_GB2312" w:cs="宋体"/>
      <w:kern w:val="2"/>
      <w:sz w:val="24"/>
      <w:szCs w:val="24"/>
      <w:lang w:val="en-US" w:eastAsia="zh-CN" w:bidi="ar-SA"/>
    </w:rPr>
  </w:style>
  <w:style w:type="paragraph" w:customStyle="1" w:styleId="2943">
    <w:name w:val="Char Char Char Char Char Char Char7"/>
    <w:basedOn w:val="1"/>
    <w:autoRedefine/>
    <w:qFormat/>
    <w:uiPriority w:val="0"/>
    <w:rPr>
      <w:rFonts w:eastAsia="仿宋_GB2312"/>
      <w:sz w:val="28"/>
      <w:szCs w:val="21"/>
    </w:rPr>
  </w:style>
  <w:style w:type="paragraph" w:customStyle="1" w:styleId="2944">
    <w:name w:val="目标"/>
    <w:basedOn w:val="34"/>
    <w:autoRedefine/>
    <w:qFormat/>
    <w:uiPriority w:val="0"/>
    <w:pPr>
      <w:widowControl/>
      <w:pBdr>
        <w:left w:val="single" w:color="auto" w:sz="6" w:space="5"/>
      </w:pBdr>
      <w:overflowPunct w:val="0"/>
      <w:autoSpaceDE w:val="0"/>
      <w:autoSpaceDN w:val="0"/>
      <w:adjustRightInd w:val="0"/>
      <w:spacing w:before="320"/>
      <w:jc w:val="left"/>
      <w:textAlignment w:val="baseline"/>
    </w:pPr>
    <w:rPr>
      <w:rFonts w:ascii="Arial" w:hAnsi="Arial" w:eastAsia="仿宋_GB2312" w:cstheme="minorBidi"/>
      <w:i/>
      <w:kern w:val="0"/>
      <w:sz w:val="18"/>
      <w:szCs w:val="20"/>
    </w:rPr>
  </w:style>
  <w:style w:type="paragraph" w:customStyle="1" w:styleId="2945">
    <w:name w:val="正文 New New New New New New New New New New New New New New New New New New New New New New New New New New New New New New New New New New New New New New New New New New New New New"/>
    <w:autoRedefine/>
    <w:qFormat/>
    <w:uiPriority w:val="0"/>
    <w:pPr>
      <w:widowControl w:val="0"/>
      <w:spacing w:line="360" w:lineRule="auto"/>
    </w:pPr>
    <w:rPr>
      <w:rFonts w:ascii="Times New Roman" w:hAnsi="Times New Roman" w:eastAsia="仿宋_GB2312" w:cs="宋体"/>
      <w:kern w:val="2"/>
      <w:sz w:val="24"/>
      <w:szCs w:val="24"/>
      <w:lang w:val="en-US" w:eastAsia="zh-CN" w:bidi="ar-SA"/>
    </w:rPr>
  </w:style>
  <w:style w:type="paragraph" w:customStyle="1" w:styleId="2946">
    <w:name w:val="正文 New New New New New New New New New New New New New New New New New New New New New New New New New New New New New New New New New New New New New New New New New New New New New New"/>
    <w:autoRedefine/>
    <w:qFormat/>
    <w:uiPriority w:val="0"/>
    <w:pPr>
      <w:widowControl w:val="0"/>
      <w:spacing w:line="360" w:lineRule="auto"/>
    </w:pPr>
    <w:rPr>
      <w:rFonts w:ascii="Times New Roman" w:hAnsi="Times New Roman" w:eastAsia="仿宋_GB2312" w:cs="宋体"/>
      <w:kern w:val="2"/>
      <w:sz w:val="24"/>
      <w:szCs w:val="24"/>
      <w:lang w:val="en-US" w:eastAsia="zh-CN" w:bidi="ar-SA"/>
    </w:rPr>
  </w:style>
  <w:style w:type="paragraph" w:customStyle="1" w:styleId="2947">
    <w:name w:val="ÑùÊ½2"/>
    <w:basedOn w:val="1"/>
    <w:autoRedefine/>
    <w:qFormat/>
    <w:uiPriority w:val="0"/>
    <w:pPr>
      <w:overflowPunct w:val="0"/>
      <w:autoSpaceDE w:val="0"/>
      <w:autoSpaceDN w:val="0"/>
      <w:adjustRightInd w:val="0"/>
      <w:spacing w:line="410" w:lineRule="atLeast"/>
    </w:pPr>
    <w:rPr>
      <w:rFonts w:eastAsia="仿宋_GB2312"/>
      <w:kern w:val="0"/>
      <w:szCs w:val="20"/>
    </w:rPr>
  </w:style>
  <w:style w:type="paragraph" w:customStyle="1" w:styleId="2948">
    <w:name w:val="正文 New New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仿宋_GB2312" w:cs="宋体"/>
      <w:kern w:val="2"/>
      <w:sz w:val="21"/>
      <w:szCs w:val="24"/>
      <w:lang w:val="en-US" w:eastAsia="zh-CN" w:bidi="ar-SA"/>
    </w:rPr>
  </w:style>
  <w:style w:type="paragraph" w:customStyle="1" w:styleId="2949">
    <w:name w:val="Char1 Char Char Char Char Char Char3"/>
    <w:basedOn w:val="1"/>
    <w:autoRedefine/>
    <w:qFormat/>
    <w:uiPriority w:val="0"/>
    <w:rPr>
      <w:rFonts w:ascii="Tahoma" w:hAnsi="Tahoma" w:eastAsia="仿宋_GB2312"/>
      <w:szCs w:val="20"/>
    </w:rPr>
  </w:style>
  <w:style w:type="paragraph" w:customStyle="1" w:styleId="2950">
    <w:name w:val="Char Char Char Char Char Char Char6"/>
    <w:basedOn w:val="1"/>
    <w:autoRedefine/>
    <w:qFormat/>
    <w:uiPriority w:val="0"/>
    <w:rPr>
      <w:rFonts w:eastAsia="仿宋_GB2312"/>
      <w:sz w:val="28"/>
      <w:szCs w:val="21"/>
    </w:rPr>
  </w:style>
  <w:style w:type="paragraph" w:customStyle="1" w:styleId="2951">
    <w:name w:val="Char Char Char Char Char Char Char5"/>
    <w:basedOn w:val="1"/>
    <w:autoRedefine/>
    <w:qFormat/>
    <w:uiPriority w:val="0"/>
    <w:rPr>
      <w:rFonts w:eastAsia="仿宋_GB2312"/>
      <w:sz w:val="28"/>
      <w:szCs w:val="21"/>
    </w:rPr>
  </w:style>
  <w:style w:type="paragraph" w:customStyle="1" w:styleId="2952">
    <w:name w:val="Char1 Char Char Char Char Char Char2"/>
    <w:basedOn w:val="1"/>
    <w:autoRedefine/>
    <w:qFormat/>
    <w:uiPriority w:val="0"/>
    <w:rPr>
      <w:rFonts w:ascii="Tahoma" w:hAnsi="Tahoma" w:eastAsia="仿宋_GB2312"/>
      <w:szCs w:val="20"/>
    </w:rPr>
  </w:style>
  <w:style w:type="paragraph" w:customStyle="1" w:styleId="2953">
    <w:name w:val="谏壁chen表格内文字"/>
    <w:basedOn w:val="1"/>
    <w:autoRedefine/>
    <w:qFormat/>
    <w:uiPriority w:val="0"/>
    <w:pPr>
      <w:spacing w:line="0" w:lineRule="atLeast"/>
      <w:jc w:val="center"/>
    </w:pPr>
    <w:rPr>
      <w:rFonts w:eastAsia="仿宋_GB2312"/>
      <w:sz w:val="28"/>
      <w:szCs w:val="21"/>
    </w:rPr>
  </w:style>
  <w:style w:type="paragraph" w:customStyle="1" w:styleId="2954">
    <w:name w:val="Char4 Char Char Char2"/>
    <w:next w:val="2902"/>
    <w:autoRedefine/>
    <w:qFormat/>
    <w:uiPriority w:val="0"/>
    <w:pPr>
      <w:widowControl w:val="0"/>
      <w:jc w:val="both"/>
    </w:pPr>
    <w:rPr>
      <w:rFonts w:ascii="Times New Roman" w:hAnsi="Times New Roman" w:eastAsia="仿宋_GB2312" w:cs="宋体"/>
      <w:kern w:val="2"/>
      <w:sz w:val="28"/>
      <w:szCs w:val="24"/>
      <w:lang w:val="en-US" w:eastAsia="zh-CN" w:bidi="ar-SA"/>
    </w:rPr>
  </w:style>
  <w:style w:type="paragraph" w:customStyle="1" w:styleId="2955">
    <w:name w:val="Char Char Char Char Char Char Char12"/>
    <w:basedOn w:val="1"/>
    <w:autoRedefine/>
    <w:qFormat/>
    <w:uiPriority w:val="0"/>
    <w:rPr>
      <w:rFonts w:eastAsia="仿宋_GB2312"/>
      <w:sz w:val="28"/>
      <w:szCs w:val="21"/>
    </w:rPr>
  </w:style>
  <w:style w:type="paragraph" w:customStyle="1" w:styleId="2956">
    <w:name w:val="xl19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仿宋_GB2312"/>
      <w:kern w:val="0"/>
      <w:sz w:val="16"/>
      <w:szCs w:val="16"/>
    </w:rPr>
  </w:style>
  <w:style w:type="paragraph" w:customStyle="1" w:styleId="2957">
    <w:name w:val="样式 样式 标题4- + 段前: 0.5 行 + 段前: 0.5 行"/>
    <w:basedOn w:val="1"/>
    <w:autoRedefine/>
    <w:qFormat/>
    <w:uiPriority w:val="0"/>
    <w:pPr>
      <w:tabs>
        <w:tab w:val="left" w:pos="1205"/>
      </w:tabs>
      <w:autoSpaceDE w:val="0"/>
      <w:autoSpaceDN w:val="0"/>
      <w:adjustRightInd w:val="0"/>
      <w:snapToGrid w:val="0"/>
      <w:spacing w:beforeLines="50" w:line="360" w:lineRule="auto"/>
      <w:jc w:val="left"/>
      <w:textAlignment w:val="baseline"/>
      <w:outlineLvl w:val="3"/>
    </w:pPr>
    <w:rPr>
      <w:rFonts w:eastAsia="黑体" w:cs="宋体"/>
      <w:snapToGrid w:val="0"/>
      <w:spacing w:val="20"/>
      <w:kern w:val="0"/>
      <w:sz w:val="28"/>
      <w:szCs w:val="20"/>
    </w:rPr>
  </w:style>
  <w:style w:type="paragraph" w:customStyle="1" w:styleId="2958">
    <w:name w:val="Char Char Char Char Char Char Char10"/>
    <w:basedOn w:val="1"/>
    <w:autoRedefine/>
    <w:qFormat/>
    <w:uiPriority w:val="0"/>
    <w:rPr>
      <w:rFonts w:eastAsia="仿宋_GB2312"/>
      <w:sz w:val="28"/>
      <w:szCs w:val="21"/>
    </w:rPr>
  </w:style>
  <w:style w:type="paragraph" w:customStyle="1" w:styleId="2959">
    <w:name w:val="表内字"/>
    <w:autoRedefine/>
    <w:qFormat/>
    <w:uiPriority w:val="0"/>
    <w:pPr>
      <w:widowControl w:val="0"/>
      <w:adjustRightInd w:val="0"/>
      <w:snapToGrid w:val="0"/>
      <w:spacing w:line="240" w:lineRule="exact"/>
      <w:ind w:right="-21" w:rightChars="-21"/>
      <w:jc w:val="both"/>
    </w:pPr>
    <w:rPr>
      <w:rFonts w:ascii="大标宋" w:hAnsi="大标宋" w:eastAsia="仿宋_GB2312" w:cs="宋体"/>
      <w:color w:val="000000"/>
      <w:sz w:val="21"/>
      <w:szCs w:val="21"/>
      <w:lang w:val="en-US" w:eastAsia="zh-CN" w:bidi="ar-SA"/>
    </w:rPr>
  </w:style>
  <w:style w:type="paragraph" w:customStyle="1" w:styleId="2960">
    <w:name w:val="正文22"/>
    <w:autoRedefine/>
    <w:qFormat/>
    <w:uiPriority w:val="0"/>
    <w:pPr>
      <w:tabs>
        <w:tab w:val="right" w:pos="1474"/>
      </w:tabs>
      <w:spacing w:line="360" w:lineRule="auto"/>
    </w:pPr>
    <w:rPr>
      <w:rFonts w:ascii="Times New Roman" w:hAnsi="Times New Roman" w:eastAsia="仿宋_GB2312" w:cs="宋体"/>
      <w:sz w:val="24"/>
      <w:szCs w:val="21"/>
      <w:lang w:val="en-US" w:eastAsia="zh-CN" w:bidi="ar-SA"/>
    </w:rPr>
  </w:style>
  <w:style w:type="paragraph" w:customStyle="1" w:styleId="2961">
    <w:name w:val="Char Char Char Char Char Char Char9"/>
    <w:basedOn w:val="1"/>
    <w:autoRedefine/>
    <w:qFormat/>
    <w:uiPriority w:val="0"/>
    <w:rPr>
      <w:rFonts w:eastAsia="仿宋_GB2312"/>
      <w:sz w:val="28"/>
      <w:szCs w:val="21"/>
    </w:rPr>
  </w:style>
  <w:style w:type="paragraph" w:customStyle="1" w:styleId="2962">
    <w:name w:val="样式 标题1新 + 加粗"/>
    <w:basedOn w:val="2963"/>
    <w:autoRedefine/>
    <w:qFormat/>
    <w:uiPriority w:val="0"/>
    <w:pPr>
      <w:tabs>
        <w:tab w:val="left" w:pos="600"/>
        <w:tab w:val="left" w:pos="720"/>
      </w:tabs>
      <w:ind w:left="600" w:hanging="600"/>
    </w:pPr>
  </w:style>
  <w:style w:type="paragraph" w:customStyle="1" w:styleId="2963">
    <w:name w:val="标题1新"/>
    <w:basedOn w:val="3"/>
    <w:next w:val="2964"/>
    <w:autoRedefine/>
    <w:qFormat/>
    <w:uiPriority w:val="0"/>
    <w:pPr>
      <w:tabs>
        <w:tab w:val="left" w:pos="720"/>
      </w:tabs>
      <w:spacing w:before="0" w:beforeLines="50" w:after="120" w:afterLines="100" w:line="360" w:lineRule="auto"/>
      <w:ind w:left="720" w:hanging="720"/>
      <w:jc w:val="center"/>
    </w:pPr>
    <w:rPr>
      <w:rFonts w:eastAsia="黑体"/>
      <w:b w:val="0"/>
      <w:bCs/>
      <w:sz w:val="36"/>
      <w:szCs w:val="32"/>
      <w:lang w:val="zh-CN"/>
    </w:rPr>
  </w:style>
  <w:style w:type="paragraph" w:customStyle="1" w:styleId="2964">
    <w:name w:val="标题2  新新"/>
    <w:basedOn w:val="2963"/>
    <w:autoRedefine/>
    <w:qFormat/>
    <w:uiPriority w:val="0"/>
    <w:pPr>
      <w:spacing w:beforeLines="0" w:afterLines="0"/>
      <w:jc w:val="left"/>
      <w:outlineLvl w:val="1"/>
    </w:pPr>
    <w:rPr>
      <w:sz w:val="28"/>
      <w:szCs w:val="28"/>
    </w:rPr>
  </w:style>
  <w:style w:type="paragraph" w:customStyle="1" w:styleId="2965">
    <w:name w:val="正文样式11"/>
    <w:basedOn w:val="1"/>
    <w:autoRedefine/>
    <w:qFormat/>
    <w:uiPriority w:val="0"/>
    <w:pPr>
      <w:spacing w:line="360" w:lineRule="auto"/>
      <w:ind w:firstLine="200" w:firstLineChars="200"/>
    </w:pPr>
    <w:rPr>
      <w:rFonts w:eastAsia="仿宋_GB2312" w:cs="Arial"/>
      <w:bCs/>
      <w:color w:val="000000"/>
      <w:szCs w:val="21"/>
    </w:rPr>
  </w:style>
  <w:style w:type="paragraph" w:customStyle="1" w:styleId="2966">
    <w:name w:val="Char4 Char Char Char5"/>
    <w:basedOn w:val="1"/>
    <w:autoRedefine/>
    <w:qFormat/>
    <w:uiPriority w:val="0"/>
    <w:rPr>
      <w:rFonts w:eastAsia="仿宋_GB2312"/>
      <w:sz w:val="28"/>
      <w:szCs w:val="21"/>
    </w:rPr>
  </w:style>
  <w:style w:type="paragraph" w:customStyle="1" w:styleId="2967">
    <w:name w:val="Char Char Char Char Char Char Char8"/>
    <w:basedOn w:val="1"/>
    <w:autoRedefine/>
    <w:qFormat/>
    <w:uiPriority w:val="0"/>
    <w:rPr>
      <w:rFonts w:eastAsia="仿宋_GB2312"/>
      <w:sz w:val="28"/>
      <w:szCs w:val="21"/>
    </w:rPr>
  </w:style>
  <w:style w:type="paragraph" w:customStyle="1" w:styleId="2968">
    <w:name w:val="样式 标题2  新新 + 段前: 0.5 行 段后: 1 行1"/>
    <w:basedOn w:val="2964"/>
    <w:autoRedefine/>
    <w:qFormat/>
    <w:uiPriority w:val="0"/>
    <w:pPr>
      <w:spacing w:before="150" w:after="300"/>
    </w:pPr>
    <w:rPr>
      <w:rFonts w:cs="宋体"/>
      <w:sz w:val="30"/>
      <w:szCs w:val="20"/>
    </w:rPr>
  </w:style>
  <w:style w:type="paragraph" w:customStyle="1" w:styleId="2969">
    <w:name w:val="Char Char Char Char Char Char Char Char Char1 Char Char Char Char Char Char Char"/>
    <w:basedOn w:val="1"/>
    <w:autoRedefine/>
    <w:qFormat/>
    <w:uiPriority w:val="0"/>
    <w:rPr>
      <w:rFonts w:eastAsia="仿宋_GB2312"/>
      <w:sz w:val="28"/>
      <w:szCs w:val="21"/>
    </w:rPr>
  </w:style>
  <w:style w:type="paragraph" w:customStyle="1" w:styleId="2970">
    <w:name w:val="Char4 Char Char Char8"/>
    <w:basedOn w:val="1"/>
    <w:autoRedefine/>
    <w:qFormat/>
    <w:uiPriority w:val="0"/>
    <w:rPr>
      <w:rFonts w:eastAsia="仿宋_GB2312"/>
      <w:sz w:val="28"/>
      <w:szCs w:val="21"/>
    </w:rPr>
  </w:style>
  <w:style w:type="paragraph" w:customStyle="1" w:styleId="2971">
    <w:name w:val="样式 加粗 左侧:  0.74 厘米 段前: 0.5 行 段后: 1 行"/>
    <w:basedOn w:val="1"/>
    <w:autoRedefine/>
    <w:qFormat/>
    <w:uiPriority w:val="0"/>
    <w:pPr>
      <w:spacing w:beforeLines="50" w:afterLines="100" w:line="360" w:lineRule="auto"/>
      <w:ind w:left="420"/>
    </w:pPr>
    <w:rPr>
      <w:rFonts w:eastAsia="仿宋_GB2312" w:cs="宋体"/>
      <w:b/>
      <w:bCs/>
      <w:szCs w:val="20"/>
    </w:rPr>
  </w:style>
  <w:style w:type="paragraph" w:customStyle="1" w:styleId="2972">
    <w:name w:val="Char Char Char Char Char Char Char14"/>
    <w:basedOn w:val="1"/>
    <w:autoRedefine/>
    <w:qFormat/>
    <w:uiPriority w:val="0"/>
    <w:rPr>
      <w:rFonts w:eastAsia="仿宋_GB2312"/>
      <w:sz w:val="28"/>
      <w:szCs w:val="21"/>
    </w:rPr>
  </w:style>
  <w:style w:type="paragraph" w:customStyle="1" w:styleId="2973">
    <w:name w:val="Char Char Char Char5"/>
    <w:basedOn w:val="1"/>
    <w:autoRedefine/>
    <w:qFormat/>
    <w:uiPriority w:val="0"/>
    <w:rPr>
      <w:rFonts w:ascii="仿宋_GB2312" w:eastAsia="仿宋_GB2312"/>
      <w:b/>
      <w:sz w:val="32"/>
      <w:szCs w:val="32"/>
    </w:rPr>
  </w:style>
  <w:style w:type="paragraph" w:customStyle="1" w:styleId="2974">
    <w:name w:val="文章总标题"/>
    <w:basedOn w:val="1"/>
    <w:next w:val="2975"/>
    <w:autoRedefine/>
    <w:qFormat/>
    <w:uiPriority w:val="0"/>
    <w:pPr>
      <w:widowControl/>
      <w:spacing w:before="566" w:after="544" w:line="566" w:lineRule="atLeast"/>
      <w:jc w:val="center"/>
      <w:textAlignment w:val="baseline"/>
    </w:pPr>
    <w:rPr>
      <w:rFonts w:ascii="Arial" w:hAnsi="Arial" w:eastAsia="黑体"/>
      <w:color w:val="000000"/>
      <w:kern w:val="0"/>
      <w:sz w:val="54"/>
      <w:szCs w:val="20"/>
      <w:u w:color="000000"/>
    </w:rPr>
  </w:style>
  <w:style w:type="paragraph" w:customStyle="1" w:styleId="2975">
    <w:name w:val="文章附标题"/>
    <w:basedOn w:val="1"/>
    <w:next w:val="4"/>
    <w:autoRedefine/>
    <w:qFormat/>
    <w:uiPriority w:val="0"/>
    <w:pPr>
      <w:widowControl/>
      <w:spacing w:before="187" w:after="175" w:line="374" w:lineRule="atLeast"/>
      <w:jc w:val="center"/>
      <w:textAlignment w:val="baseline"/>
    </w:pPr>
    <w:rPr>
      <w:rFonts w:eastAsia="仿宋_GB2312"/>
      <w:color w:val="000000"/>
      <w:kern w:val="0"/>
      <w:sz w:val="36"/>
      <w:szCs w:val="20"/>
      <w:u w:color="000000"/>
    </w:rPr>
  </w:style>
  <w:style w:type="paragraph" w:customStyle="1" w:styleId="2976">
    <w:name w:val="大纲封面"/>
    <w:basedOn w:val="1"/>
    <w:autoRedefine/>
    <w:qFormat/>
    <w:uiPriority w:val="0"/>
    <w:pPr>
      <w:spacing w:line="360" w:lineRule="auto"/>
      <w:jc w:val="center"/>
    </w:pPr>
    <w:rPr>
      <w:rFonts w:eastAsia="楷体_GB2312"/>
      <w:b/>
      <w:spacing w:val="100"/>
      <w:sz w:val="72"/>
      <w:szCs w:val="21"/>
    </w:rPr>
  </w:style>
  <w:style w:type="paragraph" w:customStyle="1" w:styleId="2977">
    <w:name w:val="封面单位"/>
    <w:basedOn w:val="1"/>
    <w:autoRedefine/>
    <w:qFormat/>
    <w:uiPriority w:val="0"/>
    <w:pPr>
      <w:tabs>
        <w:tab w:val="right" w:leader="middleDot" w:pos="8222"/>
      </w:tabs>
      <w:spacing w:line="360" w:lineRule="auto"/>
      <w:jc w:val="center"/>
    </w:pPr>
    <w:rPr>
      <w:rFonts w:ascii="楷体_GB2312" w:eastAsia="楷体_GB2312"/>
      <w:b/>
      <w:sz w:val="36"/>
      <w:szCs w:val="21"/>
    </w:rPr>
  </w:style>
  <w:style w:type="paragraph" w:customStyle="1" w:styleId="2978">
    <w:name w:val="a3"/>
    <w:basedOn w:val="1"/>
    <w:autoRedefine/>
    <w:qFormat/>
    <w:uiPriority w:val="0"/>
    <w:pPr>
      <w:widowControl/>
      <w:spacing w:before="100" w:beforeAutospacing="1" w:after="100" w:afterAutospacing="1"/>
      <w:jc w:val="left"/>
    </w:pPr>
    <w:rPr>
      <w:rFonts w:eastAsia="仿宋_GB2312"/>
      <w:color w:val="000000"/>
      <w:kern w:val="0"/>
      <w:szCs w:val="21"/>
    </w:rPr>
  </w:style>
  <w:style w:type="paragraph" w:customStyle="1" w:styleId="2979">
    <w:name w:val="Char Char Char Char Char Char Char Char Char1 Char Char Char Char4"/>
    <w:basedOn w:val="1"/>
    <w:autoRedefine/>
    <w:qFormat/>
    <w:uiPriority w:val="0"/>
    <w:rPr>
      <w:rFonts w:eastAsia="仿宋_GB2312"/>
      <w:sz w:val="28"/>
      <w:szCs w:val="21"/>
    </w:rPr>
  </w:style>
  <w:style w:type="paragraph" w:customStyle="1" w:styleId="2980">
    <w:name w:val="xl171"/>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eastAsia="仿宋_GB2312"/>
      <w:kern w:val="0"/>
      <w:sz w:val="28"/>
      <w:szCs w:val="21"/>
    </w:rPr>
  </w:style>
  <w:style w:type="paragraph" w:customStyle="1" w:styleId="2981">
    <w:name w:val="样式 样式 样式 标题 2 + 仿宋_GB2312 四号 红色 段前: 6 磅 段后: 6 磅 行距: 固定值 25 磅 + 自..."/>
    <w:basedOn w:val="1"/>
    <w:autoRedefine/>
    <w:qFormat/>
    <w:uiPriority w:val="0"/>
    <w:pPr>
      <w:spacing w:line="500" w:lineRule="exact"/>
    </w:pPr>
    <w:rPr>
      <w:rFonts w:eastAsia="仿宋_GB2312"/>
      <w:bCs/>
      <w:sz w:val="28"/>
      <w:szCs w:val="28"/>
    </w:rPr>
  </w:style>
  <w:style w:type="paragraph" w:customStyle="1" w:styleId="2982">
    <w:name w:val="hb1"/>
    <w:basedOn w:val="3"/>
    <w:autoRedefine/>
    <w:qFormat/>
    <w:uiPriority w:val="0"/>
    <w:pPr>
      <w:pageBreakBefore/>
      <w:tabs>
        <w:tab w:val="left" w:pos="0"/>
      </w:tabs>
      <w:topLinePunct/>
      <w:adjustRightInd w:val="0"/>
      <w:spacing w:before="0" w:after="0" w:line="578" w:lineRule="atLeast"/>
      <w:jc w:val="center"/>
      <w:textAlignment w:val="baseline"/>
    </w:pPr>
    <w:rPr>
      <w:rFonts w:eastAsia="仿宋_GB2312" w:cs="黑体"/>
      <w:bCs/>
      <w:sz w:val="32"/>
      <w:szCs w:val="36"/>
      <w:lang w:val="zh-CN"/>
    </w:rPr>
  </w:style>
  <w:style w:type="paragraph" w:customStyle="1" w:styleId="2983">
    <w:name w:val="xl174"/>
    <w:basedOn w:val="1"/>
    <w:autoRedefine/>
    <w:qFormat/>
    <w:uiPriority w:val="0"/>
    <w:pPr>
      <w:widowControl/>
      <w:spacing w:before="100" w:beforeAutospacing="1" w:after="100" w:afterAutospacing="1"/>
      <w:jc w:val="center"/>
    </w:pPr>
    <w:rPr>
      <w:rFonts w:ascii="Arial Unicode MS" w:hAnsi="Arial Unicode MS" w:eastAsia="仿宋_GB2312"/>
      <w:kern w:val="0"/>
      <w:sz w:val="16"/>
      <w:szCs w:val="16"/>
    </w:rPr>
  </w:style>
  <w:style w:type="paragraph" w:customStyle="1" w:styleId="2984">
    <w:name w:val="hb2"/>
    <w:basedOn w:val="4"/>
    <w:autoRedefine/>
    <w:qFormat/>
    <w:uiPriority w:val="0"/>
    <w:pPr>
      <w:keepNext w:val="0"/>
      <w:keepLines w:val="0"/>
      <w:tabs>
        <w:tab w:val="clear" w:pos="1276"/>
      </w:tabs>
      <w:topLinePunct/>
      <w:spacing w:before="720" w:after="480" w:line="416" w:lineRule="atLeast"/>
      <w:ind w:left="0"/>
      <w:contextualSpacing/>
    </w:pPr>
    <w:rPr>
      <w:rFonts w:ascii="Times New Roman" w:hAnsi="Times New Roman" w:eastAsia="仿宋_GB2312" w:cs="Arial"/>
      <w:bCs/>
      <w:kern w:val="0"/>
      <w:szCs w:val="28"/>
      <w:lang w:val="zh-CN"/>
    </w:rPr>
  </w:style>
  <w:style w:type="paragraph" w:customStyle="1" w:styleId="2985">
    <w:name w:val="xl175"/>
    <w:basedOn w:val="1"/>
    <w:autoRedefine/>
    <w:qFormat/>
    <w:uiPriority w:val="0"/>
    <w:pPr>
      <w:widowControl/>
      <w:pBdr>
        <w:left w:val="single" w:color="auto" w:sz="12" w:space="0"/>
        <w:right w:val="single" w:color="auto" w:sz="4" w:space="0"/>
      </w:pBdr>
      <w:spacing w:before="100" w:beforeAutospacing="1" w:after="100" w:afterAutospacing="1"/>
      <w:jc w:val="left"/>
    </w:pPr>
    <w:rPr>
      <w:rFonts w:ascii="Arial Unicode MS" w:hAnsi="Arial Unicode MS" w:eastAsia="仿宋_GB2312"/>
      <w:kern w:val="0"/>
      <w:sz w:val="28"/>
      <w:szCs w:val="21"/>
    </w:rPr>
  </w:style>
  <w:style w:type="paragraph" w:customStyle="1" w:styleId="2986">
    <w:name w:val="样式 标题 2 + 行距: 1.5 倍行距"/>
    <w:basedOn w:val="4"/>
    <w:autoRedefine/>
    <w:qFormat/>
    <w:uiPriority w:val="0"/>
    <w:pPr>
      <w:keepNext w:val="0"/>
      <w:keepLines w:val="0"/>
      <w:tabs>
        <w:tab w:val="left" w:pos="969"/>
        <w:tab w:val="clear" w:pos="1276"/>
      </w:tabs>
      <w:autoSpaceDE w:val="0"/>
      <w:autoSpaceDN w:val="0"/>
      <w:snapToGrid w:val="0"/>
      <w:spacing w:before="0" w:beforeLines="100" w:after="0"/>
      <w:ind w:left="969" w:hanging="737"/>
      <w:contextualSpacing/>
    </w:pPr>
    <w:rPr>
      <w:rFonts w:ascii="Times New Roman" w:hAnsi="Times New Roman" w:cs="宋体"/>
      <w:b w:val="0"/>
      <w:snapToGrid w:val="0"/>
      <w:kern w:val="44"/>
      <w:sz w:val="32"/>
      <w:szCs w:val="32"/>
      <w:lang w:val="zh-CN"/>
    </w:rPr>
  </w:style>
  <w:style w:type="paragraph" w:customStyle="1" w:styleId="2987">
    <w:name w:val="xl19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仿宋_GB2312"/>
      <w:kern w:val="0"/>
      <w:sz w:val="16"/>
      <w:szCs w:val="16"/>
    </w:rPr>
  </w:style>
  <w:style w:type="paragraph" w:customStyle="1" w:styleId="2988">
    <w:name w:val="样式 样式 样式 标题 3 + 段前: 0.5 行 + 段前: 1 行 行距: 单倍行距 + 段前: 1 行"/>
    <w:basedOn w:val="2736"/>
    <w:autoRedefine/>
    <w:qFormat/>
    <w:uiPriority w:val="0"/>
    <w:pPr>
      <w:tabs>
        <w:tab w:val="left" w:pos="795"/>
        <w:tab w:val="clear" w:pos="1080"/>
      </w:tabs>
      <w:spacing w:beforeLines="0"/>
    </w:pPr>
  </w:style>
  <w:style w:type="paragraph" w:customStyle="1" w:styleId="2989">
    <w:name w:val="xl19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仿宋_GB2312"/>
      <w:kern w:val="0"/>
      <w:sz w:val="16"/>
      <w:szCs w:val="16"/>
    </w:rPr>
  </w:style>
  <w:style w:type="paragraph" w:customStyle="1" w:styleId="2990">
    <w:name w:val="样式 样式 样式 标题4- + 段前: 0.5 行 + 段前: 0.5 行 + 段前: 0.5 行"/>
    <w:basedOn w:val="2957"/>
    <w:autoRedefine/>
    <w:qFormat/>
    <w:uiPriority w:val="0"/>
    <w:pPr>
      <w:tabs>
        <w:tab w:val="left" w:pos="908"/>
        <w:tab w:val="clear" w:pos="1205"/>
      </w:tabs>
      <w:spacing w:beforeLines="0"/>
    </w:pPr>
    <w:rPr>
      <w:spacing w:val="0"/>
    </w:rPr>
  </w:style>
  <w:style w:type="paragraph" w:customStyle="1" w:styleId="2991">
    <w:name w:val="xl194"/>
    <w:basedOn w:val="1"/>
    <w:autoRedefine/>
    <w:qFormat/>
    <w:uiPriority w:val="0"/>
    <w:pPr>
      <w:widowControl/>
      <w:spacing w:before="100" w:beforeAutospacing="1" w:after="100" w:afterAutospacing="1"/>
      <w:jc w:val="center"/>
    </w:pPr>
    <w:rPr>
      <w:rFonts w:eastAsia="仿宋_GB2312"/>
      <w:kern w:val="0"/>
      <w:sz w:val="16"/>
      <w:szCs w:val="16"/>
    </w:rPr>
  </w:style>
  <w:style w:type="paragraph" w:customStyle="1" w:styleId="2992">
    <w:name w:val="样式 样式 样式 标题4- + 段前: 0.5 行 + 段前: 0.5 行 + 段前: 0.5 行1"/>
    <w:basedOn w:val="2957"/>
    <w:autoRedefine/>
    <w:qFormat/>
    <w:uiPriority w:val="0"/>
    <w:pPr>
      <w:ind w:left="170"/>
    </w:pPr>
  </w:style>
  <w:style w:type="paragraph" w:customStyle="1" w:styleId="2993">
    <w:name w:val="xl19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仿宋_GB2312"/>
      <w:kern w:val="0"/>
      <w:sz w:val="28"/>
      <w:szCs w:val="21"/>
    </w:rPr>
  </w:style>
  <w:style w:type="paragraph" w:customStyle="1" w:styleId="2994">
    <w:name w:val="样式 标题4 + 行距: 1.5 倍行距"/>
    <w:basedOn w:val="21"/>
    <w:autoRedefine/>
    <w:qFormat/>
    <w:uiPriority w:val="0"/>
    <w:pPr>
      <w:tabs>
        <w:tab w:val="left" w:pos="624"/>
      </w:tabs>
      <w:autoSpaceDE w:val="0"/>
      <w:autoSpaceDN w:val="0"/>
      <w:adjustRightInd w:val="0"/>
      <w:snapToGrid w:val="0"/>
      <w:spacing w:beforeLines="50" w:line="360" w:lineRule="auto"/>
      <w:ind w:left="694" w:hanging="694" w:firstLineChars="0"/>
      <w:jc w:val="left"/>
      <w:textAlignment w:val="baseline"/>
      <w:outlineLvl w:val="3"/>
    </w:pPr>
    <w:rPr>
      <w:rFonts w:eastAsia="黑体" w:cs="宋体" w:asciiTheme="minorHAnsi"/>
      <w:snapToGrid w:val="0"/>
      <w:spacing w:val="10"/>
      <w:sz w:val="28"/>
      <w:szCs w:val="22"/>
    </w:rPr>
  </w:style>
  <w:style w:type="paragraph" w:customStyle="1" w:styleId="2995">
    <w:name w:val="HP3"/>
    <w:basedOn w:val="5"/>
    <w:autoRedefine/>
    <w:qFormat/>
    <w:uiPriority w:val="0"/>
    <w:pPr>
      <w:tabs>
        <w:tab w:val="left" w:pos="7088"/>
      </w:tabs>
      <w:adjustRightInd w:val="0"/>
      <w:spacing w:beforeLines="50" w:line="360" w:lineRule="exact"/>
      <w:jc w:val="left"/>
      <w:textAlignment w:val="baseline"/>
    </w:pPr>
    <w:rPr>
      <w:rFonts w:ascii="黑体" w:hAnsi="Times New Roman" w:eastAsia="黑体" w:cs="Times New Roman"/>
      <w:b w:val="0"/>
      <w:bCs w:val="0"/>
      <w:sz w:val="30"/>
      <w:szCs w:val="28"/>
      <w:u w:color="000000"/>
      <w:lang w:val="zh-CN"/>
    </w:rPr>
  </w:style>
  <w:style w:type="paragraph" w:customStyle="1" w:styleId="2996">
    <w:name w:val="Char3 Char Char Char Char Char Char Char Char1"/>
    <w:basedOn w:val="1"/>
    <w:autoRedefine/>
    <w:qFormat/>
    <w:uiPriority w:val="0"/>
    <w:pPr>
      <w:spacing w:line="340" w:lineRule="exact"/>
      <w:ind w:firstLine="4" w:firstLineChars="4"/>
    </w:pPr>
    <w:rPr>
      <w:rFonts w:eastAsia="仿宋_GB2312"/>
      <w:sz w:val="28"/>
      <w:szCs w:val="28"/>
    </w:rPr>
  </w:style>
  <w:style w:type="paragraph" w:customStyle="1" w:styleId="2997">
    <w:name w:val="纯文本5"/>
    <w:basedOn w:val="1"/>
    <w:autoRedefine/>
    <w:qFormat/>
    <w:uiPriority w:val="0"/>
    <w:pPr>
      <w:adjustRightInd w:val="0"/>
    </w:pPr>
    <w:rPr>
      <w:rFonts w:eastAsia="仿宋_GB2312"/>
      <w:kern w:val="0"/>
      <w:sz w:val="28"/>
      <w:szCs w:val="20"/>
    </w:rPr>
  </w:style>
  <w:style w:type="paragraph" w:customStyle="1" w:styleId="2998">
    <w:name w:val="正文dh"/>
    <w:basedOn w:val="1"/>
    <w:autoRedefine/>
    <w:qFormat/>
    <w:uiPriority w:val="0"/>
    <w:pPr>
      <w:spacing w:line="520" w:lineRule="exact"/>
      <w:ind w:firstLine="482"/>
    </w:pPr>
    <w:rPr>
      <w:rFonts w:eastAsia="仿宋_GB2312"/>
      <w:szCs w:val="20"/>
    </w:rPr>
  </w:style>
  <w:style w:type="paragraph" w:customStyle="1" w:styleId="2999">
    <w:name w:val="10"/>
    <w:basedOn w:val="1"/>
    <w:next w:val="21"/>
    <w:autoRedefine/>
    <w:qFormat/>
    <w:uiPriority w:val="0"/>
    <w:pPr>
      <w:spacing w:line="500" w:lineRule="exact"/>
      <w:ind w:firstLine="420"/>
    </w:pPr>
    <w:rPr>
      <w:rFonts w:ascii="仿宋_GB2312" w:eastAsia="仿宋_GB2312"/>
      <w:sz w:val="28"/>
      <w:szCs w:val="20"/>
    </w:rPr>
  </w:style>
  <w:style w:type="paragraph" w:customStyle="1" w:styleId="3000">
    <w:name w:val="验方正文"/>
    <w:basedOn w:val="1"/>
    <w:autoRedefine/>
    <w:qFormat/>
    <w:uiPriority w:val="0"/>
    <w:pPr>
      <w:adjustRightInd w:val="0"/>
      <w:spacing w:line="312" w:lineRule="atLeast"/>
      <w:ind w:firstLine="686"/>
      <w:textAlignment w:val="baseline"/>
    </w:pPr>
    <w:rPr>
      <w:rFonts w:ascii="仿宋_GB2312" w:eastAsia="仿宋_GB2312"/>
      <w:kern w:val="0"/>
      <w:sz w:val="28"/>
      <w:szCs w:val="20"/>
    </w:rPr>
  </w:style>
  <w:style w:type="paragraph" w:customStyle="1" w:styleId="3001">
    <w:name w:val="环评表样式1"/>
    <w:basedOn w:val="85"/>
    <w:autoRedefine/>
    <w:qFormat/>
    <w:uiPriority w:val="0"/>
    <w:pPr>
      <w:widowControl w:val="0"/>
      <w:spacing w:before="360" w:after="360" w:line="160" w:lineRule="atLeast"/>
      <w:textAlignment w:val="baseline"/>
    </w:pPr>
    <w:rPr>
      <w:rFonts w:ascii="黑体" w:hAnsi="Arial" w:eastAsia="黑体" w:cstheme="minorBidi"/>
      <w:bCs w:val="0"/>
      <w:szCs w:val="20"/>
      <w:lang w:val="en-US"/>
    </w:rPr>
  </w:style>
  <w:style w:type="paragraph" w:customStyle="1" w:styleId="3002">
    <w:name w:val="chen 正文字体"/>
    <w:basedOn w:val="1"/>
    <w:autoRedefine/>
    <w:qFormat/>
    <w:uiPriority w:val="0"/>
    <w:pPr>
      <w:spacing w:line="360" w:lineRule="auto"/>
      <w:ind w:firstLine="200" w:firstLineChars="200"/>
    </w:pPr>
    <w:rPr>
      <w:rFonts w:eastAsia="仿宋_GB2312"/>
      <w:color w:val="000000"/>
      <w:szCs w:val="21"/>
    </w:rPr>
  </w:style>
  <w:style w:type="paragraph" w:customStyle="1" w:styleId="3003">
    <w:name w:val="样式 样式 样式 宋体 小四 行距: 多倍行距 1.4 字行2 + 黑色 + Times New Roman2"/>
    <w:basedOn w:val="2773"/>
    <w:autoRedefine/>
    <w:qFormat/>
    <w:uiPriority w:val="0"/>
    <w:pPr>
      <w:spacing w:line="360" w:lineRule="auto"/>
    </w:pPr>
  </w:style>
  <w:style w:type="paragraph" w:customStyle="1" w:styleId="3004">
    <w:name w:val="表格字体"/>
    <w:basedOn w:val="1"/>
    <w:autoRedefine/>
    <w:qFormat/>
    <w:uiPriority w:val="0"/>
    <w:pPr>
      <w:spacing w:line="360" w:lineRule="auto"/>
      <w:jc w:val="center"/>
    </w:pPr>
    <w:rPr>
      <w:rFonts w:eastAsia="仿宋_GB2312"/>
      <w:szCs w:val="20"/>
    </w:rPr>
  </w:style>
  <w:style w:type="paragraph" w:customStyle="1" w:styleId="3005">
    <w:name w:val="Char4 Char Char Char7"/>
    <w:basedOn w:val="1"/>
    <w:autoRedefine/>
    <w:qFormat/>
    <w:uiPriority w:val="0"/>
    <w:rPr>
      <w:rFonts w:eastAsia="仿宋_GB2312"/>
      <w:sz w:val="28"/>
      <w:szCs w:val="21"/>
    </w:rPr>
  </w:style>
  <w:style w:type="paragraph" w:customStyle="1" w:styleId="3006">
    <w:name w:val="Char Char Char Char Char Char Char Char Char1 Char Char Char Char Char Char Char Char1 Char Char Char"/>
    <w:basedOn w:val="1"/>
    <w:autoRedefine/>
    <w:qFormat/>
    <w:uiPriority w:val="0"/>
    <w:pPr>
      <w:snapToGrid w:val="0"/>
      <w:spacing w:line="360" w:lineRule="auto"/>
      <w:ind w:firstLine="200" w:firstLineChars="200"/>
    </w:pPr>
    <w:rPr>
      <w:rFonts w:eastAsia="仿宋_GB2312"/>
      <w:szCs w:val="21"/>
    </w:rPr>
  </w:style>
  <w:style w:type="paragraph" w:customStyle="1" w:styleId="3007">
    <w:name w:val="Char33"/>
    <w:basedOn w:val="1"/>
    <w:autoRedefine/>
    <w:qFormat/>
    <w:uiPriority w:val="0"/>
    <w:pPr>
      <w:spacing w:line="240" w:lineRule="exact"/>
      <w:ind w:firstLine="200" w:firstLineChars="200"/>
    </w:pPr>
    <w:rPr>
      <w:rFonts w:eastAsia="仿宋_GB2312"/>
      <w:sz w:val="28"/>
      <w:szCs w:val="28"/>
    </w:rPr>
  </w:style>
  <w:style w:type="paragraph" w:customStyle="1" w:styleId="3008">
    <w:name w:val="条(三级)"/>
    <w:basedOn w:val="1"/>
    <w:next w:val="1"/>
    <w:autoRedefine/>
    <w:qFormat/>
    <w:uiPriority w:val="0"/>
    <w:pPr>
      <w:keepNext/>
      <w:keepLines/>
      <w:adjustRightInd w:val="0"/>
      <w:spacing w:line="460" w:lineRule="exact"/>
      <w:jc w:val="left"/>
      <w:textAlignment w:val="baseline"/>
    </w:pPr>
    <w:rPr>
      <w:rFonts w:eastAsia="仿宋_GB2312"/>
      <w:spacing w:val="3"/>
      <w:kern w:val="24"/>
      <w:szCs w:val="20"/>
    </w:rPr>
  </w:style>
  <w:style w:type="paragraph" w:customStyle="1" w:styleId="3009">
    <w:name w:val="页号"/>
    <w:basedOn w:val="56"/>
    <w:autoRedefine/>
    <w:qFormat/>
    <w:uiPriority w:val="0"/>
    <w:pPr>
      <w:tabs>
        <w:tab w:val="center" w:pos="4320"/>
        <w:tab w:val="right" w:pos="8640"/>
        <w:tab w:val="clear" w:pos="4153"/>
        <w:tab w:val="clear" w:pos="8306"/>
      </w:tabs>
      <w:adjustRightInd w:val="0"/>
      <w:snapToGrid/>
      <w:spacing w:line="360" w:lineRule="auto"/>
      <w:jc w:val="center"/>
      <w:textAlignment w:val="baseline"/>
    </w:pPr>
    <w:rPr>
      <w:rFonts w:ascii="Times New Roman" w:hAnsi="Times New Roman" w:eastAsia="仿宋_GB2312" w:cs="Times New Roman"/>
      <w:spacing w:val="3"/>
      <w:kern w:val="24"/>
      <w:sz w:val="24"/>
      <w:szCs w:val="20"/>
      <w:lang w:val="zh-CN" w:eastAsia="zh-TW"/>
    </w:rPr>
  </w:style>
  <w:style w:type="paragraph" w:customStyle="1" w:styleId="3010">
    <w:name w:val="谏壁标题4(chen)"/>
    <w:basedOn w:val="1"/>
    <w:autoRedefine/>
    <w:qFormat/>
    <w:uiPriority w:val="0"/>
    <w:pPr>
      <w:snapToGrid w:val="0"/>
      <w:spacing w:beforeLines="50" w:line="360" w:lineRule="auto"/>
      <w:outlineLvl w:val="3"/>
    </w:pPr>
    <w:rPr>
      <w:rFonts w:eastAsia="楷体_GB2312"/>
      <w:sz w:val="28"/>
      <w:szCs w:val="21"/>
    </w:rPr>
  </w:style>
  <w:style w:type="paragraph" w:customStyle="1" w:styleId="3011">
    <w:name w:val="谏壁标题1(chen）"/>
    <w:basedOn w:val="1"/>
    <w:autoRedefine/>
    <w:qFormat/>
    <w:uiPriority w:val="0"/>
    <w:pPr>
      <w:keepNext/>
      <w:keepLines/>
      <w:pageBreakBefore/>
      <w:spacing w:after="300" w:line="360" w:lineRule="auto"/>
      <w:outlineLvl w:val="0"/>
    </w:pPr>
    <w:rPr>
      <w:rFonts w:eastAsia="黑体"/>
      <w:bCs/>
      <w:kern w:val="44"/>
      <w:sz w:val="36"/>
      <w:szCs w:val="44"/>
    </w:rPr>
  </w:style>
  <w:style w:type="paragraph" w:customStyle="1" w:styleId="3012">
    <w:name w:val="谏壁标题2(chen）"/>
    <w:basedOn w:val="1"/>
    <w:autoRedefine/>
    <w:qFormat/>
    <w:uiPriority w:val="0"/>
    <w:pPr>
      <w:keepNext/>
      <w:keepLines/>
      <w:spacing w:after="120" w:line="360" w:lineRule="auto"/>
      <w:outlineLvl w:val="1"/>
    </w:pPr>
    <w:rPr>
      <w:rFonts w:eastAsia="黑体"/>
      <w:sz w:val="32"/>
      <w:szCs w:val="32"/>
    </w:rPr>
  </w:style>
  <w:style w:type="paragraph" w:customStyle="1" w:styleId="3013">
    <w:name w:val="谏壁标题3（chen）"/>
    <w:basedOn w:val="1"/>
    <w:autoRedefine/>
    <w:qFormat/>
    <w:uiPriority w:val="0"/>
    <w:pPr>
      <w:keepNext/>
      <w:keepLines/>
      <w:spacing w:before="100" w:after="120" w:line="360" w:lineRule="auto"/>
      <w:outlineLvl w:val="2"/>
    </w:pPr>
    <w:rPr>
      <w:rFonts w:eastAsia="黑体"/>
      <w:sz w:val="30"/>
      <w:szCs w:val="32"/>
    </w:rPr>
  </w:style>
  <w:style w:type="paragraph" w:customStyle="1" w:styleId="3014">
    <w:name w:val="hhcwt标题2"/>
    <w:basedOn w:val="1"/>
    <w:autoRedefine/>
    <w:qFormat/>
    <w:uiPriority w:val="0"/>
    <w:pPr>
      <w:keepNext/>
      <w:keepLines/>
      <w:spacing w:before="120" w:after="120" w:line="336" w:lineRule="auto"/>
      <w:outlineLvl w:val="1"/>
    </w:pPr>
    <w:rPr>
      <w:rFonts w:eastAsia="黑体" w:cs="宋体"/>
      <w:sz w:val="32"/>
      <w:szCs w:val="20"/>
    </w:rPr>
  </w:style>
  <w:style w:type="paragraph" w:customStyle="1" w:styleId="3015">
    <w:name w:val="正文文本3"/>
    <w:basedOn w:val="1"/>
    <w:autoRedefine/>
    <w:qFormat/>
    <w:uiPriority w:val="0"/>
    <w:pPr>
      <w:spacing w:after="120"/>
    </w:pPr>
    <w:rPr>
      <w:rFonts w:eastAsia="仿宋_GB2312"/>
      <w:sz w:val="28"/>
      <w:szCs w:val="20"/>
    </w:rPr>
  </w:style>
  <w:style w:type="paragraph" w:customStyle="1" w:styleId="3016">
    <w:name w:val="Char23"/>
    <w:basedOn w:val="1"/>
    <w:autoRedefine/>
    <w:qFormat/>
    <w:uiPriority w:val="0"/>
    <w:pPr>
      <w:spacing w:line="240" w:lineRule="exact"/>
      <w:ind w:firstLine="200" w:firstLineChars="200"/>
    </w:pPr>
    <w:rPr>
      <w:rFonts w:eastAsia="仿宋_GB2312"/>
      <w:sz w:val="28"/>
      <w:szCs w:val="28"/>
    </w:rPr>
  </w:style>
  <w:style w:type="paragraph" w:customStyle="1" w:styleId="3017">
    <w:name w:val="默认段落字体 Para Char Char Char Char Char Char Char Char Char Char Char Char Char Char Char Char"/>
    <w:basedOn w:val="1"/>
    <w:autoRedefine/>
    <w:qFormat/>
    <w:uiPriority w:val="0"/>
    <w:rPr>
      <w:rFonts w:eastAsia="仿宋_GB2312"/>
      <w:sz w:val="28"/>
      <w:szCs w:val="21"/>
    </w:rPr>
  </w:style>
  <w:style w:type="paragraph" w:customStyle="1" w:styleId="3018">
    <w:name w:val="Char3 Char Char Char Char Char Char Char Char"/>
    <w:basedOn w:val="1"/>
    <w:autoRedefine/>
    <w:qFormat/>
    <w:uiPriority w:val="0"/>
    <w:pPr>
      <w:spacing w:line="340" w:lineRule="exact"/>
      <w:ind w:firstLine="4" w:firstLineChars="4"/>
    </w:pPr>
    <w:rPr>
      <w:rFonts w:eastAsia="仿宋_GB2312"/>
      <w:sz w:val="28"/>
      <w:szCs w:val="28"/>
    </w:rPr>
  </w:style>
  <w:style w:type="paragraph" w:customStyle="1" w:styleId="3019">
    <w:name w:val="BBBBBBBBBB"/>
    <w:basedOn w:val="1"/>
    <w:autoRedefine/>
    <w:qFormat/>
    <w:uiPriority w:val="0"/>
    <w:pPr>
      <w:spacing w:line="324" w:lineRule="auto"/>
      <w:jc w:val="center"/>
    </w:pPr>
    <w:rPr>
      <w:rFonts w:eastAsia="仿宋_GB2312"/>
      <w:b/>
      <w:bCs/>
      <w:sz w:val="28"/>
      <w:szCs w:val="21"/>
    </w:rPr>
  </w:style>
  <w:style w:type="paragraph" w:customStyle="1" w:styleId="3020">
    <w:name w:val="Char Char Char1 Char Char Char Char Char Char Char Char Char Char Char Char Char Char Char1 Char Char Char Char Char Char Char Char Char Char Char Char Char Char Char Char Char Char Char Char Char Char Char Char Char Char Char Char Char Char"/>
    <w:basedOn w:val="1"/>
    <w:autoRedefine/>
    <w:qFormat/>
    <w:uiPriority w:val="0"/>
    <w:pPr>
      <w:spacing w:line="240" w:lineRule="exact"/>
      <w:ind w:firstLine="200" w:firstLineChars="200"/>
    </w:pPr>
    <w:rPr>
      <w:rFonts w:eastAsia="仿宋_GB2312"/>
      <w:sz w:val="28"/>
      <w:szCs w:val="28"/>
    </w:rPr>
  </w:style>
  <w:style w:type="paragraph" w:customStyle="1" w:styleId="3021">
    <w:name w:val="hhcwt表格内文字"/>
    <w:basedOn w:val="1"/>
    <w:autoRedefine/>
    <w:qFormat/>
    <w:uiPriority w:val="0"/>
    <w:pPr>
      <w:jc w:val="center"/>
    </w:pPr>
    <w:rPr>
      <w:rFonts w:ascii="Calibri" w:hAnsi="Calibri" w:eastAsia="仿宋_GB2312"/>
      <w:sz w:val="28"/>
      <w:szCs w:val="21"/>
    </w:rPr>
  </w:style>
  <w:style w:type="paragraph" w:customStyle="1" w:styleId="3022">
    <w:name w:val="Char Char Char Char Char Char Char13"/>
    <w:basedOn w:val="1"/>
    <w:autoRedefine/>
    <w:qFormat/>
    <w:uiPriority w:val="0"/>
    <w:rPr>
      <w:rFonts w:eastAsia="仿宋_GB2312"/>
      <w:sz w:val="28"/>
      <w:szCs w:val="21"/>
    </w:rPr>
  </w:style>
  <w:style w:type="paragraph" w:customStyle="1" w:styleId="3023">
    <w:name w:val="日期3"/>
    <w:basedOn w:val="1"/>
    <w:next w:val="1"/>
    <w:autoRedefine/>
    <w:qFormat/>
    <w:uiPriority w:val="0"/>
    <w:pPr>
      <w:adjustRightInd w:val="0"/>
      <w:textAlignment w:val="baseline"/>
    </w:pPr>
    <w:rPr>
      <w:rFonts w:eastAsia="仿宋_GB2312"/>
      <w:sz w:val="28"/>
      <w:szCs w:val="20"/>
    </w:rPr>
  </w:style>
  <w:style w:type="paragraph" w:customStyle="1" w:styleId="3024">
    <w:name w:val="封面标准号2"/>
    <w:basedOn w:val="1"/>
    <w:autoRedefine/>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eastAsia="仿宋_GB2312"/>
      <w:kern w:val="0"/>
      <w:sz w:val="28"/>
      <w:szCs w:val="20"/>
    </w:rPr>
  </w:style>
  <w:style w:type="paragraph" w:customStyle="1" w:styleId="3025">
    <w:name w:val="表格文字居中"/>
    <w:basedOn w:val="1"/>
    <w:autoRedefine/>
    <w:qFormat/>
    <w:uiPriority w:val="0"/>
    <w:pPr>
      <w:widowControl/>
      <w:adjustRightInd w:val="0"/>
      <w:snapToGrid w:val="0"/>
      <w:jc w:val="center"/>
    </w:pPr>
    <w:rPr>
      <w:rFonts w:eastAsia="仿宋_GB2312"/>
      <w:color w:val="000000"/>
      <w:szCs w:val="21"/>
    </w:rPr>
  </w:style>
  <w:style w:type="paragraph" w:customStyle="1" w:styleId="3026">
    <w:name w:val="Char Char Char Char Char Char3"/>
    <w:basedOn w:val="1"/>
    <w:autoRedefine/>
    <w:qFormat/>
    <w:uiPriority w:val="0"/>
    <w:rPr>
      <w:rFonts w:eastAsia="仿宋_GB2312"/>
      <w:szCs w:val="21"/>
    </w:rPr>
  </w:style>
  <w:style w:type="paragraph" w:customStyle="1" w:styleId="3027">
    <w:name w:val="样式 标题 2 + (西文) Times New Roman (中文) 宋体"/>
    <w:basedOn w:val="4"/>
    <w:autoRedefine/>
    <w:qFormat/>
    <w:uiPriority w:val="0"/>
    <w:pPr>
      <w:keepNext w:val="0"/>
      <w:keepLines w:val="0"/>
      <w:tabs>
        <w:tab w:val="left" w:pos="927"/>
        <w:tab w:val="clear" w:pos="1276"/>
      </w:tabs>
      <w:adjustRightInd/>
      <w:spacing w:before="0" w:after="0" w:line="500" w:lineRule="atLeast"/>
      <w:ind w:left="0" w:firstLine="567"/>
      <w:contextualSpacing/>
      <w:jc w:val="both"/>
      <w:textAlignment w:val="auto"/>
    </w:pPr>
    <w:rPr>
      <w:rFonts w:ascii="Times New Roman" w:hAnsi="Times New Roman" w:eastAsia="仿宋_GB2312"/>
      <w:b w:val="0"/>
      <w:kern w:val="0"/>
      <w:szCs w:val="28"/>
      <w:lang w:val="zh-CN"/>
    </w:rPr>
  </w:style>
  <w:style w:type="paragraph" w:customStyle="1" w:styleId="3028">
    <w:name w:val="亚行正文"/>
    <w:basedOn w:val="1"/>
    <w:autoRedefine/>
    <w:qFormat/>
    <w:uiPriority w:val="0"/>
    <w:pPr>
      <w:spacing w:line="500" w:lineRule="exact"/>
      <w:ind w:firstLine="200" w:firstLineChars="200"/>
    </w:pPr>
    <w:rPr>
      <w:rFonts w:eastAsia="仿宋_GB2312"/>
      <w:sz w:val="28"/>
      <w:szCs w:val="28"/>
    </w:rPr>
  </w:style>
  <w:style w:type="paragraph" w:customStyle="1" w:styleId="3029">
    <w:name w:val="标题04"/>
    <w:basedOn w:val="1"/>
    <w:autoRedefine/>
    <w:qFormat/>
    <w:uiPriority w:val="0"/>
    <w:pPr>
      <w:snapToGrid w:val="0"/>
      <w:spacing w:line="440" w:lineRule="atLeast"/>
      <w:outlineLvl w:val="3"/>
    </w:pPr>
    <w:rPr>
      <w:rFonts w:eastAsia="仿宋_GB2312"/>
      <w:b/>
      <w:szCs w:val="20"/>
    </w:rPr>
  </w:style>
  <w:style w:type="paragraph" w:customStyle="1" w:styleId="3030">
    <w:name w:val="标题02"/>
    <w:basedOn w:val="1"/>
    <w:autoRedefine/>
    <w:qFormat/>
    <w:uiPriority w:val="0"/>
    <w:pPr>
      <w:snapToGrid w:val="0"/>
      <w:spacing w:line="440" w:lineRule="atLeast"/>
      <w:outlineLvl w:val="1"/>
    </w:pPr>
    <w:rPr>
      <w:rFonts w:eastAsia="仿宋_GB2312"/>
      <w:b/>
      <w:szCs w:val="20"/>
    </w:rPr>
  </w:style>
  <w:style w:type="paragraph" w:customStyle="1" w:styleId="3031">
    <w:name w:val="标题03"/>
    <w:basedOn w:val="1"/>
    <w:autoRedefine/>
    <w:qFormat/>
    <w:uiPriority w:val="0"/>
    <w:pPr>
      <w:tabs>
        <w:tab w:val="left" w:pos="860"/>
        <w:tab w:val="left" w:pos="1075"/>
      </w:tabs>
      <w:snapToGrid w:val="0"/>
      <w:spacing w:line="440" w:lineRule="atLeast"/>
      <w:outlineLvl w:val="2"/>
    </w:pPr>
    <w:rPr>
      <w:rFonts w:eastAsia="仿宋_GB2312"/>
      <w:b/>
      <w:szCs w:val="20"/>
    </w:rPr>
  </w:style>
  <w:style w:type="paragraph" w:customStyle="1" w:styleId="3032">
    <w:name w:val="word-2"/>
    <w:basedOn w:val="1"/>
    <w:autoRedefine/>
    <w:qFormat/>
    <w:uiPriority w:val="0"/>
    <w:pPr>
      <w:widowControl/>
      <w:spacing w:before="100" w:beforeAutospacing="1" w:after="100" w:afterAutospacing="1" w:line="270" w:lineRule="atLeast"/>
      <w:jc w:val="left"/>
    </w:pPr>
    <w:rPr>
      <w:rFonts w:eastAsia="仿宋_GB2312" w:cs="宋体"/>
      <w:color w:val="5A7CB4"/>
      <w:kern w:val="0"/>
      <w:sz w:val="18"/>
      <w:szCs w:val="18"/>
    </w:rPr>
  </w:style>
  <w:style w:type="paragraph" w:customStyle="1" w:styleId="3033">
    <w:name w:val="正文缩进6"/>
    <w:basedOn w:val="1"/>
    <w:autoRedefine/>
    <w:qFormat/>
    <w:uiPriority w:val="0"/>
    <w:pPr>
      <w:adjustRightInd w:val="0"/>
      <w:spacing w:line="312" w:lineRule="atLeast"/>
      <w:ind w:firstLine="420"/>
      <w:textAlignment w:val="baseline"/>
    </w:pPr>
    <w:rPr>
      <w:rFonts w:eastAsia="仿宋_GB2312"/>
      <w:kern w:val="0"/>
      <w:sz w:val="28"/>
      <w:szCs w:val="20"/>
    </w:rPr>
  </w:style>
  <w:style w:type="paragraph" w:customStyle="1" w:styleId="3034">
    <w:name w:val="正文21"/>
    <w:basedOn w:val="1"/>
    <w:autoRedefine/>
    <w:qFormat/>
    <w:uiPriority w:val="0"/>
    <w:pPr>
      <w:spacing w:line="220" w:lineRule="exact"/>
    </w:pPr>
    <w:rPr>
      <w:rFonts w:eastAsia="仿宋_GB2312"/>
      <w:sz w:val="28"/>
      <w:szCs w:val="21"/>
    </w:rPr>
  </w:style>
  <w:style w:type="paragraph" w:customStyle="1" w:styleId="3035">
    <w:name w:val="Char Char1 Char Char Char Char2"/>
    <w:basedOn w:val="1"/>
    <w:autoRedefine/>
    <w:qFormat/>
    <w:uiPriority w:val="0"/>
    <w:rPr>
      <w:rFonts w:eastAsia="仿宋_GB2312"/>
      <w:szCs w:val="21"/>
    </w:rPr>
  </w:style>
  <w:style w:type="paragraph" w:customStyle="1" w:styleId="3036">
    <w:name w:val="Char Char2 Char Char Char Char Char Char3"/>
    <w:basedOn w:val="1"/>
    <w:autoRedefine/>
    <w:qFormat/>
    <w:uiPriority w:val="0"/>
    <w:pPr>
      <w:spacing w:line="480" w:lineRule="exact"/>
    </w:pPr>
    <w:rPr>
      <w:rFonts w:eastAsia="仿宋_GB2312"/>
      <w:sz w:val="22"/>
      <w:szCs w:val="21"/>
    </w:rPr>
  </w:style>
  <w:style w:type="paragraph" w:customStyle="1" w:styleId="3037">
    <w:name w:val="样式 标题 3 + 黑体 四号"/>
    <w:basedOn w:val="5"/>
    <w:autoRedefine/>
    <w:qFormat/>
    <w:uiPriority w:val="0"/>
    <w:pPr>
      <w:tabs>
        <w:tab w:val="left" w:pos="7088"/>
      </w:tabs>
      <w:adjustRightInd w:val="0"/>
      <w:spacing w:beforeLines="50" w:after="160" w:line="360" w:lineRule="auto"/>
    </w:pPr>
    <w:rPr>
      <w:rFonts w:ascii="黑体" w:hAnsi="Times New Roman" w:eastAsia="黑体" w:cs="Times New Roman"/>
      <w:sz w:val="30"/>
      <w:lang w:val="zh-CN"/>
    </w:rPr>
  </w:style>
  <w:style w:type="paragraph" w:customStyle="1" w:styleId="3038">
    <w:name w:val="Char Char2 Char Char Char Char Char Char1"/>
    <w:basedOn w:val="1"/>
    <w:autoRedefine/>
    <w:qFormat/>
    <w:uiPriority w:val="0"/>
    <w:pPr>
      <w:spacing w:line="480" w:lineRule="exact"/>
    </w:pPr>
    <w:rPr>
      <w:rFonts w:eastAsia="仿宋_GB2312"/>
      <w:sz w:val="22"/>
      <w:szCs w:val="21"/>
    </w:rPr>
  </w:style>
  <w:style w:type="paragraph" w:customStyle="1" w:styleId="3039">
    <w:name w:val="表格标注"/>
    <w:basedOn w:val="2880"/>
    <w:autoRedefine/>
    <w:qFormat/>
    <w:uiPriority w:val="0"/>
    <w:pPr>
      <w:spacing w:beforeLines="20"/>
    </w:pPr>
  </w:style>
  <w:style w:type="paragraph" w:customStyle="1" w:styleId="3040">
    <w:name w:val="正文文本缩进4"/>
    <w:basedOn w:val="1"/>
    <w:autoRedefine/>
    <w:qFormat/>
    <w:uiPriority w:val="0"/>
    <w:pPr>
      <w:spacing w:after="120" w:line="360" w:lineRule="auto"/>
      <w:ind w:left="200" w:leftChars="200" w:firstLine="200" w:firstLineChars="200"/>
    </w:pPr>
    <w:rPr>
      <w:rFonts w:eastAsia="仿宋_GB2312"/>
      <w:szCs w:val="21"/>
    </w:rPr>
  </w:style>
  <w:style w:type="paragraph" w:customStyle="1" w:styleId="3041">
    <w:name w:val="样式 首行缩进:  0.85 厘米 行距: 固定值 23 磅"/>
    <w:basedOn w:val="1"/>
    <w:autoRedefine/>
    <w:qFormat/>
    <w:uiPriority w:val="0"/>
    <w:pPr>
      <w:spacing w:line="500" w:lineRule="exact"/>
      <w:ind w:firstLine="200" w:firstLineChars="200"/>
    </w:pPr>
    <w:rPr>
      <w:rFonts w:eastAsia="仿宋_GB2312"/>
      <w:color w:val="0000FF"/>
      <w:sz w:val="28"/>
      <w:szCs w:val="21"/>
    </w:rPr>
  </w:style>
  <w:style w:type="paragraph" w:customStyle="1" w:styleId="3042">
    <w:name w:val="Char Char Char Char Char Char Char Char Char1 Char Char Char Char Char Char Char Char1 Char Char Char1"/>
    <w:basedOn w:val="1"/>
    <w:autoRedefine/>
    <w:qFormat/>
    <w:uiPriority w:val="0"/>
    <w:pPr>
      <w:snapToGrid w:val="0"/>
      <w:spacing w:line="360" w:lineRule="auto"/>
      <w:ind w:firstLine="200" w:firstLineChars="200"/>
    </w:pPr>
    <w:rPr>
      <w:rFonts w:eastAsia="仿宋_GB2312"/>
      <w:szCs w:val="21"/>
    </w:rPr>
  </w:style>
  <w:style w:type="paragraph" w:customStyle="1" w:styleId="3043">
    <w:name w:val="宏福正文-2"/>
    <w:basedOn w:val="87"/>
    <w:autoRedefine/>
    <w:qFormat/>
    <w:uiPriority w:val="0"/>
    <w:pPr>
      <w:spacing w:before="240" w:after="0" w:line="400" w:lineRule="atLeast"/>
      <w:ind w:firstLine="567" w:firstLineChars="0"/>
    </w:pPr>
    <w:rPr>
      <w:rFonts w:eastAsia="仿宋_GB2312" w:cs="宋体" w:hAnsiTheme="minorHAnsi"/>
      <w:sz w:val="28"/>
      <w:szCs w:val="20"/>
    </w:rPr>
  </w:style>
  <w:style w:type="paragraph" w:customStyle="1" w:styleId="3044">
    <w:name w:val="heading"/>
    <w:basedOn w:val="1"/>
    <w:next w:val="1"/>
    <w:autoRedefine/>
    <w:qFormat/>
    <w:uiPriority w:val="0"/>
    <w:pPr>
      <w:keepNext/>
      <w:keepLines/>
      <w:tabs>
        <w:tab w:val="left" w:pos="576"/>
      </w:tabs>
      <w:spacing w:line="360" w:lineRule="auto"/>
      <w:ind w:left="576"/>
      <w:outlineLvl w:val="1"/>
    </w:pPr>
    <w:rPr>
      <w:rFonts w:eastAsia="仿宋_GB2312" w:cs="宋体"/>
      <w:szCs w:val="21"/>
    </w:rPr>
  </w:style>
  <w:style w:type="paragraph" w:customStyle="1" w:styleId="3045">
    <w:name w:val="标题正1"/>
    <w:basedOn w:val="1"/>
    <w:autoRedefine/>
    <w:qFormat/>
    <w:uiPriority w:val="0"/>
    <w:pPr>
      <w:spacing w:line="400" w:lineRule="exact"/>
      <w:jc w:val="center"/>
      <w:outlineLvl w:val="0"/>
    </w:pPr>
    <w:rPr>
      <w:rFonts w:ascii="楷体_GB2312" w:eastAsia="楷体_GB2312"/>
      <w:color w:val="000000"/>
      <w:spacing w:val="-20"/>
      <w:szCs w:val="21"/>
    </w:rPr>
  </w:style>
  <w:style w:type="paragraph" w:customStyle="1" w:styleId="3046">
    <w:name w:val="_Style 1"/>
    <w:basedOn w:val="1"/>
    <w:next w:val="21"/>
    <w:autoRedefine/>
    <w:qFormat/>
    <w:uiPriority w:val="0"/>
    <w:pPr>
      <w:adjustRightInd w:val="0"/>
      <w:spacing w:line="288" w:lineRule="auto"/>
      <w:ind w:firstLine="480"/>
      <w:textAlignment w:val="baseline"/>
    </w:pPr>
    <w:rPr>
      <w:rFonts w:eastAsia="仿宋_GB2312" w:cs="宋体"/>
      <w:szCs w:val="21"/>
    </w:rPr>
  </w:style>
  <w:style w:type="paragraph" w:customStyle="1" w:styleId="3047">
    <w:name w:val="wj12"/>
    <w:basedOn w:val="1"/>
    <w:autoRedefine/>
    <w:qFormat/>
    <w:uiPriority w:val="0"/>
    <w:pPr>
      <w:widowControl/>
      <w:spacing w:before="100" w:beforeAutospacing="1" w:after="100" w:afterAutospacing="1"/>
      <w:jc w:val="left"/>
    </w:pPr>
    <w:rPr>
      <w:rFonts w:eastAsia="仿宋_GB2312" w:cs="宋体"/>
      <w:kern w:val="0"/>
      <w:sz w:val="18"/>
      <w:szCs w:val="18"/>
    </w:rPr>
  </w:style>
  <w:style w:type="paragraph" w:customStyle="1" w:styleId="3048">
    <w:name w:val="cdb"/>
    <w:basedOn w:val="1"/>
    <w:autoRedefine/>
    <w:qFormat/>
    <w:uiPriority w:val="0"/>
    <w:pPr>
      <w:spacing w:before="120"/>
      <w:ind w:left="851" w:firstLine="482"/>
    </w:pPr>
    <w:rPr>
      <w:rFonts w:eastAsia="仿宋_GB2312"/>
      <w:sz w:val="28"/>
      <w:szCs w:val="20"/>
    </w:rPr>
  </w:style>
  <w:style w:type="paragraph" w:customStyle="1" w:styleId="3049">
    <w:name w:val="CM60"/>
    <w:basedOn w:val="1"/>
    <w:next w:val="1"/>
    <w:autoRedefine/>
    <w:qFormat/>
    <w:uiPriority w:val="0"/>
    <w:pPr>
      <w:autoSpaceDE w:val="0"/>
      <w:autoSpaceDN w:val="0"/>
      <w:adjustRightInd w:val="0"/>
      <w:jc w:val="left"/>
    </w:pPr>
    <w:rPr>
      <w:rFonts w:eastAsia="仿宋_GB2312"/>
      <w:kern w:val="0"/>
      <w:szCs w:val="21"/>
    </w:rPr>
  </w:style>
  <w:style w:type="paragraph" w:customStyle="1" w:styleId="3050">
    <w:name w:val="Default1"/>
    <w:basedOn w:val="1"/>
    <w:next w:val="1"/>
    <w:autoRedefine/>
    <w:qFormat/>
    <w:uiPriority w:val="0"/>
    <w:pPr>
      <w:autoSpaceDE w:val="0"/>
      <w:autoSpaceDN w:val="0"/>
      <w:adjustRightInd w:val="0"/>
      <w:jc w:val="left"/>
    </w:pPr>
    <w:rPr>
      <w:rFonts w:eastAsia="仿宋_GB2312"/>
      <w:kern w:val="0"/>
      <w:szCs w:val="21"/>
    </w:rPr>
  </w:style>
  <w:style w:type="paragraph" w:customStyle="1" w:styleId="3051">
    <w:name w:val="CM63"/>
    <w:basedOn w:val="1"/>
    <w:next w:val="1"/>
    <w:autoRedefine/>
    <w:qFormat/>
    <w:uiPriority w:val="0"/>
    <w:pPr>
      <w:autoSpaceDE w:val="0"/>
      <w:autoSpaceDN w:val="0"/>
      <w:adjustRightInd w:val="0"/>
      <w:jc w:val="left"/>
    </w:pPr>
    <w:rPr>
      <w:rFonts w:eastAsia="仿宋_GB2312"/>
      <w:kern w:val="0"/>
      <w:szCs w:val="21"/>
    </w:rPr>
  </w:style>
  <w:style w:type="paragraph" w:customStyle="1" w:styleId="3052">
    <w:name w:val="Char1 Char Char Char Char Char Char4"/>
    <w:basedOn w:val="1"/>
    <w:autoRedefine/>
    <w:qFormat/>
    <w:uiPriority w:val="0"/>
    <w:rPr>
      <w:rFonts w:ascii="Tahoma" w:hAnsi="Tahoma" w:eastAsia="仿宋_GB2312"/>
      <w:szCs w:val="20"/>
    </w:rPr>
  </w:style>
  <w:style w:type="paragraph" w:customStyle="1" w:styleId="3053">
    <w:name w:val="Char Char Char Char Char Char Char Char Char Char2"/>
    <w:basedOn w:val="1"/>
    <w:autoRedefine/>
    <w:qFormat/>
    <w:uiPriority w:val="0"/>
    <w:rPr>
      <w:rFonts w:eastAsia="仿宋_GB2312"/>
      <w:sz w:val="28"/>
      <w:szCs w:val="21"/>
    </w:rPr>
  </w:style>
  <w:style w:type="paragraph" w:customStyle="1" w:styleId="3054">
    <w:name w:val="表样式1"/>
    <w:basedOn w:val="1"/>
    <w:autoRedefine/>
    <w:qFormat/>
    <w:uiPriority w:val="0"/>
    <w:pPr>
      <w:spacing w:line="360" w:lineRule="exact"/>
      <w:jc w:val="center"/>
    </w:pPr>
    <w:rPr>
      <w:rFonts w:eastAsia="仿宋_GB2312"/>
      <w:color w:val="000000"/>
      <w:sz w:val="28"/>
      <w:szCs w:val="21"/>
    </w:rPr>
  </w:style>
  <w:style w:type="paragraph" w:customStyle="1" w:styleId="3055">
    <w:name w:val="我的正文 Char"/>
    <w:basedOn w:val="1"/>
    <w:next w:val="1"/>
    <w:autoRedefine/>
    <w:qFormat/>
    <w:uiPriority w:val="0"/>
    <w:pPr>
      <w:spacing w:line="520" w:lineRule="exact"/>
      <w:ind w:firstLine="225" w:firstLineChars="225"/>
    </w:pPr>
    <w:rPr>
      <w:rFonts w:eastAsia="仿宋_GB2312"/>
      <w:szCs w:val="21"/>
    </w:rPr>
  </w:style>
  <w:style w:type="paragraph" w:customStyle="1" w:styleId="3056">
    <w:name w:val="样式 五号 黑色 行距: 多倍行距 1.4 字行"/>
    <w:basedOn w:val="1"/>
    <w:autoRedefine/>
    <w:qFormat/>
    <w:uiPriority w:val="0"/>
    <w:pPr>
      <w:spacing w:line="336" w:lineRule="auto"/>
    </w:pPr>
    <w:rPr>
      <w:rFonts w:eastAsia="仿宋_GB2312"/>
      <w:sz w:val="28"/>
      <w:szCs w:val="21"/>
    </w:rPr>
  </w:style>
  <w:style w:type="paragraph" w:customStyle="1" w:styleId="3057">
    <w:name w:val="样式 样式 宋体 首行缩进:  0.85 厘米 行距: 1.5 倍行距 + 首行缩进:  2 字符"/>
    <w:basedOn w:val="1"/>
    <w:autoRedefine/>
    <w:qFormat/>
    <w:uiPriority w:val="0"/>
    <w:pPr>
      <w:spacing w:before="100" w:beforeAutospacing="1" w:line="360" w:lineRule="auto"/>
      <w:ind w:firstLine="200" w:firstLineChars="200"/>
    </w:pPr>
    <w:rPr>
      <w:rFonts w:eastAsia="仿宋_GB2312"/>
      <w:kern w:val="0"/>
      <w:szCs w:val="20"/>
    </w:rPr>
  </w:style>
  <w:style w:type="paragraph" w:customStyle="1" w:styleId="3058">
    <w:name w:val="项目符号3"/>
    <w:basedOn w:val="2926"/>
    <w:autoRedefine/>
    <w:qFormat/>
    <w:uiPriority w:val="0"/>
    <w:pPr>
      <w:tabs>
        <w:tab w:val="left" w:pos="510"/>
        <w:tab w:val="left" w:pos="2160"/>
        <w:tab w:val="clear" w:pos="420"/>
        <w:tab w:val="clear" w:pos="1275"/>
      </w:tabs>
      <w:adjustRightInd w:val="0"/>
      <w:spacing w:line="300" w:lineRule="auto"/>
      <w:ind w:left="510" w:firstLine="200" w:firstLineChars="200"/>
    </w:pPr>
    <w:rPr>
      <w:rFonts w:ascii="Times New Roman" w:hAnsi="Times New Roman"/>
      <w:b/>
      <w:bCs/>
      <w:kern w:val="24"/>
    </w:rPr>
  </w:style>
  <w:style w:type="paragraph" w:customStyle="1" w:styleId="3059">
    <w:name w:val="proposal"/>
    <w:basedOn w:val="1"/>
    <w:autoRedefine/>
    <w:qFormat/>
    <w:uiPriority w:val="0"/>
    <w:pPr>
      <w:widowControl/>
      <w:autoSpaceDE w:val="0"/>
      <w:autoSpaceDN w:val="0"/>
      <w:spacing w:line="300" w:lineRule="auto"/>
      <w:ind w:left="1440" w:hanging="1440"/>
    </w:pPr>
    <w:rPr>
      <w:rFonts w:eastAsia="仿宋_GB2312"/>
      <w:kern w:val="0"/>
      <w:szCs w:val="21"/>
      <w:lang w:val="en-GB" w:eastAsia="en-GB"/>
    </w:rPr>
  </w:style>
  <w:style w:type="paragraph" w:customStyle="1" w:styleId="3060">
    <w:name w:val="Heading"/>
    <w:basedOn w:val="1"/>
    <w:autoRedefine/>
    <w:qFormat/>
    <w:uiPriority w:val="0"/>
    <w:pPr>
      <w:keepNext/>
      <w:widowControl/>
      <w:autoSpaceDE w:val="0"/>
      <w:autoSpaceDN w:val="0"/>
      <w:spacing w:line="300" w:lineRule="auto"/>
      <w:ind w:left="1440" w:hanging="1440"/>
      <w:jc w:val="left"/>
    </w:pPr>
    <w:rPr>
      <w:rFonts w:eastAsia="仿宋_GB2312"/>
      <w:kern w:val="28"/>
      <w:szCs w:val="21"/>
      <w:lang w:val="en-GB" w:eastAsia="en-GB"/>
    </w:rPr>
  </w:style>
  <w:style w:type="paragraph" w:customStyle="1" w:styleId="3061">
    <w:name w:val="Heading2"/>
    <w:basedOn w:val="3"/>
    <w:autoRedefine/>
    <w:qFormat/>
    <w:uiPriority w:val="0"/>
    <w:pPr>
      <w:keepLines w:val="0"/>
      <w:widowControl/>
      <w:autoSpaceDE w:val="0"/>
      <w:autoSpaceDN w:val="0"/>
      <w:spacing w:before="0" w:after="0" w:line="300" w:lineRule="auto"/>
      <w:ind w:left="1440" w:hanging="1440"/>
      <w:jc w:val="left"/>
      <w:outlineLvl w:val="9"/>
    </w:pPr>
    <w:rPr>
      <w:rFonts w:eastAsia="仿宋_GB2312"/>
      <w:bCs/>
      <w:kern w:val="28"/>
      <w:sz w:val="24"/>
      <w:szCs w:val="24"/>
      <w:lang w:val="en-GB" w:eastAsia="en-GB"/>
    </w:rPr>
  </w:style>
  <w:style w:type="paragraph" w:customStyle="1" w:styleId="3062">
    <w:name w:val="样式 样式 首行缩进:  2 字符 段前: 0.5 行 段后: 1 行 + 首行缩进:  2 字符"/>
    <w:basedOn w:val="1"/>
    <w:autoRedefine/>
    <w:qFormat/>
    <w:uiPriority w:val="0"/>
    <w:pPr>
      <w:spacing w:beforeLines="50" w:afterLines="100" w:line="360" w:lineRule="auto"/>
      <w:ind w:firstLine="200" w:firstLineChars="200"/>
    </w:pPr>
    <w:rPr>
      <w:rFonts w:eastAsia="仿宋_GB2312" w:cs="宋体"/>
      <w:szCs w:val="20"/>
    </w:rPr>
  </w:style>
  <w:style w:type="paragraph" w:customStyle="1" w:styleId="3063">
    <w:name w:val="表文"/>
    <w:basedOn w:val="1"/>
    <w:autoRedefine/>
    <w:qFormat/>
    <w:uiPriority w:val="0"/>
    <w:pPr>
      <w:adjustRightInd w:val="0"/>
      <w:spacing w:line="300" w:lineRule="exact"/>
      <w:jc w:val="center"/>
    </w:pPr>
    <w:rPr>
      <w:rFonts w:eastAsia="仿宋_GB2312"/>
      <w:sz w:val="28"/>
      <w:szCs w:val="20"/>
    </w:rPr>
  </w:style>
  <w:style w:type="paragraph" w:customStyle="1" w:styleId="3064">
    <w:name w:val="样式 样式 样式 样式 样式 标题 3 + 首行缩进:  2 字符 + 首行缩进:  2 字符1 + 仿宋_GB2312 行距:..."/>
    <w:basedOn w:val="1"/>
    <w:autoRedefine/>
    <w:qFormat/>
    <w:uiPriority w:val="0"/>
    <w:pPr>
      <w:keepNext/>
      <w:keepLines/>
      <w:spacing w:before="120" w:afterLines="50" w:line="440" w:lineRule="exact"/>
      <w:ind w:firstLine="200" w:firstLineChars="200"/>
      <w:jc w:val="left"/>
      <w:outlineLvl w:val="2"/>
    </w:pPr>
    <w:rPr>
      <w:rFonts w:eastAsia="黑体"/>
      <w:spacing w:val="6"/>
      <w:sz w:val="28"/>
      <w:szCs w:val="28"/>
    </w:rPr>
  </w:style>
  <w:style w:type="paragraph" w:customStyle="1" w:styleId="3065">
    <w:name w:val="表格文字居左"/>
    <w:basedOn w:val="87"/>
    <w:autoRedefine/>
    <w:qFormat/>
    <w:uiPriority w:val="0"/>
    <w:pPr>
      <w:tabs>
        <w:tab w:val="left" w:pos="628"/>
        <w:tab w:val="left" w:pos="1727"/>
        <w:tab w:val="left" w:pos="1884"/>
      </w:tabs>
      <w:snapToGrid w:val="0"/>
      <w:spacing w:before="50" w:after="100" w:afterAutospacing="1"/>
      <w:ind w:left="26" w:firstLine="0" w:firstLineChars="0"/>
      <w:jc w:val="left"/>
      <w:outlineLvl w:val="0"/>
    </w:pPr>
    <w:rPr>
      <w:rFonts w:ascii="宋体" w:eastAsia="仿宋_GB2312" w:cs="宋体" w:hAnsiTheme="minorHAnsi"/>
      <w:sz w:val="24"/>
      <w:szCs w:val="28"/>
    </w:rPr>
  </w:style>
  <w:style w:type="paragraph" w:customStyle="1" w:styleId="3066">
    <w:name w:val="样式 四号 加粗 左侧:  0.74 厘米 段前: 0.5 行 段后: 1 行"/>
    <w:basedOn w:val="1"/>
    <w:autoRedefine/>
    <w:qFormat/>
    <w:uiPriority w:val="0"/>
    <w:pPr>
      <w:spacing w:beforeLines="50" w:afterLines="100" w:line="360" w:lineRule="auto"/>
      <w:ind w:left="420"/>
    </w:pPr>
    <w:rPr>
      <w:rFonts w:eastAsia="仿宋_GB2312" w:cs="宋体"/>
      <w:b/>
      <w:bCs/>
      <w:szCs w:val="20"/>
    </w:rPr>
  </w:style>
  <w:style w:type="paragraph" w:customStyle="1" w:styleId="3067">
    <w:name w:val="样式 样式 样式 加粗 首行缩进:  2 字符 段前: 0.5 行 段后: 1 行 + 首行缩进:  2 字符 + 首行缩进: ..."/>
    <w:basedOn w:val="1"/>
    <w:autoRedefine/>
    <w:qFormat/>
    <w:uiPriority w:val="0"/>
    <w:pPr>
      <w:spacing w:beforeLines="50" w:afterLines="50" w:line="360" w:lineRule="auto"/>
      <w:ind w:firstLine="200" w:firstLineChars="200"/>
    </w:pPr>
    <w:rPr>
      <w:rFonts w:eastAsia="仿宋_GB2312" w:cs="宋体"/>
      <w:b/>
      <w:bCs/>
      <w:szCs w:val="20"/>
    </w:rPr>
  </w:style>
  <w:style w:type="paragraph" w:customStyle="1" w:styleId="3068">
    <w:name w:val="表蕊左对齐"/>
    <w:basedOn w:val="890"/>
    <w:autoRedefine/>
    <w:qFormat/>
    <w:uiPriority w:val="0"/>
    <w:pPr>
      <w:widowControl w:val="0"/>
      <w:spacing w:line="300" w:lineRule="exact"/>
      <w:ind w:left="57"/>
      <w:jc w:val="left"/>
    </w:pPr>
    <w:rPr>
      <w:rFonts w:eastAsia="仿宋_GB2312"/>
      <w:color w:val="000000"/>
      <w:spacing w:val="0"/>
      <w:kern w:val="2"/>
      <w:sz w:val="28"/>
      <w:szCs w:val="21"/>
    </w:rPr>
  </w:style>
  <w:style w:type="paragraph" w:customStyle="1" w:styleId="3069">
    <w:name w:val="样式 首行缩进:  2 字符 段前: 0.5 行 段后: 1 行"/>
    <w:basedOn w:val="1"/>
    <w:autoRedefine/>
    <w:qFormat/>
    <w:uiPriority w:val="0"/>
    <w:pPr>
      <w:spacing w:beforeLines="50" w:afterLines="100" w:line="360" w:lineRule="auto"/>
      <w:ind w:firstLine="200" w:firstLineChars="200"/>
    </w:pPr>
    <w:rPr>
      <w:rFonts w:eastAsia="仿宋_GB2312" w:cs="宋体"/>
      <w:sz w:val="28"/>
      <w:szCs w:val="20"/>
    </w:rPr>
  </w:style>
  <w:style w:type="paragraph" w:customStyle="1" w:styleId="3070">
    <w:name w:val="表第一列"/>
    <w:basedOn w:val="87"/>
    <w:autoRedefine/>
    <w:qFormat/>
    <w:uiPriority w:val="0"/>
    <w:pPr>
      <w:keepLines/>
      <w:tabs>
        <w:tab w:val="left" w:pos="1727"/>
        <w:tab w:val="left" w:pos="1884"/>
        <w:tab w:val="left" w:pos="2940"/>
      </w:tabs>
      <w:adjustRightInd w:val="0"/>
      <w:snapToGrid w:val="0"/>
      <w:spacing w:after="0" w:line="0" w:lineRule="atLeast"/>
      <w:ind w:firstLine="0" w:firstLineChars="0"/>
      <w:jc w:val="center"/>
    </w:pPr>
    <w:rPr>
      <w:rFonts w:ascii="宋体" w:eastAsia="仿宋_GB2312" w:cs="宋体" w:hAnsiTheme="minorHAnsi"/>
      <w:color w:val="000000"/>
      <w:spacing w:val="-4"/>
      <w:szCs w:val="20"/>
    </w:rPr>
  </w:style>
  <w:style w:type="paragraph" w:customStyle="1" w:styleId="3071">
    <w:name w:val="样式 宋体 四号 段前: 0.5 行 段后: 1 行"/>
    <w:basedOn w:val="1"/>
    <w:autoRedefine/>
    <w:qFormat/>
    <w:uiPriority w:val="0"/>
    <w:pPr>
      <w:spacing w:beforeLines="50" w:afterLines="100" w:line="360" w:lineRule="auto"/>
      <w:ind w:firstLine="150" w:firstLineChars="150"/>
    </w:pPr>
    <w:rPr>
      <w:rFonts w:eastAsia="仿宋_GB2312" w:cs="宋体"/>
      <w:szCs w:val="20"/>
    </w:rPr>
  </w:style>
  <w:style w:type="paragraph" w:customStyle="1" w:styleId="3072">
    <w:name w:val="sub_body"/>
    <w:autoRedefine/>
    <w:qFormat/>
    <w:uiPriority w:val="0"/>
    <w:pPr>
      <w:widowControl w:val="0"/>
      <w:autoSpaceDE w:val="0"/>
      <w:autoSpaceDN w:val="0"/>
      <w:adjustRightInd w:val="0"/>
      <w:spacing w:before="43" w:after="43" w:line="288" w:lineRule="atLeast"/>
      <w:ind w:left="288"/>
      <w:textAlignment w:val="baseline"/>
    </w:pPr>
    <w:rPr>
      <w:rFonts w:ascii="Arial" w:hAnsi="Arial" w:eastAsia="仿宋_GB2312" w:cs="宋体"/>
      <w:color w:val="000000"/>
      <w:sz w:val="21"/>
      <w:szCs w:val="21"/>
      <w:lang w:val="en-US" w:eastAsia="zh-CN" w:bidi="ar-SA"/>
    </w:rPr>
  </w:style>
  <w:style w:type="paragraph" w:customStyle="1" w:styleId="3073">
    <w:name w:val="Char Char1 Char Char Char Char Char Char"/>
    <w:basedOn w:val="1"/>
    <w:autoRedefine/>
    <w:qFormat/>
    <w:uiPriority w:val="0"/>
    <w:rPr>
      <w:rFonts w:eastAsia="仿宋_GB2312"/>
      <w:sz w:val="28"/>
      <w:szCs w:val="21"/>
    </w:rPr>
  </w:style>
  <w:style w:type="paragraph" w:customStyle="1" w:styleId="3074">
    <w:name w:val="24"/>
    <w:basedOn w:val="1"/>
    <w:next w:val="71"/>
    <w:autoRedefine/>
    <w:qFormat/>
    <w:uiPriority w:val="0"/>
    <w:pPr>
      <w:spacing w:line="500" w:lineRule="exact"/>
      <w:ind w:firstLine="200" w:firstLineChars="200"/>
    </w:pPr>
    <w:rPr>
      <w:rFonts w:ascii="仿宋_GB2312" w:eastAsia="仿宋_GB2312"/>
      <w:sz w:val="28"/>
      <w:szCs w:val="20"/>
    </w:rPr>
  </w:style>
  <w:style w:type="paragraph" w:customStyle="1" w:styleId="3075">
    <w:name w:val="Char Char Char Char Char Char Char Char Char Char Char Char Char Char Char Char Char Char Char Char Char Char Char Char"/>
    <w:basedOn w:val="1"/>
    <w:autoRedefine/>
    <w:qFormat/>
    <w:uiPriority w:val="0"/>
    <w:rPr>
      <w:rFonts w:eastAsia="仿宋_GB2312"/>
      <w:sz w:val="28"/>
      <w:szCs w:val="21"/>
    </w:rPr>
  </w:style>
  <w:style w:type="paragraph" w:customStyle="1" w:styleId="3076">
    <w:name w:val="样式 宋体 小四 左 段前: 6 磅 段后: 6 磅 行距: 1.5 倍行距2"/>
    <w:basedOn w:val="1"/>
    <w:autoRedefine/>
    <w:qFormat/>
    <w:uiPriority w:val="0"/>
    <w:pPr>
      <w:spacing w:line="300" w:lineRule="exact"/>
      <w:jc w:val="center"/>
    </w:pPr>
    <w:rPr>
      <w:rFonts w:eastAsia="仿宋_GB2312"/>
      <w:sz w:val="28"/>
      <w:szCs w:val="21"/>
    </w:rPr>
  </w:style>
  <w:style w:type="paragraph" w:customStyle="1" w:styleId="3077">
    <w:name w:val="ST20_55"/>
    <w:basedOn w:val="1"/>
    <w:autoRedefine/>
    <w:qFormat/>
    <w:uiPriority w:val="0"/>
    <w:pPr>
      <w:tabs>
        <w:tab w:val="left" w:pos="2160"/>
      </w:tabs>
      <w:autoSpaceDE w:val="0"/>
      <w:autoSpaceDN w:val="0"/>
      <w:adjustRightInd w:val="0"/>
      <w:spacing w:after="80" w:line="360" w:lineRule="atLeast"/>
      <w:ind w:left="2160" w:hanging="360"/>
      <w:jc w:val="left"/>
      <w:textAlignment w:val="baseline"/>
    </w:pPr>
    <w:rPr>
      <w:rFonts w:eastAsia="仿宋_GB2312"/>
      <w:kern w:val="0"/>
      <w:sz w:val="28"/>
      <w:szCs w:val="20"/>
    </w:rPr>
  </w:style>
  <w:style w:type="paragraph" w:customStyle="1" w:styleId="3078">
    <w:name w:val="ST20_5"/>
    <w:basedOn w:val="1"/>
    <w:autoRedefine/>
    <w:qFormat/>
    <w:uiPriority w:val="0"/>
    <w:pPr>
      <w:keepLines/>
      <w:autoSpaceDE w:val="0"/>
      <w:autoSpaceDN w:val="0"/>
      <w:adjustRightInd w:val="0"/>
      <w:spacing w:after="160" w:line="360" w:lineRule="atLeast"/>
      <w:ind w:left="720" w:right="720"/>
      <w:jc w:val="left"/>
      <w:textAlignment w:val="baseline"/>
    </w:pPr>
    <w:rPr>
      <w:rFonts w:eastAsia="仿宋_GB2312"/>
      <w:i/>
      <w:kern w:val="0"/>
      <w:sz w:val="28"/>
      <w:szCs w:val="20"/>
    </w:rPr>
  </w:style>
  <w:style w:type="paragraph" w:customStyle="1" w:styleId="3079">
    <w:name w:val="节标"/>
    <w:basedOn w:val="1"/>
    <w:autoRedefine/>
    <w:qFormat/>
    <w:uiPriority w:val="0"/>
    <w:pPr>
      <w:widowControl/>
      <w:autoSpaceDE w:val="0"/>
      <w:autoSpaceDN w:val="0"/>
      <w:adjustRightInd w:val="0"/>
      <w:spacing w:line="480" w:lineRule="exact"/>
      <w:ind w:firstLine="567"/>
      <w:jc w:val="center"/>
      <w:textAlignment w:val="bottom"/>
    </w:pPr>
    <w:rPr>
      <w:rFonts w:eastAsia="仿宋_GB2312"/>
      <w:b/>
      <w:kern w:val="0"/>
      <w:sz w:val="30"/>
      <w:szCs w:val="28"/>
    </w:rPr>
  </w:style>
  <w:style w:type="paragraph" w:customStyle="1" w:styleId="3080">
    <w:name w:val="xl166"/>
    <w:basedOn w:val="1"/>
    <w:autoRedefine/>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eastAsia="仿宋_GB2312"/>
      <w:kern w:val="0"/>
      <w:sz w:val="28"/>
      <w:szCs w:val="21"/>
    </w:rPr>
  </w:style>
  <w:style w:type="paragraph" w:customStyle="1" w:styleId="3081">
    <w:name w:val="gb1"/>
    <w:basedOn w:val="1"/>
    <w:autoRedefine/>
    <w:qFormat/>
    <w:uiPriority w:val="0"/>
    <w:pPr>
      <w:widowControl/>
      <w:tabs>
        <w:tab w:val="left" w:pos="227"/>
      </w:tabs>
      <w:overflowPunct w:val="0"/>
      <w:autoSpaceDE w:val="0"/>
      <w:autoSpaceDN w:val="0"/>
      <w:adjustRightInd w:val="0"/>
      <w:spacing w:before="120" w:after="120"/>
      <w:jc w:val="left"/>
      <w:textAlignment w:val="baseline"/>
    </w:pPr>
    <w:rPr>
      <w:rFonts w:ascii="Arial" w:hAnsi="Arial" w:eastAsia="仿宋体" w:cs="Arial"/>
      <w:kern w:val="0"/>
      <w:sz w:val="20"/>
      <w:szCs w:val="21"/>
    </w:rPr>
  </w:style>
  <w:style w:type="paragraph" w:customStyle="1" w:styleId="3082">
    <w:name w:val="xl167"/>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eastAsia="仿宋_GB2312"/>
      <w:kern w:val="0"/>
      <w:sz w:val="28"/>
      <w:szCs w:val="21"/>
    </w:rPr>
  </w:style>
  <w:style w:type="paragraph" w:customStyle="1" w:styleId="3083">
    <w:name w:val="xl168"/>
    <w:basedOn w:val="1"/>
    <w:autoRedefine/>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eastAsia="仿宋_GB2312"/>
      <w:kern w:val="0"/>
      <w:sz w:val="28"/>
      <w:szCs w:val="21"/>
    </w:rPr>
  </w:style>
  <w:style w:type="paragraph" w:customStyle="1" w:styleId="3084">
    <w:name w:val="xl169"/>
    <w:basedOn w:val="1"/>
    <w:autoRedefine/>
    <w:qFormat/>
    <w:uiPriority w:val="0"/>
    <w:pPr>
      <w:widowControl/>
      <w:pBdr>
        <w:right w:val="single" w:color="auto" w:sz="4" w:space="0"/>
      </w:pBdr>
      <w:spacing w:before="100" w:beforeAutospacing="1" w:after="100" w:afterAutospacing="1"/>
      <w:jc w:val="center"/>
      <w:textAlignment w:val="center"/>
    </w:pPr>
    <w:rPr>
      <w:rFonts w:ascii="Arial Unicode MS" w:hAnsi="Arial Unicode MS" w:eastAsia="仿宋_GB2312"/>
      <w:kern w:val="0"/>
      <w:sz w:val="28"/>
      <w:szCs w:val="21"/>
    </w:rPr>
  </w:style>
  <w:style w:type="paragraph" w:customStyle="1" w:styleId="3085">
    <w:name w:val="xl170"/>
    <w:basedOn w:val="1"/>
    <w:autoRedefine/>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eastAsia="仿宋_GB2312"/>
      <w:kern w:val="0"/>
      <w:sz w:val="28"/>
      <w:szCs w:val="21"/>
    </w:rPr>
  </w:style>
  <w:style w:type="paragraph" w:customStyle="1" w:styleId="3086">
    <w:name w:val="xl176"/>
    <w:basedOn w:val="1"/>
    <w:autoRedefine/>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eastAsia="仿宋_GB2312"/>
      <w:kern w:val="0"/>
      <w:sz w:val="28"/>
      <w:szCs w:val="21"/>
    </w:rPr>
  </w:style>
  <w:style w:type="paragraph" w:customStyle="1" w:styleId="3087">
    <w:name w:val="xl177"/>
    <w:basedOn w:val="1"/>
    <w:autoRedefine/>
    <w:qFormat/>
    <w:uiPriority w:val="0"/>
    <w:pPr>
      <w:widowControl/>
      <w:pBdr>
        <w:left w:val="single" w:color="auto" w:sz="4" w:space="0"/>
      </w:pBdr>
      <w:spacing w:before="100" w:beforeAutospacing="1" w:after="100" w:afterAutospacing="1"/>
      <w:jc w:val="center"/>
    </w:pPr>
    <w:rPr>
      <w:rFonts w:ascii="Arial Unicode MS" w:hAnsi="Arial Unicode MS" w:eastAsia="仿宋_GB2312"/>
      <w:kern w:val="0"/>
      <w:sz w:val="12"/>
      <w:szCs w:val="12"/>
    </w:rPr>
  </w:style>
  <w:style w:type="paragraph" w:customStyle="1" w:styleId="3088">
    <w:name w:val="xl196"/>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仿宋_GB2312"/>
      <w:kern w:val="0"/>
      <w:sz w:val="28"/>
      <w:szCs w:val="21"/>
    </w:rPr>
  </w:style>
  <w:style w:type="paragraph" w:customStyle="1" w:styleId="3089">
    <w:name w:val="单位名称"/>
    <w:basedOn w:val="1"/>
    <w:next w:val="1"/>
    <w:autoRedefine/>
    <w:qFormat/>
    <w:uiPriority w:val="0"/>
    <w:pPr>
      <w:spacing w:line="500" w:lineRule="atLeast"/>
      <w:jc w:val="center"/>
    </w:pPr>
    <w:rPr>
      <w:rFonts w:eastAsia="仿宋_GB2312"/>
      <w:sz w:val="44"/>
      <w:szCs w:val="44"/>
    </w:rPr>
  </w:style>
  <w:style w:type="paragraph" w:customStyle="1" w:styleId="3090">
    <w:name w:val="xl197"/>
    <w:basedOn w:val="1"/>
    <w:autoRedefine/>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仿宋_GB2312"/>
      <w:kern w:val="0"/>
      <w:sz w:val="28"/>
      <w:szCs w:val="21"/>
    </w:rPr>
  </w:style>
  <w:style w:type="paragraph" w:customStyle="1" w:styleId="3091">
    <w:name w:val="Char3 Char Char Char Char Char Char Char Char Char Char1"/>
    <w:basedOn w:val="1"/>
    <w:autoRedefine/>
    <w:qFormat/>
    <w:uiPriority w:val="0"/>
    <w:pPr>
      <w:spacing w:line="340" w:lineRule="exact"/>
      <w:ind w:firstLine="4" w:firstLineChars="4"/>
    </w:pPr>
    <w:rPr>
      <w:rFonts w:eastAsia="仿宋_GB2312"/>
      <w:sz w:val="28"/>
      <w:szCs w:val="28"/>
    </w:rPr>
  </w:style>
  <w:style w:type="paragraph" w:customStyle="1" w:styleId="3092">
    <w:name w:val="Char Char Char1 Char Char Char Char Char Char Char Char Char Char Char Char Char Char Char1 Char Char Char Char Char Char Char Char Char Char Char Char Char Char Char Char Char Char Char Char Char Char Char Char Char Char Char Char Char Char1"/>
    <w:basedOn w:val="1"/>
    <w:autoRedefine/>
    <w:qFormat/>
    <w:uiPriority w:val="0"/>
    <w:pPr>
      <w:spacing w:line="240" w:lineRule="exact"/>
      <w:ind w:firstLine="200" w:firstLineChars="200"/>
    </w:pPr>
    <w:rPr>
      <w:rFonts w:eastAsia="仿宋_GB2312"/>
      <w:sz w:val="28"/>
      <w:szCs w:val="28"/>
    </w:rPr>
  </w:style>
  <w:style w:type="paragraph" w:customStyle="1" w:styleId="3093">
    <w:name w:val="9"/>
    <w:basedOn w:val="1"/>
    <w:next w:val="52"/>
    <w:autoRedefine/>
    <w:qFormat/>
    <w:uiPriority w:val="0"/>
    <w:pPr>
      <w:spacing w:line="500" w:lineRule="exact"/>
      <w:ind w:firstLine="200" w:firstLineChars="200"/>
    </w:pPr>
    <w:rPr>
      <w:rFonts w:ascii="仿宋_GB2312" w:eastAsia="仿宋_GB2312"/>
      <w:color w:val="000000"/>
      <w:sz w:val="28"/>
      <w:szCs w:val="21"/>
    </w:rPr>
  </w:style>
  <w:style w:type="paragraph" w:customStyle="1" w:styleId="3094">
    <w:name w:val="框图-1 Char"/>
    <w:basedOn w:val="1"/>
    <w:autoRedefine/>
    <w:qFormat/>
    <w:uiPriority w:val="0"/>
    <w:pPr>
      <w:jc w:val="center"/>
    </w:pPr>
    <w:rPr>
      <w:rFonts w:eastAsia="仿宋_GB2312"/>
      <w:bCs/>
      <w:snapToGrid w:val="0"/>
      <w:color w:val="000000"/>
      <w:kern w:val="0"/>
      <w:sz w:val="28"/>
      <w:szCs w:val="21"/>
    </w:rPr>
  </w:style>
  <w:style w:type="paragraph" w:customStyle="1" w:styleId="3095">
    <w:name w:val="book1_1"/>
    <w:basedOn w:val="4"/>
    <w:autoRedefine/>
    <w:qFormat/>
    <w:uiPriority w:val="0"/>
    <w:pPr>
      <w:keepNext w:val="0"/>
      <w:keepLines w:val="0"/>
      <w:tabs>
        <w:tab w:val="left" w:pos="622"/>
        <w:tab w:val="left" w:pos="720"/>
        <w:tab w:val="clear" w:pos="1276"/>
      </w:tabs>
      <w:adjustRightInd/>
      <w:spacing w:before="0" w:beforeLines="50" w:after="0" w:afterLines="50" w:line="240" w:lineRule="auto"/>
      <w:ind w:left="0"/>
      <w:contextualSpacing/>
      <w:jc w:val="both"/>
      <w:textAlignment w:val="auto"/>
    </w:pPr>
    <w:rPr>
      <w:b w:val="0"/>
      <w:color w:val="0000FF"/>
      <w:sz w:val="24"/>
      <w:szCs w:val="32"/>
      <w:shd w:val="pct10" w:color="auto" w:fill="FFFFFF"/>
      <w:lang w:val="zh-CN"/>
    </w:rPr>
  </w:style>
  <w:style w:type="paragraph" w:customStyle="1" w:styleId="3096">
    <w:name w:val="样式1）"/>
    <w:basedOn w:val="7"/>
    <w:autoRedefine/>
    <w:qFormat/>
    <w:uiPriority w:val="0"/>
    <w:pPr>
      <w:tabs>
        <w:tab w:val="left" w:pos="1226"/>
        <w:tab w:val="clear" w:pos="3827"/>
      </w:tabs>
      <w:spacing w:before="0" w:beforeLines="50" w:after="0" w:afterLines="50" w:line="400" w:lineRule="exact"/>
      <w:ind w:left="369" w:leftChars="213" w:hanging="156" w:hangingChars="156"/>
    </w:pPr>
    <w:rPr>
      <w:rFonts w:eastAsia="仿宋_GB2312"/>
      <w:b w:val="0"/>
      <w:sz w:val="21"/>
      <w:lang w:val="zh-CN"/>
    </w:rPr>
  </w:style>
  <w:style w:type="paragraph" w:customStyle="1" w:styleId="3097">
    <w:name w:val="book1_1_1"/>
    <w:basedOn w:val="5"/>
    <w:autoRedefine/>
    <w:qFormat/>
    <w:uiPriority w:val="0"/>
    <w:pPr>
      <w:keepNext w:val="0"/>
      <w:tabs>
        <w:tab w:val="left" w:pos="1050"/>
        <w:tab w:val="left" w:pos="1770"/>
        <w:tab w:val="left" w:pos="7088"/>
      </w:tabs>
      <w:adjustRightInd w:val="0"/>
      <w:spacing w:beforeLines="50" w:afterLines="50" w:line="400" w:lineRule="exact"/>
      <w:ind w:left="330"/>
    </w:pPr>
    <w:rPr>
      <w:rFonts w:ascii="Times New Roman" w:hAnsi="Times New Roman" w:eastAsia="仿宋_GB2312" w:cs="Times New Roman"/>
      <w:b w:val="0"/>
      <w:sz w:val="24"/>
      <w:lang w:val="zh-CN"/>
    </w:rPr>
  </w:style>
  <w:style w:type="paragraph" w:customStyle="1" w:styleId="3098">
    <w:name w:val="book1_1_1_1"/>
    <w:basedOn w:val="6"/>
    <w:autoRedefine/>
    <w:qFormat/>
    <w:uiPriority w:val="0"/>
    <w:pPr>
      <w:keepNext w:val="0"/>
      <w:tabs>
        <w:tab w:val="left" w:pos="1487"/>
        <w:tab w:val="clear" w:pos="2976"/>
      </w:tabs>
      <w:adjustRightInd w:val="0"/>
      <w:snapToGrid w:val="0"/>
      <w:spacing w:beforeLines="50" w:afterLines="50" w:line="400" w:lineRule="exact"/>
      <w:ind w:left="536"/>
    </w:pPr>
    <w:rPr>
      <w:rFonts w:ascii="Times New Roman" w:hAnsi="Cambria" w:eastAsia="仿宋_GB2312" w:cs="Arial"/>
      <w:b w:val="0"/>
      <w:bCs w:val="0"/>
      <w:snapToGrid w:val="0"/>
      <w:color w:val="000000"/>
      <w:sz w:val="21"/>
      <w:lang w:val="zh-CN"/>
    </w:rPr>
  </w:style>
  <w:style w:type="paragraph" w:customStyle="1" w:styleId="3099">
    <w:name w:val="样式-1-"/>
    <w:basedOn w:val="56"/>
    <w:autoRedefine/>
    <w:qFormat/>
    <w:uiPriority w:val="0"/>
    <w:pPr>
      <w:framePr w:wrap="around" w:vAnchor="text" w:hAnchor="margin" w:xAlign="center" w:y="1"/>
    </w:pPr>
    <w:rPr>
      <w:rFonts w:ascii="仿宋_GB2312" w:hAnsi="仿宋_GB2312" w:eastAsia="仿宋_GB2312" w:cs="Times New Roman"/>
      <w:kern w:val="0"/>
      <w:sz w:val="24"/>
      <w:szCs w:val="20"/>
      <w:lang w:val="zh-CN" w:eastAsia="zh-TW"/>
    </w:rPr>
  </w:style>
  <w:style w:type="paragraph" w:customStyle="1" w:styleId="3100">
    <w:name w:val="宋体"/>
    <w:basedOn w:val="1"/>
    <w:autoRedefine/>
    <w:qFormat/>
    <w:uiPriority w:val="0"/>
    <w:rPr>
      <w:rFonts w:eastAsia="仿宋_GB2312"/>
      <w:sz w:val="28"/>
      <w:szCs w:val="21"/>
    </w:rPr>
  </w:style>
  <w:style w:type="paragraph" w:customStyle="1" w:styleId="3101">
    <w:name w:val="调研内容"/>
    <w:basedOn w:val="1"/>
    <w:autoRedefine/>
    <w:qFormat/>
    <w:uiPriority w:val="0"/>
    <w:pPr>
      <w:spacing w:line="360" w:lineRule="auto"/>
    </w:pPr>
    <w:rPr>
      <w:rFonts w:eastAsia="仿宋_GB2312"/>
      <w:sz w:val="28"/>
      <w:szCs w:val="20"/>
    </w:rPr>
  </w:style>
  <w:style w:type="paragraph" w:customStyle="1" w:styleId="3102">
    <w:name w:val="表里"/>
    <w:basedOn w:val="1"/>
    <w:autoRedefine/>
    <w:qFormat/>
    <w:uiPriority w:val="0"/>
    <w:pPr>
      <w:jc w:val="center"/>
      <w:outlineLvl w:val="8"/>
    </w:pPr>
    <w:rPr>
      <w:rFonts w:eastAsia="仿宋_GB2312"/>
      <w:szCs w:val="21"/>
    </w:rPr>
  </w:style>
  <w:style w:type="paragraph" w:customStyle="1" w:styleId="3103">
    <w:name w:val="jcss"/>
    <w:basedOn w:val="1"/>
    <w:autoRedefine/>
    <w:qFormat/>
    <w:uiPriority w:val="0"/>
    <w:pPr>
      <w:widowControl/>
      <w:spacing w:before="100" w:beforeAutospacing="1" w:after="100" w:afterAutospacing="1" w:line="375" w:lineRule="atLeast"/>
      <w:jc w:val="left"/>
    </w:pPr>
    <w:rPr>
      <w:rFonts w:eastAsia="仿宋_GB2312" w:cs="宋体"/>
      <w:color w:val="000000"/>
      <w:kern w:val="0"/>
      <w:sz w:val="18"/>
      <w:szCs w:val="18"/>
    </w:rPr>
  </w:style>
  <w:style w:type="paragraph" w:customStyle="1" w:styleId="3104">
    <w:name w:val="样式 小四 行距: 1.5 倍行距"/>
    <w:basedOn w:val="1"/>
    <w:autoRedefine/>
    <w:qFormat/>
    <w:uiPriority w:val="0"/>
    <w:pPr>
      <w:spacing w:line="360" w:lineRule="auto"/>
      <w:ind w:firstLine="200" w:firstLineChars="200"/>
    </w:pPr>
    <w:rPr>
      <w:rFonts w:eastAsia="仿宋_GB2312" w:cs="宋体"/>
      <w:kern w:val="0"/>
      <w:szCs w:val="20"/>
    </w:rPr>
  </w:style>
  <w:style w:type="paragraph" w:customStyle="1" w:styleId="3105">
    <w:name w:val="样式 标题 3 + 黑色 行距: 最小值 25 磅"/>
    <w:basedOn w:val="5"/>
    <w:autoRedefine/>
    <w:qFormat/>
    <w:uiPriority w:val="0"/>
    <w:pPr>
      <w:keepLines w:val="0"/>
      <w:tabs>
        <w:tab w:val="left" w:pos="7088"/>
      </w:tabs>
      <w:adjustRightInd w:val="0"/>
      <w:spacing w:beforeLines="50" w:after="0" w:line="500" w:lineRule="atLeast"/>
      <w:jc w:val="left"/>
    </w:pPr>
    <w:rPr>
      <w:rFonts w:ascii="Times New Roman" w:hAnsi="Times New Roman" w:eastAsia="仿宋_GB2312" w:cs="Times New Roman"/>
      <w:b w:val="0"/>
      <w:bCs w:val="0"/>
      <w:color w:val="000000"/>
      <w:sz w:val="30"/>
      <w:szCs w:val="30"/>
      <w:lang w:val="zh-CN"/>
    </w:rPr>
  </w:style>
  <w:style w:type="paragraph" w:customStyle="1" w:styleId="3106">
    <w:name w:val="a9"/>
    <w:basedOn w:val="1"/>
    <w:autoRedefine/>
    <w:qFormat/>
    <w:uiPriority w:val="0"/>
    <w:pPr>
      <w:widowControl/>
      <w:spacing w:before="100" w:beforeAutospacing="1" w:after="100" w:afterAutospacing="1"/>
      <w:jc w:val="left"/>
    </w:pPr>
    <w:rPr>
      <w:rFonts w:eastAsia="仿宋_GB2312"/>
      <w:kern w:val="0"/>
      <w:sz w:val="18"/>
      <w:szCs w:val="18"/>
    </w:rPr>
  </w:style>
  <w:style w:type="paragraph" w:customStyle="1" w:styleId="3107">
    <w:name w:val="样式 标题 3 + 左侧:  0 毫米 首行缩进:  0 毫米 行距: 最小值 25 磅"/>
    <w:basedOn w:val="5"/>
    <w:autoRedefine/>
    <w:qFormat/>
    <w:uiPriority w:val="0"/>
    <w:pPr>
      <w:keepLines w:val="0"/>
      <w:tabs>
        <w:tab w:val="left" w:pos="7088"/>
      </w:tabs>
      <w:adjustRightInd w:val="0"/>
      <w:spacing w:beforeLines="50" w:after="0" w:line="500" w:lineRule="atLeast"/>
    </w:pPr>
    <w:rPr>
      <w:rFonts w:ascii="Times New Roman" w:hAnsi="Times New Roman" w:eastAsia="仿宋_GB2312" w:cs="宋体"/>
      <w:b w:val="0"/>
      <w:bCs w:val="0"/>
      <w:kern w:val="0"/>
      <w:sz w:val="30"/>
      <w:szCs w:val="20"/>
      <w:lang w:val="zh-CN"/>
    </w:rPr>
  </w:style>
  <w:style w:type="paragraph" w:customStyle="1" w:styleId="3108">
    <w:name w:val="样式 标题 4 + 行距: 最小值 25 磅"/>
    <w:basedOn w:val="6"/>
    <w:autoRedefine/>
    <w:qFormat/>
    <w:uiPriority w:val="0"/>
    <w:pPr>
      <w:keepNext w:val="0"/>
      <w:keepLines w:val="0"/>
      <w:tabs>
        <w:tab w:val="clear" w:pos="2976"/>
      </w:tabs>
      <w:adjustRightInd w:val="0"/>
      <w:snapToGrid w:val="0"/>
      <w:spacing w:before="0" w:after="0" w:line="500" w:lineRule="atLeast"/>
      <w:ind w:left="0"/>
    </w:pPr>
    <w:rPr>
      <w:rFonts w:ascii="Times New Roman" w:hAnsi="Times New Roman" w:eastAsia="仿宋_GB2312" w:cs="宋体"/>
      <w:b w:val="0"/>
      <w:snapToGrid w:val="0"/>
      <w:color w:val="000000"/>
      <w:kern w:val="0"/>
      <w:szCs w:val="20"/>
      <w:lang w:val="zh-CN"/>
    </w:rPr>
  </w:style>
  <w:style w:type="paragraph" w:customStyle="1" w:styleId="3109">
    <w:name w:val="主要负责人"/>
    <w:basedOn w:val="1"/>
    <w:next w:val="1"/>
    <w:autoRedefine/>
    <w:qFormat/>
    <w:uiPriority w:val="0"/>
    <w:pPr>
      <w:spacing w:line="500" w:lineRule="atLeast"/>
      <w:jc w:val="center"/>
    </w:pPr>
    <w:rPr>
      <w:rFonts w:eastAsia="仿宋_GB2312"/>
      <w:sz w:val="36"/>
      <w:szCs w:val="36"/>
    </w:rPr>
  </w:style>
  <w:style w:type="paragraph" w:customStyle="1" w:styleId="3110">
    <w:name w:val="InstÀÀll3"/>
    <w:autoRedefine/>
    <w:qFormat/>
    <w:uiPriority w:val="0"/>
    <w:pPr>
      <w:tabs>
        <w:tab w:val="left" w:pos="-720"/>
      </w:tabs>
      <w:suppressAutoHyphens/>
      <w:jc w:val="both"/>
    </w:pPr>
    <w:rPr>
      <w:rFonts w:ascii="Courier" w:hAnsi="Courier" w:eastAsia="仿宋_GB2312" w:cs="宋体"/>
      <w:spacing w:val="-3"/>
      <w:sz w:val="24"/>
      <w:szCs w:val="21"/>
      <w:lang w:val="en-US" w:eastAsia="sv-SE" w:bidi="ar-SA"/>
    </w:rPr>
  </w:style>
  <w:style w:type="paragraph" w:customStyle="1" w:styleId="3111">
    <w:name w:val="Char Char Char Char Char Char Char Char Char1 Char"/>
    <w:basedOn w:val="1"/>
    <w:autoRedefine/>
    <w:qFormat/>
    <w:uiPriority w:val="0"/>
    <w:rPr>
      <w:rFonts w:eastAsia="仿宋_GB2312"/>
      <w:sz w:val="28"/>
      <w:szCs w:val="21"/>
    </w:rPr>
  </w:style>
  <w:style w:type="paragraph" w:customStyle="1" w:styleId="3112">
    <w:name w:val="样式 五号 黑色 居中 段前: 4 磅 段后: 4 磅"/>
    <w:basedOn w:val="1"/>
    <w:autoRedefine/>
    <w:qFormat/>
    <w:uiPriority w:val="0"/>
    <w:pPr>
      <w:adjustRightInd w:val="0"/>
      <w:snapToGrid w:val="0"/>
      <w:spacing w:before="80" w:after="80"/>
      <w:jc w:val="center"/>
    </w:pPr>
    <w:rPr>
      <w:rFonts w:eastAsia="仿宋_GB2312"/>
      <w:kern w:val="0"/>
      <w:sz w:val="28"/>
      <w:szCs w:val="21"/>
    </w:rPr>
  </w:style>
  <w:style w:type="paragraph" w:customStyle="1" w:styleId="3113">
    <w:name w:val="Char Char Char Char Char Char1 Char3"/>
    <w:basedOn w:val="1"/>
    <w:autoRedefine/>
    <w:qFormat/>
    <w:uiPriority w:val="0"/>
    <w:pPr>
      <w:widowControl/>
      <w:spacing w:after="160" w:line="240" w:lineRule="exact"/>
      <w:jc w:val="left"/>
    </w:pPr>
    <w:rPr>
      <w:rFonts w:ascii="Arial" w:hAnsi="Arial" w:eastAsia="Times New Roman" w:cs="Verdana"/>
      <w:b/>
      <w:kern w:val="0"/>
      <w:sz w:val="28"/>
      <w:szCs w:val="20"/>
      <w:lang w:eastAsia="en-US"/>
    </w:rPr>
  </w:style>
  <w:style w:type="paragraph" w:customStyle="1" w:styleId="3114">
    <w:name w:val="四号 正文"/>
    <w:basedOn w:val="1"/>
    <w:autoRedefine/>
    <w:qFormat/>
    <w:uiPriority w:val="0"/>
    <w:pPr>
      <w:ind w:firstLine="200" w:firstLineChars="200"/>
    </w:pPr>
    <w:rPr>
      <w:rFonts w:eastAsia="仿宋_GB2312"/>
      <w:spacing w:val="6"/>
      <w:sz w:val="28"/>
      <w:szCs w:val="20"/>
    </w:rPr>
  </w:style>
  <w:style w:type="paragraph" w:customStyle="1" w:styleId="3115">
    <w:name w:val="样式 样式 样式 样式 样式 样式 样式 首行缩进:  2 字符 + 首行缩进:  2 字符2 + 仿宋_GB2312 + 首行..."/>
    <w:basedOn w:val="1"/>
    <w:autoRedefine/>
    <w:qFormat/>
    <w:uiPriority w:val="0"/>
    <w:pPr>
      <w:spacing w:line="480" w:lineRule="exact"/>
      <w:ind w:firstLine="200" w:firstLineChars="200"/>
    </w:pPr>
    <w:rPr>
      <w:rFonts w:eastAsia="楷体_GB2312"/>
      <w:spacing w:val="12"/>
      <w:kern w:val="0"/>
      <w:sz w:val="28"/>
      <w:szCs w:val="28"/>
    </w:rPr>
  </w:style>
  <w:style w:type="paragraph" w:customStyle="1" w:styleId="3116">
    <w:name w:val="小标题2"/>
    <w:basedOn w:val="1"/>
    <w:autoRedefine/>
    <w:qFormat/>
    <w:uiPriority w:val="0"/>
    <w:pPr>
      <w:tabs>
        <w:tab w:val="left" w:pos="5400"/>
      </w:tabs>
      <w:overflowPunct w:val="0"/>
      <w:spacing w:line="336" w:lineRule="auto"/>
      <w:ind w:firstLine="200" w:firstLineChars="200"/>
    </w:pPr>
    <w:rPr>
      <w:rFonts w:eastAsia="仿宋_GB2312"/>
      <w:szCs w:val="21"/>
    </w:rPr>
  </w:style>
  <w:style w:type="paragraph" w:customStyle="1" w:styleId="3117">
    <w:name w:val="样式 首行缩进:  2 字符14"/>
    <w:basedOn w:val="1"/>
    <w:autoRedefine/>
    <w:qFormat/>
    <w:uiPriority w:val="0"/>
    <w:pPr>
      <w:spacing w:line="520" w:lineRule="exact"/>
      <w:ind w:firstLine="200" w:firstLineChars="200"/>
    </w:pPr>
    <w:rPr>
      <w:rFonts w:eastAsia="仿宋_GB2312" w:cs="宋体"/>
      <w:szCs w:val="20"/>
    </w:rPr>
  </w:style>
  <w:style w:type="paragraph" w:customStyle="1" w:styleId="3118">
    <w:name w:val="CM78"/>
    <w:basedOn w:val="1"/>
    <w:next w:val="1"/>
    <w:autoRedefine/>
    <w:qFormat/>
    <w:uiPriority w:val="0"/>
    <w:pPr>
      <w:autoSpaceDE w:val="0"/>
      <w:autoSpaceDN w:val="0"/>
      <w:adjustRightInd w:val="0"/>
      <w:spacing w:after="193"/>
      <w:jc w:val="left"/>
    </w:pPr>
    <w:rPr>
      <w:rFonts w:eastAsia="仿宋_GB2312"/>
      <w:kern w:val="0"/>
      <w:szCs w:val="21"/>
    </w:rPr>
  </w:style>
  <w:style w:type="paragraph" w:customStyle="1" w:styleId="3119">
    <w:name w:val="Char43"/>
    <w:basedOn w:val="1"/>
    <w:autoRedefine/>
    <w:qFormat/>
    <w:uiPriority w:val="0"/>
    <w:rPr>
      <w:rFonts w:eastAsia="仿宋_GB2312"/>
      <w:sz w:val="28"/>
      <w:szCs w:val="21"/>
    </w:rPr>
  </w:style>
  <w:style w:type="paragraph" w:customStyle="1" w:styleId="3120">
    <w:name w:val="Char Char1 Char1"/>
    <w:basedOn w:val="1"/>
    <w:autoRedefine/>
    <w:qFormat/>
    <w:uiPriority w:val="0"/>
    <w:rPr>
      <w:rFonts w:eastAsia="仿宋_GB2312"/>
      <w:sz w:val="28"/>
      <w:szCs w:val="21"/>
    </w:rPr>
  </w:style>
  <w:style w:type="paragraph" w:customStyle="1" w:styleId="3121">
    <w:name w:val="2 Char Char Char"/>
    <w:basedOn w:val="1"/>
    <w:autoRedefine/>
    <w:qFormat/>
    <w:uiPriority w:val="0"/>
    <w:rPr>
      <w:rFonts w:eastAsia="仿宋_GB2312"/>
      <w:sz w:val="28"/>
      <w:szCs w:val="21"/>
    </w:rPr>
  </w:style>
  <w:style w:type="paragraph" w:customStyle="1" w:styleId="3122">
    <w:name w:val="Char Char Char Char Char2"/>
    <w:basedOn w:val="1"/>
    <w:autoRedefine/>
    <w:qFormat/>
    <w:uiPriority w:val="0"/>
    <w:rPr>
      <w:rFonts w:eastAsia="仿宋_GB2312"/>
      <w:sz w:val="28"/>
      <w:szCs w:val="21"/>
    </w:rPr>
  </w:style>
  <w:style w:type="paragraph" w:customStyle="1" w:styleId="3123">
    <w:name w:val="Char Char Char Char Char Char Char Char Char Char Char"/>
    <w:basedOn w:val="1"/>
    <w:autoRedefine/>
    <w:qFormat/>
    <w:uiPriority w:val="0"/>
    <w:rPr>
      <w:rFonts w:eastAsia="仿宋_GB2312"/>
      <w:sz w:val="28"/>
      <w:szCs w:val="21"/>
    </w:rPr>
  </w:style>
  <w:style w:type="paragraph" w:customStyle="1" w:styleId="3124">
    <w:name w:val="123"/>
    <w:basedOn w:val="1"/>
    <w:autoRedefine/>
    <w:qFormat/>
    <w:uiPriority w:val="0"/>
    <w:pPr>
      <w:spacing w:line="360" w:lineRule="auto"/>
      <w:ind w:firstLine="454"/>
    </w:pPr>
    <w:rPr>
      <w:rFonts w:eastAsia="仿宋_GB2312"/>
      <w:szCs w:val="20"/>
    </w:rPr>
  </w:style>
  <w:style w:type="paragraph" w:customStyle="1" w:styleId="3125">
    <w:name w:val="A."/>
    <w:basedOn w:val="1"/>
    <w:autoRedefine/>
    <w:qFormat/>
    <w:uiPriority w:val="0"/>
    <w:pPr>
      <w:widowControl/>
      <w:tabs>
        <w:tab w:val="left" w:pos="1008"/>
      </w:tabs>
      <w:spacing w:line="264" w:lineRule="auto"/>
      <w:ind w:left="1008" w:hanging="1008"/>
      <w:jc w:val="left"/>
    </w:pPr>
    <w:rPr>
      <w:rFonts w:eastAsia="仿宋_GB2312" w:cs="宋体"/>
      <w:szCs w:val="21"/>
    </w:rPr>
  </w:style>
  <w:style w:type="paragraph" w:customStyle="1" w:styleId="3126">
    <w:name w:val="正文001"/>
    <w:basedOn w:val="1"/>
    <w:autoRedefine/>
    <w:qFormat/>
    <w:uiPriority w:val="0"/>
    <w:pPr>
      <w:spacing w:line="440" w:lineRule="atLeast"/>
      <w:ind w:firstLine="200" w:firstLineChars="200"/>
    </w:pPr>
    <w:rPr>
      <w:rFonts w:eastAsia="仿宋_GB2312"/>
      <w:szCs w:val="20"/>
    </w:rPr>
  </w:style>
  <w:style w:type="paragraph" w:customStyle="1" w:styleId="3127">
    <w:name w:val="标题002"/>
    <w:basedOn w:val="1"/>
    <w:autoRedefine/>
    <w:qFormat/>
    <w:uiPriority w:val="0"/>
    <w:pPr>
      <w:spacing w:before="160" w:line="480" w:lineRule="exact"/>
      <w:outlineLvl w:val="1"/>
    </w:pPr>
    <w:rPr>
      <w:rFonts w:eastAsia="仿宋_GB2312"/>
      <w:b/>
      <w:sz w:val="28"/>
      <w:szCs w:val="21"/>
    </w:rPr>
  </w:style>
  <w:style w:type="paragraph" w:customStyle="1" w:styleId="3128">
    <w:name w:val="标题003"/>
    <w:basedOn w:val="1"/>
    <w:autoRedefine/>
    <w:qFormat/>
    <w:uiPriority w:val="0"/>
    <w:pPr>
      <w:adjustRightInd w:val="0"/>
      <w:spacing w:before="120" w:line="440" w:lineRule="exact"/>
      <w:textAlignment w:val="baseline"/>
      <w:outlineLvl w:val="2"/>
    </w:pPr>
    <w:rPr>
      <w:rFonts w:eastAsia="仿宋_GB2312"/>
      <w:b/>
      <w:sz w:val="27"/>
      <w:szCs w:val="20"/>
    </w:rPr>
  </w:style>
  <w:style w:type="paragraph" w:customStyle="1" w:styleId="3129">
    <w:name w:val="样式 表内样式 + (符号) 宋体"/>
    <w:basedOn w:val="1"/>
    <w:autoRedefine/>
    <w:qFormat/>
    <w:uiPriority w:val="0"/>
    <w:pPr>
      <w:keepLines/>
      <w:kinsoku w:val="0"/>
      <w:overflowPunct w:val="0"/>
      <w:adjustRightInd w:val="0"/>
      <w:spacing w:line="300" w:lineRule="exact"/>
      <w:jc w:val="center"/>
    </w:pPr>
    <w:rPr>
      <w:rFonts w:eastAsia="仿宋_GB2312"/>
      <w:kern w:val="0"/>
      <w:sz w:val="18"/>
      <w:szCs w:val="18"/>
    </w:rPr>
  </w:style>
  <w:style w:type="paragraph" w:customStyle="1" w:styleId="3130">
    <w:name w:val="ff5"/>
    <w:basedOn w:val="1"/>
    <w:autoRedefine/>
    <w:qFormat/>
    <w:uiPriority w:val="0"/>
    <w:pPr>
      <w:spacing w:line="540" w:lineRule="exact"/>
      <w:ind w:firstLine="200" w:firstLineChars="200"/>
    </w:pPr>
    <w:rPr>
      <w:rFonts w:eastAsia="仿宋_GB2312"/>
      <w:bCs/>
      <w:color w:val="0000FF"/>
      <w:sz w:val="28"/>
      <w:szCs w:val="28"/>
    </w:rPr>
  </w:style>
  <w:style w:type="paragraph" w:customStyle="1" w:styleId="3131">
    <w:name w:val="样式 版式1-正文 + (西文) 宋体 (中文) 宋体 小四 首行缩进:  2 字符 行距: 固定值 20 磅"/>
    <w:basedOn w:val="1"/>
    <w:autoRedefine/>
    <w:qFormat/>
    <w:uiPriority w:val="0"/>
    <w:pPr>
      <w:spacing w:line="400" w:lineRule="exact"/>
      <w:ind w:firstLine="200" w:firstLineChars="200"/>
    </w:pPr>
    <w:rPr>
      <w:rFonts w:eastAsia="仿宋_GB2312" w:cs="宋体"/>
      <w:szCs w:val="20"/>
    </w:rPr>
  </w:style>
  <w:style w:type="paragraph" w:customStyle="1" w:styleId="3132">
    <w:name w:val=".."/>
    <w:basedOn w:val="112"/>
    <w:next w:val="112"/>
    <w:autoRedefine/>
    <w:qFormat/>
    <w:uiPriority w:val="0"/>
    <w:rPr>
      <w:rFonts w:ascii="宋体" w:cs="宋体"/>
      <w:color w:val="auto"/>
    </w:rPr>
  </w:style>
  <w:style w:type="paragraph" w:customStyle="1" w:styleId="3133">
    <w:name w:val=".. 3"/>
    <w:basedOn w:val="112"/>
    <w:next w:val="112"/>
    <w:autoRedefine/>
    <w:qFormat/>
    <w:uiPriority w:val="0"/>
    <w:pPr>
      <w:spacing w:before="260" w:after="260"/>
    </w:pPr>
    <w:rPr>
      <w:rFonts w:ascii="宋体" w:cs="宋体"/>
      <w:color w:val="auto"/>
    </w:rPr>
  </w:style>
  <w:style w:type="paragraph" w:customStyle="1" w:styleId="3134">
    <w:name w:val="样式 标题 3 + (西文) Times New Roman (中文) 宋体 小三"/>
    <w:basedOn w:val="4"/>
    <w:autoRedefine/>
    <w:qFormat/>
    <w:uiPriority w:val="0"/>
    <w:pPr>
      <w:keepNext w:val="0"/>
      <w:keepLines w:val="0"/>
      <w:tabs>
        <w:tab w:val="left" w:pos="720"/>
        <w:tab w:val="clear" w:pos="1276"/>
      </w:tabs>
      <w:snapToGrid w:val="0"/>
      <w:spacing w:before="0" w:beforeLines="50" w:beforeAutospacing="1" w:after="0" w:afterLines="50" w:afterAutospacing="1" w:line="312" w:lineRule="auto"/>
      <w:ind w:left="397" w:hanging="397"/>
      <w:contextualSpacing/>
      <w:jc w:val="both"/>
      <w:textAlignment w:val="auto"/>
    </w:pPr>
    <w:rPr>
      <w:rFonts w:ascii="Times New Roman" w:hAnsi="Times New Roman" w:eastAsia="仿宋_GB2312"/>
      <w:sz w:val="30"/>
      <w:szCs w:val="24"/>
      <w:lang w:val="zh-CN"/>
    </w:rPr>
  </w:style>
  <w:style w:type="paragraph" w:customStyle="1" w:styleId="3135">
    <w:name w:val="样式 表格正文 + 段前: 20 磅"/>
    <w:basedOn w:val="1"/>
    <w:autoRedefine/>
    <w:qFormat/>
    <w:uiPriority w:val="0"/>
    <w:pPr>
      <w:spacing w:line="360" w:lineRule="exact"/>
      <w:jc w:val="center"/>
    </w:pPr>
    <w:rPr>
      <w:rFonts w:eastAsia="仿宋_GB2312"/>
      <w:sz w:val="28"/>
      <w:szCs w:val="21"/>
    </w:rPr>
  </w:style>
  <w:style w:type="paragraph" w:customStyle="1" w:styleId="3136">
    <w:name w:val="Char1 Char Char Char Char Char Char Char Char Char Char Char Char Char Char Char"/>
    <w:basedOn w:val="1"/>
    <w:autoRedefine/>
    <w:qFormat/>
    <w:uiPriority w:val="0"/>
    <w:pPr>
      <w:spacing w:line="180" w:lineRule="auto"/>
      <w:ind w:firstLine="200" w:firstLineChars="200"/>
      <w:jc w:val="left"/>
    </w:pPr>
    <w:rPr>
      <w:rFonts w:eastAsia="仿宋_GB2312"/>
      <w:szCs w:val="21"/>
    </w:rPr>
  </w:style>
  <w:style w:type="paragraph" w:customStyle="1" w:styleId="3137">
    <w:name w:val="3级标题"/>
    <w:basedOn w:val="1"/>
    <w:autoRedefine/>
    <w:qFormat/>
    <w:uiPriority w:val="0"/>
    <w:pPr>
      <w:spacing w:before="300" w:line="460" w:lineRule="exact"/>
      <w:outlineLvl w:val="2"/>
    </w:pPr>
    <w:rPr>
      <w:rFonts w:eastAsia="仿宋_GB2312"/>
      <w:b/>
      <w:szCs w:val="21"/>
    </w:rPr>
  </w:style>
  <w:style w:type="paragraph" w:customStyle="1" w:styleId="3138">
    <w:name w:val="InstÀÀll5"/>
    <w:autoRedefine/>
    <w:qFormat/>
    <w:uiPriority w:val="0"/>
    <w:pPr>
      <w:tabs>
        <w:tab w:val="left" w:pos="-720"/>
      </w:tabs>
      <w:suppressAutoHyphens/>
      <w:jc w:val="both"/>
    </w:pPr>
    <w:rPr>
      <w:rFonts w:ascii="Courier" w:hAnsi="Courier" w:eastAsia="仿宋_GB2312" w:cs="宋体"/>
      <w:spacing w:val="-3"/>
      <w:sz w:val="24"/>
      <w:szCs w:val="21"/>
      <w:lang w:val="en-US" w:eastAsia="sv-SE" w:bidi="ar-SA"/>
    </w:rPr>
  </w:style>
  <w:style w:type="paragraph" w:customStyle="1" w:styleId="3139">
    <w:name w:val="正文文本缩进5"/>
    <w:basedOn w:val="1"/>
    <w:autoRedefine/>
    <w:qFormat/>
    <w:uiPriority w:val="0"/>
    <w:pPr>
      <w:spacing w:after="120" w:line="360" w:lineRule="auto"/>
      <w:ind w:left="200" w:leftChars="200" w:firstLine="200" w:firstLineChars="200"/>
    </w:pPr>
    <w:rPr>
      <w:rFonts w:eastAsia="仿宋_GB2312"/>
      <w:szCs w:val="21"/>
    </w:rPr>
  </w:style>
  <w:style w:type="paragraph" w:customStyle="1" w:styleId="3140">
    <w:name w:val="Char Char2 Char Char Char Char Char Char4"/>
    <w:basedOn w:val="1"/>
    <w:autoRedefine/>
    <w:qFormat/>
    <w:uiPriority w:val="0"/>
    <w:pPr>
      <w:spacing w:line="480" w:lineRule="exact"/>
    </w:pPr>
    <w:rPr>
      <w:rFonts w:eastAsia="仿宋_GB2312"/>
      <w:sz w:val="22"/>
      <w:szCs w:val="21"/>
    </w:rPr>
  </w:style>
  <w:style w:type="paragraph" w:customStyle="1" w:styleId="3141">
    <w:name w:val="Char Char Char Char Char Char Char Char Char1 Char Char Char Char Char Char1"/>
    <w:basedOn w:val="1"/>
    <w:autoRedefine/>
    <w:qFormat/>
    <w:uiPriority w:val="0"/>
    <w:rPr>
      <w:rFonts w:eastAsia="仿宋_GB2312"/>
      <w:sz w:val="28"/>
      <w:szCs w:val="21"/>
    </w:rPr>
  </w:style>
  <w:style w:type="paragraph" w:customStyle="1" w:styleId="3142">
    <w:name w:val="Char Char Char Char Char Char Char Char Char11"/>
    <w:basedOn w:val="1"/>
    <w:autoRedefine/>
    <w:qFormat/>
    <w:uiPriority w:val="0"/>
    <w:rPr>
      <w:rFonts w:eastAsia="仿宋_GB2312"/>
      <w:sz w:val="28"/>
      <w:szCs w:val="21"/>
    </w:rPr>
  </w:style>
  <w:style w:type="paragraph" w:customStyle="1" w:styleId="3143">
    <w:name w:val="Char Char Char Char Char Char Char Char Char1 Char Char Char Char Char Char Char Char1"/>
    <w:basedOn w:val="1"/>
    <w:autoRedefine/>
    <w:qFormat/>
    <w:uiPriority w:val="0"/>
    <w:pPr>
      <w:snapToGrid w:val="0"/>
      <w:spacing w:line="360" w:lineRule="auto"/>
      <w:ind w:firstLine="200" w:firstLineChars="200"/>
    </w:pPr>
    <w:rPr>
      <w:rFonts w:eastAsia="仿宋_GB2312"/>
      <w:szCs w:val="21"/>
    </w:rPr>
  </w:style>
  <w:style w:type="paragraph" w:customStyle="1" w:styleId="3144">
    <w:name w:val="Char3 Char Char Char Char Char Char Char Char Char1"/>
    <w:basedOn w:val="1"/>
    <w:autoRedefine/>
    <w:qFormat/>
    <w:uiPriority w:val="0"/>
    <w:rPr>
      <w:rFonts w:eastAsia="仿宋_GB2312"/>
      <w:sz w:val="28"/>
      <w:szCs w:val="21"/>
    </w:rPr>
  </w:style>
  <w:style w:type="paragraph" w:customStyle="1" w:styleId="3145">
    <w:name w:val="Char Char Char Char Char Char Char Char Char1 Char Char Char1"/>
    <w:basedOn w:val="1"/>
    <w:autoRedefine/>
    <w:qFormat/>
    <w:uiPriority w:val="0"/>
    <w:rPr>
      <w:rFonts w:eastAsia="仿宋_GB2312"/>
      <w:sz w:val="28"/>
      <w:szCs w:val="21"/>
    </w:rPr>
  </w:style>
  <w:style w:type="paragraph" w:customStyle="1" w:styleId="3146">
    <w:name w:val="Char Char Char Char Char Char Char Char Char Char Char Char Char Char Char Char Char Char Char Char Char Char Char Char Char Char Char Char Char Char Char Char Char Char Char Char Char Char Char Char Char Char3"/>
    <w:basedOn w:val="1"/>
    <w:autoRedefine/>
    <w:qFormat/>
    <w:uiPriority w:val="0"/>
    <w:rPr>
      <w:rFonts w:eastAsia="仿宋_GB2312"/>
      <w:sz w:val="28"/>
      <w:szCs w:val="21"/>
    </w:rPr>
  </w:style>
  <w:style w:type="paragraph" w:customStyle="1" w:styleId="3147">
    <w:name w:val="Char Char Char Char Char Char Char Char Char1 Char Char Char Char Char Char Char1"/>
    <w:basedOn w:val="1"/>
    <w:autoRedefine/>
    <w:qFormat/>
    <w:uiPriority w:val="0"/>
    <w:rPr>
      <w:rFonts w:eastAsia="仿宋_GB2312"/>
      <w:sz w:val="28"/>
      <w:szCs w:val="21"/>
    </w:rPr>
  </w:style>
  <w:style w:type="paragraph" w:customStyle="1" w:styleId="3148">
    <w:name w:val="样式 正文首行缩进 2 + Times New Roman + 首行缩进:  2 字符1"/>
    <w:basedOn w:val="1"/>
    <w:autoRedefine/>
    <w:qFormat/>
    <w:uiPriority w:val="0"/>
    <w:pPr>
      <w:widowControl/>
      <w:adjustRightInd w:val="0"/>
      <w:snapToGrid w:val="0"/>
      <w:spacing w:line="360" w:lineRule="exact"/>
      <w:jc w:val="center"/>
    </w:pPr>
    <w:rPr>
      <w:rFonts w:eastAsia="PMingLiU"/>
      <w:kern w:val="21"/>
      <w:sz w:val="18"/>
      <w:szCs w:val="20"/>
      <w:lang w:eastAsia="zh-TW"/>
    </w:rPr>
  </w:style>
  <w:style w:type="paragraph" w:customStyle="1" w:styleId="3149">
    <w:name w:val="标题 2+ 行距: 固定值 24 磅 Char"/>
    <w:basedOn w:val="4"/>
    <w:autoRedefine/>
    <w:qFormat/>
    <w:uiPriority w:val="0"/>
    <w:pPr>
      <w:keepNext w:val="0"/>
      <w:keepLines w:val="0"/>
      <w:tabs>
        <w:tab w:val="clear" w:pos="1276"/>
      </w:tabs>
      <w:adjustRightInd/>
      <w:spacing w:before="260" w:after="260" w:line="480" w:lineRule="exact"/>
      <w:ind w:left="0"/>
      <w:contextualSpacing/>
      <w:jc w:val="both"/>
      <w:textAlignment w:val="auto"/>
    </w:pPr>
    <w:rPr>
      <w:bCs/>
      <w:sz w:val="32"/>
      <w:szCs w:val="32"/>
      <w:lang w:val="zh-CN"/>
    </w:rPr>
  </w:style>
  <w:style w:type="paragraph" w:customStyle="1" w:styleId="3150">
    <w:name w:val="单学凯段落格式"/>
    <w:basedOn w:val="1"/>
    <w:autoRedefine/>
    <w:qFormat/>
    <w:uiPriority w:val="0"/>
    <w:pPr>
      <w:adjustRightInd w:val="0"/>
      <w:snapToGrid w:val="0"/>
      <w:spacing w:line="460" w:lineRule="exact"/>
      <w:ind w:firstLine="171" w:firstLineChars="171"/>
    </w:pPr>
    <w:rPr>
      <w:rFonts w:eastAsia="仿宋_GB2312"/>
      <w:bCs/>
      <w:snapToGrid w:val="0"/>
      <w:color w:val="000000"/>
      <w:kern w:val="0"/>
      <w:sz w:val="28"/>
      <w:szCs w:val="28"/>
      <w:lang w:val="zh-CN"/>
    </w:rPr>
  </w:style>
  <w:style w:type="paragraph" w:customStyle="1" w:styleId="3151">
    <w:name w:val="单学凯环表头"/>
    <w:basedOn w:val="1"/>
    <w:autoRedefine/>
    <w:qFormat/>
    <w:uiPriority w:val="0"/>
    <w:pPr>
      <w:widowControl/>
      <w:tabs>
        <w:tab w:val="left" w:pos="-1008"/>
        <w:tab w:val="left" w:pos="4873"/>
      </w:tabs>
      <w:adjustRightInd w:val="0"/>
      <w:spacing w:before="120" w:after="120"/>
      <w:jc w:val="center"/>
      <w:textAlignment w:val="baseline"/>
    </w:pPr>
    <w:rPr>
      <w:rFonts w:eastAsia="仿宋_GB2312"/>
      <w:b/>
      <w:bCs/>
      <w:color w:val="000000"/>
      <w:kern w:val="0"/>
      <w:szCs w:val="21"/>
    </w:rPr>
  </w:style>
  <w:style w:type="paragraph" w:customStyle="1" w:styleId="3152">
    <w:name w:val="默认段落字体 Para Char Char Char Char Char Char Char Char Char Char Char"/>
    <w:basedOn w:val="5"/>
    <w:autoRedefine/>
    <w:qFormat/>
    <w:uiPriority w:val="0"/>
    <w:pPr>
      <w:keepNext w:val="0"/>
      <w:keepLines w:val="0"/>
      <w:tabs>
        <w:tab w:val="left" w:pos="360"/>
        <w:tab w:val="left" w:pos="900"/>
        <w:tab w:val="left" w:pos="7088"/>
      </w:tabs>
      <w:adjustRightInd w:val="0"/>
      <w:snapToGrid w:val="0"/>
      <w:spacing w:beforeLines="50" w:after="0" w:line="360" w:lineRule="auto"/>
      <w:ind w:left="-12" w:leftChars="-12" w:firstLine="200" w:firstLineChars="200"/>
    </w:pPr>
    <w:rPr>
      <w:rFonts w:ascii="楷体_GB2312" w:hAnsi="楷体_GB2312" w:eastAsia="黑体" w:cs="Times New Roman"/>
      <w:b w:val="0"/>
      <w:bCs w:val="0"/>
      <w:snapToGrid w:val="0"/>
      <w:sz w:val="24"/>
      <w:szCs w:val="30"/>
      <w:lang w:val="zh-CN"/>
    </w:rPr>
  </w:style>
  <w:style w:type="paragraph" w:customStyle="1" w:styleId="3153">
    <w:name w:val="单学凯表格新"/>
    <w:basedOn w:val="1"/>
    <w:autoRedefine/>
    <w:qFormat/>
    <w:uiPriority w:val="0"/>
    <w:pPr>
      <w:tabs>
        <w:tab w:val="left" w:pos="360"/>
      </w:tabs>
      <w:adjustRightInd w:val="0"/>
      <w:snapToGrid w:val="0"/>
      <w:jc w:val="center"/>
      <w:outlineLvl w:val="2"/>
    </w:pPr>
    <w:rPr>
      <w:rFonts w:eastAsia="仿宋_GB2312"/>
      <w:kern w:val="0"/>
      <w:sz w:val="28"/>
      <w:szCs w:val="21"/>
    </w:rPr>
  </w:style>
  <w:style w:type="paragraph" w:customStyle="1" w:styleId="3154">
    <w:name w:val="st_divcss"/>
    <w:basedOn w:val="1"/>
    <w:autoRedefine/>
    <w:qFormat/>
    <w:uiPriority w:val="0"/>
    <w:pPr>
      <w:widowControl/>
      <w:jc w:val="left"/>
    </w:pPr>
    <w:rPr>
      <w:rFonts w:eastAsia="仿宋_GB2312" w:cs="宋体"/>
      <w:kern w:val="0"/>
      <w:szCs w:val="21"/>
    </w:rPr>
  </w:style>
  <w:style w:type="paragraph" w:customStyle="1" w:styleId="3155">
    <w:name w:val="单学凯小节标题"/>
    <w:basedOn w:val="1"/>
    <w:autoRedefine/>
    <w:qFormat/>
    <w:uiPriority w:val="0"/>
    <w:pPr>
      <w:widowControl/>
      <w:tabs>
        <w:tab w:val="left" w:pos="5094"/>
      </w:tabs>
      <w:adjustRightInd w:val="0"/>
      <w:spacing w:beforeLines="50" w:afterLines="50" w:line="500" w:lineRule="exact"/>
      <w:ind w:firstLine="200" w:firstLineChars="200"/>
      <w:textAlignment w:val="baseline"/>
    </w:pPr>
    <w:rPr>
      <w:rFonts w:eastAsia="仿宋_GB2312"/>
      <w:bCs/>
      <w:color w:val="000000"/>
      <w:kern w:val="0"/>
      <w:szCs w:val="21"/>
    </w:rPr>
  </w:style>
  <w:style w:type="paragraph" w:customStyle="1" w:styleId="3156">
    <w:name w:val="热电厂正文 Char Char Char Char"/>
    <w:basedOn w:val="1"/>
    <w:autoRedefine/>
    <w:qFormat/>
    <w:uiPriority w:val="0"/>
    <w:pPr>
      <w:spacing w:line="440" w:lineRule="exact"/>
      <w:ind w:firstLine="200" w:firstLineChars="200"/>
    </w:pPr>
    <w:rPr>
      <w:rFonts w:eastAsia="仿宋_GB2312"/>
      <w:szCs w:val="21"/>
    </w:rPr>
  </w:style>
  <w:style w:type="paragraph" w:customStyle="1" w:styleId="3157">
    <w:name w:val="节标题1"/>
    <w:basedOn w:val="1"/>
    <w:autoRedefine/>
    <w:qFormat/>
    <w:uiPriority w:val="0"/>
    <w:pPr>
      <w:adjustRightInd w:val="0"/>
      <w:snapToGrid w:val="0"/>
      <w:spacing w:beforeLines="50" w:line="360" w:lineRule="auto"/>
    </w:pPr>
    <w:rPr>
      <w:rFonts w:eastAsia="仿宋_GB2312"/>
      <w:b/>
      <w:kern w:val="0"/>
      <w:sz w:val="28"/>
      <w:szCs w:val="21"/>
    </w:rPr>
  </w:style>
  <w:style w:type="paragraph" w:customStyle="1" w:styleId="3158">
    <w:name w:val="节标题2"/>
    <w:basedOn w:val="1"/>
    <w:autoRedefine/>
    <w:qFormat/>
    <w:uiPriority w:val="0"/>
    <w:pPr>
      <w:autoSpaceDE w:val="0"/>
      <w:autoSpaceDN w:val="0"/>
      <w:adjustRightInd w:val="0"/>
      <w:spacing w:line="360" w:lineRule="auto"/>
      <w:jc w:val="left"/>
    </w:pPr>
    <w:rPr>
      <w:rFonts w:eastAsia="仿宋_GB2312"/>
      <w:kern w:val="0"/>
      <w:szCs w:val="28"/>
    </w:rPr>
  </w:style>
  <w:style w:type="paragraph" w:customStyle="1" w:styleId="3159">
    <w:name w:val="wtext"/>
    <w:basedOn w:val="1"/>
    <w:autoRedefine/>
    <w:qFormat/>
    <w:uiPriority w:val="0"/>
    <w:pPr>
      <w:widowControl/>
      <w:spacing w:before="100" w:beforeAutospacing="1" w:after="100" w:afterAutospacing="1"/>
      <w:ind w:firstLine="480"/>
      <w:jc w:val="left"/>
    </w:pPr>
    <w:rPr>
      <w:rFonts w:ascii="ˎ̥" w:hAnsi="ˎ̥" w:eastAsia="仿宋_GB2312" w:cs="宋体"/>
      <w:color w:val="000000"/>
      <w:kern w:val="0"/>
      <w:sz w:val="22"/>
      <w:szCs w:val="22"/>
    </w:rPr>
  </w:style>
  <w:style w:type="paragraph" w:customStyle="1" w:styleId="3160">
    <w:name w:val="自定义缩进"/>
    <w:basedOn w:val="1"/>
    <w:autoRedefine/>
    <w:qFormat/>
    <w:uiPriority w:val="0"/>
    <w:pPr>
      <w:keepNext/>
      <w:spacing w:line="300" w:lineRule="exact"/>
      <w:ind w:firstLine="200" w:firstLineChars="200"/>
    </w:pPr>
    <w:rPr>
      <w:rFonts w:eastAsia="仿宋_GB2312"/>
      <w:color w:val="000000"/>
      <w:kern w:val="0"/>
      <w:sz w:val="18"/>
      <w:szCs w:val="18"/>
    </w:rPr>
  </w:style>
  <w:style w:type="paragraph" w:customStyle="1" w:styleId="3161">
    <w:name w:val="样式 四号 黑色 首行缩进:  2 字符"/>
    <w:basedOn w:val="1"/>
    <w:autoRedefine/>
    <w:qFormat/>
    <w:uiPriority w:val="0"/>
    <w:pPr>
      <w:spacing w:line="480" w:lineRule="atLeast"/>
      <w:ind w:firstLine="200" w:firstLineChars="200"/>
    </w:pPr>
    <w:rPr>
      <w:rFonts w:eastAsia="仿宋_GB2312"/>
      <w:color w:val="000000"/>
      <w:szCs w:val="21"/>
    </w:rPr>
  </w:style>
  <w:style w:type="paragraph" w:customStyle="1" w:styleId="3162">
    <w:name w:val="标题3 Char Char Char Char"/>
    <w:basedOn w:val="1"/>
    <w:autoRedefine/>
    <w:qFormat/>
    <w:uiPriority w:val="0"/>
    <w:pPr>
      <w:spacing w:afterLines="50" w:line="560" w:lineRule="exact"/>
    </w:pPr>
    <w:rPr>
      <w:rFonts w:eastAsia="黑体"/>
      <w:sz w:val="30"/>
      <w:szCs w:val="30"/>
    </w:rPr>
  </w:style>
  <w:style w:type="paragraph" w:customStyle="1" w:styleId="3163">
    <w:name w:val="test1"/>
    <w:basedOn w:val="1"/>
    <w:autoRedefine/>
    <w:qFormat/>
    <w:uiPriority w:val="0"/>
    <w:pPr>
      <w:widowControl/>
      <w:spacing w:before="240" w:after="100" w:afterAutospacing="1" w:line="480" w:lineRule="atLeast"/>
      <w:ind w:left="480" w:right="480"/>
      <w:jc w:val="left"/>
    </w:pPr>
    <w:rPr>
      <w:rFonts w:ascii="ˎ̥" w:hAnsi="ˎ̥" w:eastAsia="仿宋_GB2312" w:cs="宋体"/>
      <w:color w:val="000000"/>
      <w:kern w:val="0"/>
      <w:sz w:val="20"/>
      <w:szCs w:val="20"/>
    </w:rPr>
  </w:style>
  <w:style w:type="paragraph" w:customStyle="1" w:styleId="3164">
    <w:name w:val="博士论文正文"/>
    <w:basedOn w:val="1"/>
    <w:autoRedefine/>
    <w:qFormat/>
    <w:uiPriority w:val="0"/>
    <w:pPr>
      <w:spacing w:line="360" w:lineRule="auto"/>
      <w:ind w:firstLine="200" w:firstLineChars="200"/>
    </w:pPr>
    <w:rPr>
      <w:rFonts w:eastAsia="仿宋_GB2312"/>
      <w:szCs w:val="21"/>
    </w:rPr>
  </w:style>
  <w:style w:type="paragraph" w:customStyle="1" w:styleId="3165">
    <w:name w:val="编号1"/>
    <w:basedOn w:val="1"/>
    <w:autoRedefine/>
    <w:qFormat/>
    <w:uiPriority w:val="0"/>
    <w:pPr>
      <w:spacing w:before="240" w:after="120" w:line="360" w:lineRule="auto"/>
    </w:pPr>
    <w:rPr>
      <w:rFonts w:ascii="黑体" w:eastAsia="黑体"/>
      <w:b/>
      <w:sz w:val="36"/>
      <w:szCs w:val="20"/>
    </w:rPr>
  </w:style>
  <w:style w:type="paragraph" w:customStyle="1" w:styleId="3166">
    <w:name w:val="Char Char Char Char Char Char Char22"/>
    <w:basedOn w:val="1"/>
    <w:autoRedefine/>
    <w:qFormat/>
    <w:uiPriority w:val="0"/>
    <w:rPr>
      <w:rFonts w:eastAsia="仿宋_GB2312"/>
      <w:sz w:val="28"/>
      <w:szCs w:val="21"/>
    </w:rPr>
  </w:style>
  <w:style w:type="paragraph" w:customStyle="1" w:styleId="3167">
    <w:name w:val="Char Char Char Char Char Char Char21"/>
    <w:basedOn w:val="1"/>
    <w:autoRedefine/>
    <w:qFormat/>
    <w:uiPriority w:val="0"/>
    <w:rPr>
      <w:rFonts w:eastAsia="仿宋_GB2312"/>
      <w:sz w:val="28"/>
      <w:szCs w:val="21"/>
    </w:rPr>
  </w:style>
  <w:style w:type="paragraph" w:customStyle="1" w:styleId="3168">
    <w:name w:val="表格（大）"/>
    <w:basedOn w:val="1"/>
    <w:autoRedefine/>
    <w:qFormat/>
    <w:uiPriority w:val="0"/>
    <w:pPr>
      <w:jc w:val="center"/>
    </w:pPr>
    <w:rPr>
      <w:rFonts w:ascii="仿宋_GB2312" w:eastAsia="仿宋_GB2312"/>
      <w:color w:val="000000"/>
      <w:szCs w:val="20"/>
    </w:rPr>
  </w:style>
  <w:style w:type="paragraph" w:customStyle="1" w:styleId="3169">
    <w:name w:val="兴武正文"/>
    <w:basedOn w:val="1"/>
    <w:autoRedefine/>
    <w:qFormat/>
    <w:uiPriority w:val="0"/>
    <w:pPr>
      <w:spacing w:line="480" w:lineRule="exact"/>
      <w:ind w:firstLine="200" w:firstLineChars="200"/>
    </w:pPr>
    <w:rPr>
      <w:rFonts w:eastAsia="仿宋_GB2312"/>
      <w:kern w:val="0"/>
      <w:szCs w:val="20"/>
    </w:rPr>
  </w:style>
  <w:style w:type="paragraph" w:customStyle="1" w:styleId="3170">
    <w:name w:val="Char Char Char Char Char Char Char20"/>
    <w:basedOn w:val="1"/>
    <w:autoRedefine/>
    <w:qFormat/>
    <w:uiPriority w:val="0"/>
    <w:rPr>
      <w:rFonts w:eastAsia="仿宋_GB2312"/>
      <w:sz w:val="28"/>
      <w:szCs w:val="21"/>
    </w:rPr>
  </w:style>
  <w:style w:type="paragraph" w:customStyle="1" w:styleId="3171">
    <w:name w:val="文章正文"/>
    <w:basedOn w:val="1"/>
    <w:autoRedefine/>
    <w:qFormat/>
    <w:uiPriority w:val="0"/>
    <w:pPr>
      <w:spacing w:line="360" w:lineRule="auto"/>
      <w:ind w:firstLine="200" w:firstLineChars="200"/>
    </w:pPr>
    <w:rPr>
      <w:rFonts w:eastAsia="仿宋_GB2312"/>
      <w:szCs w:val="20"/>
    </w:rPr>
  </w:style>
  <w:style w:type="paragraph" w:customStyle="1" w:styleId="3172">
    <w:name w:val="CM47"/>
    <w:basedOn w:val="1"/>
    <w:next w:val="1"/>
    <w:autoRedefine/>
    <w:qFormat/>
    <w:uiPriority w:val="0"/>
    <w:pPr>
      <w:autoSpaceDE w:val="0"/>
      <w:autoSpaceDN w:val="0"/>
      <w:adjustRightInd w:val="0"/>
      <w:jc w:val="left"/>
    </w:pPr>
    <w:rPr>
      <w:rFonts w:ascii="楷体_GB2312" w:eastAsia="楷体_GB2312"/>
      <w:kern w:val="0"/>
      <w:szCs w:val="21"/>
    </w:rPr>
  </w:style>
  <w:style w:type="paragraph" w:customStyle="1" w:styleId="3173">
    <w:name w:val="表图1"/>
    <w:basedOn w:val="1"/>
    <w:autoRedefine/>
    <w:qFormat/>
    <w:uiPriority w:val="0"/>
    <w:pPr>
      <w:spacing w:line="0" w:lineRule="atLeast"/>
    </w:pPr>
    <w:rPr>
      <w:rFonts w:eastAsia="仿宋_GB2312"/>
      <w:sz w:val="28"/>
      <w:szCs w:val="20"/>
    </w:rPr>
  </w:style>
  <w:style w:type="paragraph" w:customStyle="1" w:styleId="3174">
    <w:name w:val="样式 正文文本 + 小四2"/>
    <w:basedOn w:val="34"/>
    <w:autoRedefine/>
    <w:qFormat/>
    <w:uiPriority w:val="0"/>
    <w:rPr>
      <w:rFonts w:eastAsia="仿宋_GB2312" w:cstheme="minorBidi"/>
      <w:kern w:val="0"/>
      <w:sz w:val="20"/>
      <w:szCs w:val="21"/>
    </w:rPr>
  </w:style>
  <w:style w:type="paragraph" w:customStyle="1" w:styleId="3175">
    <w:name w:val="样式 正文（首行缩进两字） + 宋体"/>
    <w:basedOn w:val="21"/>
    <w:autoRedefine/>
    <w:qFormat/>
    <w:uiPriority w:val="0"/>
    <w:pPr>
      <w:adjustRightInd w:val="0"/>
      <w:ind w:firstLine="0" w:firstLineChars="0"/>
    </w:pPr>
    <w:rPr>
      <w:rFonts w:eastAsia="仿宋_GB2312" w:asciiTheme="minorHAnsi" w:cstheme="minorBidi"/>
      <w:sz w:val="28"/>
      <w:szCs w:val="22"/>
    </w:rPr>
  </w:style>
  <w:style w:type="paragraph" w:customStyle="1" w:styleId="3176">
    <w:name w:val="页末正文"/>
    <w:basedOn w:val="1"/>
    <w:autoRedefine/>
    <w:qFormat/>
    <w:uiPriority w:val="0"/>
    <w:pPr>
      <w:spacing w:after="240" w:line="480" w:lineRule="exact"/>
      <w:ind w:firstLine="200" w:firstLineChars="200"/>
    </w:pPr>
    <w:rPr>
      <w:rFonts w:eastAsia="楷体_GB2312"/>
      <w:color w:val="000000"/>
      <w:sz w:val="28"/>
      <w:szCs w:val="20"/>
    </w:rPr>
  </w:style>
  <w:style w:type="paragraph" w:customStyle="1" w:styleId="3177">
    <w:name w:val="样式1.....表格"/>
    <w:basedOn w:val="1"/>
    <w:next w:val="1"/>
    <w:autoRedefine/>
    <w:qFormat/>
    <w:uiPriority w:val="0"/>
    <w:pPr>
      <w:jc w:val="center"/>
    </w:pPr>
    <w:rPr>
      <w:rFonts w:eastAsia="仿宋_GB2312"/>
      <w:szCs w:val="20"/>
    </w:rPr>
  </w:style>
  <w:style w:type="paragraph" w:customStyle="1" w:styleId="3178">
    <w:name w:val="正文小四 标准"/>
    <w:basedOn w:val="1"/>
    <w:autoRedefine/>
    <w:qFormat/>
    <w:uiPriority w:val="0"/>
    <w:pPr>
      <w:spacing w:beforeLines="50" w:afterLines="50" w:line="360" w:lineRule="auto"/>
      <w:ind w:firstLine="200" w:firstLineChars="200"/>
    </w:pPr>
    <w:rPr>
      <w:rFonts w:eastAsia="仿宋_GB2312"/>
      <w:szCs w:val="20"/>
    </w:rPr>
  </w:style>
  <w:style w:type="paragraph" w:customStyle="1" w:styleId="3179">
    <w:name w:val="Char36"/>
    <w:basedOn w:val="1"/>
    <w:autoRedefine/>
    <w:qFormat/>
    <w:uiPriority w:val="0"/>
    <w:pPr>
      <w:spacing w:line="240" w:lineRule="exact"/>
      <w:ind w:firstLine="200" w:firstLineChars="200"/>
    </w:pPr>
    <w:rPr>
      <w:rFonts w:eastAsia="仿宋_GB2312"/>
      <w:sz w:val="28"/>
      <w:szCs w:val="28"/>
    </w:rPr>
  </w:style>
  <w:style w:type="paragraph" w:customStyle="1" w:styleId="3180">
    <w:name w:val="表题4"/>
    <w:basedOn w:val="1190"/>
    <w:autoRedefine/>
    <w:qFormat/>
    <w:uiPriority w:val="0"/>
    <w:pPr>
      <w:keepNext/>
      <w:topLinePunct/>
      <w:snapToGrid/>
      <w:spacing w:line="480" w:lineRule="exact"/>
      <w:ind w:left="0" w:leftChars="0" w:firstLine="0" w:firstLineChars="0"/>
      <w:jc w:val="center"/>
      <w:outlineLvl w:val="0"/>
    </w:pPr>
    <w:rPr>
      <w:rFonts w:ascii="楷体_GB2312" w:eastAsia="楷体_GB2312" w:hAnsiTheme="minorHAnsi" w:cstheme="minorBidi"/>
      <w:w w:val="95"/>
      <w:kern w:val="0"/>
      <w:sz w:val="24"/>
      <w:szCs w:val="20"/>
    </w:rPr>
  </w:style>
  <w:style w:type="paragraph" w:customStyle="1" w:styleId="3181">
    <w:name w:val="正文标准格式张"/>
    <w:basedOn w:val="1"/>
    <w:autoRedefine/>
    <w:qFormat/>
    <w:uiPriority w:val="0"/>
    <w:pPr>
      <w:tabs>
        <w:tab w:val="left" w:pos="1260"/>
      </w:tabs>
      <w:adjustRightInd w:val="0"/>
      <w:snapToGrid w:val="0"/>
      <w:spacing w:beforeLines="25" w:afterLines="25" w:line="312" w:lineRule="auto"/>
      <w:ind w:firstLine="200" w:firstLineChars="200"/>
      <w:textAlignment w:val="baseline"/>
    </w:pPr>
    <w:rPr>
      <w:rFonts w:eastAsia="仿宋_GB2312"/>
      <w:snapToGrid w:val="0"/>
      <w:kern w:val="0"/>
      <w:szCs w:val="21"/>
    </w:rPr>
  </w:style>
  <w:style w:type="paragraph" w:customStyle="1" w:styleId="3182">
    <w:name w:val="newstyle"/>
    <w:basedOn w:val="3"/>
    <w:autoRedefine/>
    <w:qFormat/>
    <w:uiPriority w:val="0"/>
    <w:pPr>
      <w:tabs>
        <w:tab w:val="left" w:pos="920"/>
      </w:tabs>
      <w:spacing w:before="0" w:after="0" w:line="578" w:lineRule="auto"/>
      <w:ind w:left="920" w:hanging="360"/>
    </w:pPr>
    <w:rPr>
      <w:rFonts w:eastAsia="黑体"/>
      <w:b w:val="0"/>
      <w:bCs/>
      <w:sz w:val="30"/>
      <w:szCs w:val="44"/>
      <w:lang w:val="zh-CN"/>
    </w:rPr>
  </w:style>
  <w:style w:type="paragraph" w:customStyle="1" w:styleId="3183">
    <w:name w:val="ljx正文1"/>
    <w:basedOn w:val="1"/>
    <w:autoRedefine/>
    <w:qFormat/>
    <w:uiPriority w:val="0"/>
    <w:rPr>
      <w:rFonts w:eastAsia="仿宋_GB2312"/>
      <w:kern w:val="0"/>
      <w:sz w:val="28"/>
      <w:szCs w:val="28"/>
    </w:rPr>
  </w:style>
  <w:style w:type="paragraph" w:customStyle="1" w:styleId="3184">
    <w:name w:val="new 1"/>
    <w:basedOn w:val="3"/>
    <w:autoRedefine/>
    <w:qFormat/>
    <w:uiPriority w:val="0"/>
    <w:pPr>
      <w:tabs>
        <w:tab w:val="left" w:pos="495"/>
      </w:tabs>
      <w:spacing w:before="0" w:after="0" w:line="578" w:lineRule="auto"/>
      <w:ind w:left="495" w:hanging="315"/>
      <w:jc w:val="center"/>
    </w:pPr>
    <w:rPr>
      <w:rFonts w:eastAsia="黑体"/>
      <w:b w:val="0"/>
      <w:bCs/>
      <w:sz w:val="36"/>
      <w:szCs w:val="44"/>
      <w:lang w:val="zh-CN"/>
    </w:rPr>
  </w:style>
  <w:style w:type="paragraph" w:customStyle="1" w:styleId="3185">
    <w:name w:val="바탕글"/>
    <w:autoRedefine/>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5" w:lineRule="auto"/>
      <w:jc w:val="both"/>
    </w:pPr>
    <w:rPr>
      <w:rFonts w:ascii="Batang" w:hAnsi="Times New Roman" w:eastAsia="Batang" w:cs="宋体"/>
      <w:color w:val="000000"/>
      <w:sz w:val="21"/>
      <w:szCs w:val="21"/>
      <w:lang w:val="en-US" w:eastAsia="ko-KR" w:bidi="ar-SA"/>
    </w:rPr>
  </w:style>
  <w:style w:type="paragraph" w:customStyle="1" w:styleId="3186">
    <w:name w:val="样式 宋体 首行缩进:  0.85 厘米 右侧:  0.99 厘米"/>
    <w:basedOn w:val="1"/>
    <w:autoRedefine/>
    <w:qFormat/>
    <w:uiPriority w:val="0"/>
    <w:pPr>
      <w:ind w:right="561"/>
    </w:pPr>
    <w:rPr>
      <w:rFonts w:eastAsia="仿宋_GB2312"/>
      <w:sz w:val="28"/>
      <w:szCs w:val="20"/>
    </w:rPr>
  </w:style>
  <w:style w:type="paragraph" w:customStyle="1" w:styleId="3187">
    <w:name w:val="正文缩近"/>
    <w:basedOn w:val="1"/>
    <w:autoRedefine/>
    <w:qFormat/>
    <w:uiPriority w:val="0"/>
    <w:pPr>
      <w:spacing w:line="360" w:lineRule="auto"/>
      <w:ind w:firstLine="200" w:firstLineChars="200"/>
    </w:pPr>
    <w:rPr>
      <w:rFonts w:eastAsia="仿宋_GB2312"/>
      <w:sz w:val="28"/>
      <w:szCs w:val="28"/>
    </w:rPr>
  </w:style>
  <w:style w:type="paragraph" w:customStyle="1" w:styleId="3188">
    <w:name w:val="大纲正文"/>
    <w:basedOn w:val="1"/>
    <w:autoRedefine/>
    <w:qFormat/>
    <w:uiPriority w:val="0"/>
    <w:pPr>
      <w:widowControl/>
      <w:adjustRightInd w:val="0"/>
      <w:snapToGrid w:val="0"/>
      <w:spacing w:afterLines="50" w:line="300" w:lineRule="auto"/>
      <w:ind w:firstLine="200" w:firstLineChars="200"/>
    </w:pPr>
    <w:rPr>
      <w:rFonts w:ascii="Calibri" w:hAnsi="Calibri" w:eastAsia="仿宋_GB2312"/>
      <w:kern w:val="0"/>
      <w:szCs w:val="20"/>
    </w:rPr>
  </w:style>
  <w:style w:type="paragraph" w:customStyle="1" w:styleId="3189">
    <w:name w:val="样式 样式 标题 2标题 2节第一章 标题 2Heading 2 HiddenHeading 2 CCBSheading 2....."/>
    <w:basedOn w:val="1"/>
    <w:autoRedefine/>
    <w:qFormat/>
    <w:uiPriority w:val="0"/>
    <w:pPr>
      <w:keepNext/>
      <w:keepLines/>
      <w:spacing w:beforeLines="100" w:afterLines="100"/>
      <w:jc w:val="center"/>
      <w:outlineLvl w:val="1"/>
    </w:pPr>
    <w:rPr>
      <w:rFonts w:eastAsia="楷体_GB2312"/>
      <w:b/>
      <w:bCs/>
      <w:color w:val="000000"/>
      <w:sz w:val="32"/>
      <w:szCs w:val="20"/>
    </w:rPr>
  </w:style>
  <w:style w:type="paragraph" w:customStyle="1" w:styleId="3190">
    <w:name w:val="样式 标题 3标题 3 Char CharH3h33rd level标题3 + 段前: 0.5 行"/>
    <w:basedOn w:val="5"/>
    <w:autoRedefine/>
    <w:qFormat/>
    <w:uiPriority w:val="0"/>
    <w:pPr>
      <w:keepNext w:val="0"/>
      <w:keepLines w:val="0"/>
      <w:widowControl/>
      <w:tabs>
        <w:tab w:val="left" w:pos="7088"/>
      </w:tabs>
      <w:adjustRightInd w:val="0"/>
      <w:spacing w:beforeLines="50" w:after="0" w:line="360" w:lineRule="auto"/>
      <w:ind w:firstLine="200" w:firstLineChars="200"/>
      <w:outlineLvl w:val="9"/>
    </w:pPr>
    <w:rPr>
      <w:rFonts w:ascii="Times New Roman" w:hAnsi="Times New Roman" w:eastAsia="仿宋_GB2312" w:cs="Times New Roman"/>
      <w:b w:val="0"/>
      <w:bCs w:val="0"/>
      <w:color w:val="FF00FF"/>
      <w:kern w:val="0"/>
      <w:sz w:val="24"/>
      <w:szCs w:val="30"/>
      <w:lang w:val="zh-CN"/>
    </w:rPr>
  </w:style>
  <w:style w:type="paragraph" w:customStyle="1" w:styleId="3191">
    <w:name w:val="样式 样式 标题 3标题 3 Char Char Char标题 3 Char Charh3H3level_3PIM 3L...1..."/>
    <w:basedOn w:val="1"/>
    <w:autoRedefine/>
    <w:qFormat/>
    <w:uiPriority w:val="0"/>
    <w:pPr>
      <w:keepNext/>
      <w:keepLines/>
      <w:spacing w:line="500" w:lineRule="exact"/>
      <w:ind w:firstLine="200" w:firstLineChars="200"/>
      <w:outlineLvl w:val="2"/>
    </w:pPr>
    <w:rPr>
      <w:rFonts w:eastAsia="黑体" w:cs="宋体"/>
      <w:b/>
      <w:bCs/>
      <w:color w:val="000000"/>
      <w:sz w:val="28"/>
      <w:szCs w:val="20"/>
    </w:rPr>
  </w:style>
  <w:style w:type="paragraph" w:customStyle="1" w:styleId="3192">
    <w:name w:val="样式 标题 2mystyle2style2 + 四号 非加粗 居中 行距: 多倍行距 1.73 字行"/>
    <w:basedOn w:val="4"/>
    <w:autoRedefine/>
    <w:qFormat/>
    <w:uiPriority w:val="0"/>
    <w:pPr>
      <w:tabs>
        <w:tab w:val="clear" w:pos="1276"/>
      </w:tabs>
      <w:adjustRightInd/>
      <w:spacing w:before="260" w:after="260" w:line="415" w:lineRule="auto"/>
      <w:ind w:left="0"/>
      <w:contextualSpacing/>
      <w:jc w:val="center"/>
      <w:textAlignment w:val="auto"/>
    </w:pPr>
    <w:rPr>
      <w:b w:val="0"/>
      <w:kern w:val="0"/>
      <w:lang w:val="zh-CN"/>
    </w:rPr>
  </w:style>
  <w:style w:type="paragraph" w:customStyle="1" w:styleId="3193">
    <w:name w:val="myformat_content Char"/>
    <w:basedOn w:val="1"/>
    <w:autoRedefine/>
    <w:qFormat/>
    <w:uiPriority w:val="0"/>
    <w:pPr>
      <w:spacing w:beforeLines="50" w:afterLines="50" w:line="360" w:lineRule="exact"/>
      <w:ind w:firstLine="200" w:firstLineChars="200"/>
    </w:pPr>
    <w:rPr>
      <w:rFonts w:eastAsia="仿宋_GB2312"/>
      <w:szCs w:val="20"/>
    </w:rPr>
  </w:style>
  <w:style w:type="paragraph" w:customStyle="1" w:styleId="3194">
    <w:name w:val="样式 标题 3标题 3 Char Char Char标题 3 Char Charh3H3level_3PIM 3L...1"/>
    <w:basedOn w:val="5"/>
    <w:autoRedefine/>
    <w:qFormat/>
    <w:uiPriority w:val="0"/>
    <w:pPr>
      <w:keepLines w:val="0"/>
      <w:tabs>
        <w:tab w:val="left" w:pos="7088"/>
      </w:tabs>
      <w:adjustRightInd w:val="0"/>
      <w:spacing w:beforeLines="50" w:after="0" w:line="500" w:lineRule="exact"/>
      <w:ind w:firstLine="200" w:firstLineChars="200"/>
    </w:pPr>
    <w:rPr>
      <w:rFonts w:ascii="宋体" w:hAnsi="Times New Roman" w:eastAsia="黑体" w:cs="Times New Roman"/>
      <w:bCs w:val="0"/>
      <w:sz w:val="28"/>
      <w:szCs w:val="20"/>
      <w:lang w:val="zh-CN"/>
    </w:rPr>
  </w:style>
  <w:style w:type="paragraph" w:customStyle="1" w:styleId="3195">
    <w:name w:val="样式 样式 样式 样式 标题 2 + 段前: 0.25 行 段后: 0.25 行 + 段前: 0.25 行 段后: 0.25 行..."/>
    <w:basedOn w:val="1"/>
    <w:autoRedefine/>
    <w:qFormat/>
    <w:uiPriority w:val="0"/>
    <w:pPr>
      <w:keepNext/>
      <w:keepLines/>
      <w:tabs>
        <w:tab w:val="left" w:pos="992"/>
      </w:tabs>
      <w:adjustRightInd w:val="0"/>
      <w:snapToGrid w:val="0"/>
      <w:spacing w:beforeLines="25" w:afterLines="25" w:line="360" w:lineRule="auto"/>
      <w:ind w:left="990" w:hanging="567"/>
      <w:jc w:val="left"/>
      <w:outlineLvl w:val="1"/>
    </w:pPr>
    <w:rPr>
      <w:rFonts w:eastAsia="仿宋_GB2312" w:cs="宋体"/>
      <w:b/>
      <w:bCs/>
      <w:szCs w:val="20"/>
    </w:rPr>
  </w:style>
  <w:style w:type="paragraph" w:customStyle="1" w:styleId="3196">
    <w:name w:val="样式 标题 2标题 2节第一章 标题 2Heading 2 HiddenHeading 2 CCBSheading 2..."/>
    <w:basedOn w:val="4"/>
    <w:autoRedefine/>
    <w:qFormat/>
    <w:uiPriority w:val="0"/>
    <w:pPr>
      <w:keepNext w:val="0"/>
      <w:keepLines w:val="0"/>
      <w:tabs>
        <w:tab w:val="clear" w:pos="1276"/>
      </w:tabs>
      <w:adjustRightInd/>
      <w:spacing w:before="0" w:after="0" w:line="240" w:lineRule="auto"/>
      <w:ind w:left="0"/>
      <w:contextualSpacing/>
      <w:jc w:val="center"/>
      <w:textAlignment w:val="auto"/>
    </w:pPr>
    <w:rPr>
      <w:rFonts w:ascii="楷体_GB2312" w:hAnsi="Times New Roman" w:eastAsia="楷体_GB2312"/>
      <w:bCs/>
      <w:sz w:val="32"/>
      <w:szCs w:val="32"/>
      <w:lang w:val="zh-CN"/>
    </w:rPr>
  </w:style>
  <w:style w:type="paragraph" w:customStyle="1" w:styleId="3197">
    <w:name w:val="表名图名"/>
    <w:basedOn w:val="1"/>
    <w:autoRedefine/>
    <w:qFormat/>
    <w:uiPriority w:val="0"/>
    <w:pPr>
      <w:spacing w:beforeLines="50" w:afterLines="20"/>
      <w:jc w:val="center"/>
    </w:pPr>
    <w:rPr>
      <w:rFonts w:eastAsia="仿宋_GB2312"/>
      <w:b/>
      <w:bCs/>
      <w:szCs w:val="21"/>
    </w:rPr>
  </w:style>
  <w:style w:type="paragraph" w:customStyle="1" w:styleId="3198">
    <w:name w:val="样式 标题 1章标题 1h11st levelSection Headl1b1-*+标题 1章ChH1PI..."/>
    <w:basedOn w:val="3"/>
    <w:autoRedefine/>
    <w:qFormat/>
    <w:uiPriority w:val="0"/>
    <w:pPr>
      <w:spacing w:before="0" w:after="0" w:line="360" w:lineRule="auto"/>
      <w:jc w:val="center"/>
    </w:pPr>
    <w:rPr>
      <w:rFonts w:ascii="黑体" w:eastAsia="黑体"/>
      <w:bCs/>
      <w:sz w:val="32"/>
      <w:szCs w:val="44"/>
      <w:lang w:val="zh-CN"/>
    </w:rPr>
  </w:style>
  <w:style w:type="paragraph" w:customStyle="1" w:styleId="3199">
    <w:name w:val="_Style 25"/>
    <w:basedOn w:val="1"/>
    <w:next w:val="1"/>
    <w:autoRedefine/>
    <w:qFormat/>
    <w:uiPriority w:val="0"/>
    <w:pPr>
      <w:adjustRightInd w:val="0"/>
      <w:spacing w:line="360" w:lineRule="auto"/>
      <w:ind w:firstLine="570"/>
      <w:textAlignment w:val="baseline"/>
    </w:pPr>
    <w:rPr>
      <w:rFonts w:ascii="仿宋_GB2312" w:eastAsia="仿宋_GB2312"/>
      <w:kern w:val="0"/>
      <w:sz w:val="28"/>
      <w:szCs w:val="20"/>
    </w:rPr>
  </w:style>
  <w:style w:type="paragraph" w:customStyle="1" w:styleId="3200">
    <w:name w:val="样式 标题 1章标题 1h11st levelSection Headl1b1-*+标题 1章ChH1PI...1"/>
    <w:basedOn w:val="3"/>
    <w:autoRedefine/>
    <w:qFormat/>
    <w:uiPriority w:val="0"/>
    <w:pPr>
      <w:spacing w:before="0" w:after="0" w:line="360" w:lineRule="auto"/>
      <w:jc w:val="center"/>
    </w:pPr>
    <w:rPr>
      <w:rFonts w:ascii="黑体" w:eastAsia="黑体"/>
      <w:b w:val="0"/>
      <w:kern w:val="0"/>
      <w:sz w:val="32"/>
      <w:szCs w:val="44"/>
      <w:lang w:val="zh-CN"/>
    </w:rPr>
  </w:style>
  <w:style w:type="paragraph" w:customStyle="1" w:styleId="3201">
    <w:name w:val="总题"/>
    <w:next w:val="85"/>
    <w:autoRedefine/>
    <w:qFormat/>
    <w:uiPriority w:val="0"/>
    <w:pPr>
      <w:spacing w:before="100" w:beforeAutospacing="1" w:after="100" w:afterAutospacing="1" w:line="480" w:lineRule="auto"/>
      <w:jc w:val="center"/>
    </w:pPr>
    <w:rPr>
      <w:rFonts w:ascii="Times New Roman" w:hAnsi="Times New Roman" w:eastAsia="黑体" w:cs="宋体"/>
      <w:b/>
      <w:spacing w:val="20"/>
      <w:sz w:val="44"/>
      <w:szCs w:val="21"/>
      <w:lang w:val="en-US" w:eastAsia="zh-CN" w:bidi="ar-SA"/>
    </w:rPr>
  </w:style>
  <w:style w:type="paragraph" w:customStyle="1" w:styleId="3202">
    <w:name w:val="样式 标题 2标题 2节第一章 标题 2Heading 2 HiddenHeading 2 CCBSheading 2...1"/>
    <w:basedOn w:val="4"/>
    <w:autoRedefine/>
    <w:qFormat/>
    <w:uiPriority w:val="0"/>
    <w:pPr>
      <w:keepNext w:val="0"/>
      <w:keepLines w:val="0"/>
      <w:tabs>
        <w:tab w:val="clear" w:pos="1276"/>
      </w:tabs>
      <w:adjustRightInd/>
      <w:spacing w:before="0" w:after="0"/>
      <w:ind w:left="0"/>
      <w:contextualSpacing/>
      <w:jc w:val="center"/>
      <w:textAlignment w:val="auto"/>
    </w:pPr>
    <w:rPr>
      <w:rFonts w:ascii="楷体_GB2312" w:hAnsi="Times New Roman" w:eastAsia="楷体_GB2312"/>
      <w:bCs/>
      <w:sz w:val="32"/>
      <w:szCs w:val="32"/>
      <w:lang w:val="zh-CN"/>
    </w:rPr>
  </w:style>
  <w:style w:type="paragraph" w:customStyle="1" w:styleId="3203">
    <w:name w:val="正文样式3"/>
    <w:basedOn w:val="1"/>
    <w:autoRedefine/>
    <w:qFormat/>
    <w:uiPriority w:val="0"/>
    <w:pPr>
      <w:keepLines/>
      <w:adjustRightInd w:val="0"/>
      <w:spacing w:line="20" w:lineRule="atLeast"/>
      <w:ind w:firstLine="200" w:firstLineChars="200"/>
      <w:jc w:val="center"/>
      <w:textAlignment w:val="baseline"/>
    </w:pPr>
    <w:rPr>
      <w:rFonts w:eastAsia="仿宋_GB2312"/>
      <w:kern w:val="0"/>
      <w:szCs w:val="20"/>
    </w:rPr>
  </w:style>
  <w:style w:type="paragraph" w:customStyle="1" w:styleId="3204">
    <w:name w:val="Char3 Char Char Char Char Char Char Char Char Char Char Char Char Char Char Char Char Char Char Char Char Char Char Char Char Char"/>
    <w:basedOn w:val="1"/>
    <w:autoRedefine/>
    <w:qFormat/>
    <w:uiPriority w:val="0"/>
    <w:pPr>
      <w:spacing w:line="340" w:lineRule="exact"/>
      <w:ind w:firstLine="4" w:firstLineChars="4"/>
    </w:pPr>
    <w:rPr>
      <w:rFonts w:eastAsia="仿宋_GB2312"/>
      <w:sz w:val="28"/>
      <w:szCs w:val="28"/>
    </w:rPr>
  </w:style>
  <w:style w:type="paragraph" w:customStyle="1" w:styleId="3205">
    <w:name w:val="样式 标题 2标题 2节第一章 标题 2Heading 2 HiddenHeading 2 CCBSheading 2...2"/>
    <w:basedOn w:val="4"/>
    <w:autoRedefine/>
    <w:qFormat/>
    <w:uiPriority w:val="0"/>
    <w:pPr>
      <w:keepNext w:val="0"/>
      <w:keepLines w:val="0"/>
      <w:tabs>
        <w:tab w:val="clear" w:pos="1276"/>
      </w:tabs>
      <w:adjustRightInd/>
      <w:spacing w:before="0" w:after="0"/>
      <w:ind w:left="0"/>
      <w:contextualSpacing/>
      <w:jc w:val="center"/>
      <w:textAlignment w:val="auto"/>
    </w:pPr>
    <w:rPr>
      <w:rFonts w:ascii="楷体_GB2312" w:hAnsi="Times New Roman" w:eastAsia="楷体_GB2312"/>
      <w:b w:val="0"/>
      <w:sz w:val="32"/>
      <w:szCs w:val="32"/>
      <w:lang w:val="zh-CN"/>
    </w:rPr>
  </w:style>
  <w:style w:type="paragraph" w:customStyle="1" w:styleId="3206">
    <w:name w:val="样式 标题 2标题 2节第一章 标题 2Heading 2 HiddenHeading 2 CCBSheading 2...3"/>
    <w:basedOn w:val="4"/>
    <w:autoRedefine/>
    <w:qFormat/>
    <w:uiPriority w:val="0"/>
    <w:pPr>
      <w:keepNext w:val="0"/>
      <w:keepLines w:val="0"/>
      <w:tabs>
        <w:tab w:val="clear" w:pos="1276"/>
      </w:tabs>
      <w:adjustRightInd/>
      <w:spacing w:before="0" w:after="0"/>
      <w:ind w:left="0"/>
      <w:contextualSpacing/>
      <w:jc w:val="center"/>
      <w:textAlignment w:val="auto"/>
    </w:pPr>
    <w:rPr>
      <w:rFonts w:ascii="楷体_GB2312" w:hAnsi="Times New Roman" w:eastAsia="楷体_GB2312"/>
      <w:bCs/>
      <w:sz w:val="32"/>
      <w:szCs w:val="32"/>
      <w:lang w:val="zh-CN"/>
    </w:rPr>
  </w:style>
  <w:style w:type="paragraph" w:customStyle="1" w:styleId="3207">
    <w:name w:val="中文报告书样式2"/>
    <w:basedOn w:val="1"/>
    <w:autoRedefine/>
    <w:qFormat/>
    <w:uiPriority w:val="0"/>
    <w:pPr>
      <w:adjustRightInd w:val="0"/>
      <w:spacing w:after="120" w:line="480" w:lineRule="atLeast"/>
      <w:ind w:firstLine="567"/>
      <w:textAlignment w:val="baseline"/>
    </w:pPr>
    <w:rPr>
      <w:rFonts w:eastAsia="仿宋_GB2312"/>
      <w:kern w:val="24"/>
      <w:sz w:val="28"/>
      <w:szCs w:val="20"/>
    </w:rPr>
  </w:style>
  <w:style w:type="paragraph" w:customStyle="1" w:styleId="3208">
    <w:name w:val="正文XYF"/>
    <w:basedOn w:val="1"/>
    <w:autoRedefine/>
    <w:qFormat/>
    <w:uiPriority w:val="0"/>
    <w:pPr>
      <w:spacing w:line="520" w:lineRule="exact"/>
      <w:ind w:firstLine="200" w:firstLineChars="200"/>
    </w:pPr>
    <w:rPr>
      <w:rFonts w:eastAsia="仿宋_GB2312"/>
      <w:sz w:val="28"/>
      <w:szCs w:val="28"/>
    </w:rPr>
  </w:style>
  <w:style w:type="paragraph" w:customStyle="1" w:styleId="3209">
    <w:name w:val="WPS Plain"/>
    <w:autoRedefine/>
    <w:qFormat/>
    <w:uiPriority w:val="0"/>
    <w:rPr>
      <w:rFonts w:ascii="Times New Roman" w:hAnsi="Times New Roman" w:eastAsia="仿宋_GB2312" w:cs="宋体"/>
      <w:sz w:val="21"/>
      <w:szCs w:val="21"/>
      <w:lang w:val="en-US" w:eastAsia="zh-CN" w:bidi="ar-SA"/>
    </w:rPr>
  </w:style>
  <w:style w:type="paragraph" w:customStyle="1" w:styleId="3210">
    <w:name w:val="_1"/>
    <w:basedOn w:val="3"/>
    <w:autoRedefine/>
    <w:qFormat/>
    <w:uiPriority w:val="0"/>
    <w:pPr>
      <w:tabs>
        <w:tab w:val="left" w:pos="180"/>
      </w:tabs>
      <w:spacing w:before="0" w:beforeLines="100" w:after="120" w:afterLines="50" w:line="360" w:lineRule="exact"/>
      <w:ind w:left="180" w:hanging="180"/>
    </w:pPr>
    <w:rPr>
      <w:rFonts w:eastAsia="黑体"/>
      <w:b w:val="0"/>
      <w:bCs/>
      <w:sz w:val="24"/>
      <w:szCs w:val="44"/>
      <w:lang w:val="zh-CN"/>
    </w:rPr>
  </w:style>
  <w:style w:type="paragraph" w:customStyle="1" w:styleId="3211">
    <w:name w:val="标准符号 行距1倍"/>
    <w:basedOn w:val="1"/>
    <w:autoRedefine/>
    <w:qFormat/>
    <w:uiPriority w:val="0"/>
    <w:pPr>
      <w:adjustRightInd w:val="0"/>
      <w:snapToGrid w:val="0"/>
      <w:spacing w:beforeLines="50"/>
      <w:jc w:val="center"/>
      <w:textAlignment w:val="center"/>
    </w:pPr>
    <w:rPr>
      <w:rFonts w:ascii="黑体" w:eastAsia="黑体" w:cs="宋体"/>
      <w:color w:val="000000"/>
      <w:kern w:val="0"/>
      <w:szCs w:val="21"/>
    </w:rPr>
  </w:style>
  <w:style w:type="paragraph" w:customStyle="1" w:styleId="3212">
    <w:name w:val="_1.1"/>
    <w:basedOn w:val="4"/>
    <w:next w:val="3210"/>
    <w:autoRedefine/>
    <w:qFormat/>
    <w:uiPriority w:val="0"/>
    <w:pPr>
      <w:keepNext w:val="0"/>
      <w:keepLines w:val="0"/>
      <w:tabs>
        <w:tab w:val="left" w:pos="180"/>
        <w:tab w:val="clear" w:pos="1276"/>
      </w:tabs>
      <w:adjustRightInd/>
      <w:spacing w:before="63" w:after="63" w:line="320" w:lineRule="exact"/>
      <w:ind w:left="180" w:hanging="180"/>
      <w:contextualSpacing/>
      <w:jc w:val="both"/>
      <w:textAlignment w:val="auto"/>
    </w:pPr>
    <w:rPr>
      <w:rFonts w:eastAsia="仿宋_GB2312"/>
      <w:b w:val="0"/>
      <w:bCs/>
      <w:sz w:val="21"/>
      <w:szCs w:val="32"/>
      <w:lang w:val="zh-CN"/>
    </w:rPr>
  </w:style>
  <w:style w:type="paragraph" w:customStyle="1" w:styleId="3213">
    <w:name w:val="麦志勤正文"/>
    <w:basedOn w:val="1"/>
    <w:autoRedefine/>
    <w:qFormat/>
    <w:uiPriority w:val="0"/>
    <w:pPr>
      <w:adjustRightInd w:val="0"/>
      <w:snapToGrid w:val="0"/>
      <w:spacing w:beforeLines="20" w:line="300" w:lineRule="auto"/>
      <w:ind w:firstLine="200" w:firstLineChars="200"/>
    </w:pPr>
    <w:rPr>
      <w:rFonts w:eastAsia="仿宋_GB2312"/>
      <w:szCs w:val="28"/>
    </w:rPr>
  </w:style>
  <w:style w:type="paragraph" w:customStyle="1" w:styleId="3214">
    <w:name w:val="_1.1.1"/>
    <w:basedOn w:val="5"/>
    <w:next w:val="3212"/>
    <w:autoRedefine/>
    <w:qFormat/>
    <w:uiPriority w:val="0"/>
    <w:pPr>
      <w:tabs>
        <w:tab w:val="left" w:pos="180"/>
        <w:tab w:val="left" w:pos="1092"/>
        <w:tab w:val="left" w:pos="7088"/>
      </w:tabs>
      <w:adjustRightInd w:val="0"/>
      <w:spacing w:beforeLines="50" w:after="42" w:line="320" w:lineRule="exact"/>
      <w:ind w:left="180" w:hanging="180"/>
    </w:pPr>
    <w:rPr>
      <w:rFonts w:ascii="宋体" w:hAnsi="Times New Roman" w:eastAsia="仿宋_GB2312" w:cs="Times New Roman"/>
      <w:b w:val="0"/>
      <w:sz w:val="21"/>
      <w:lang w:val="zh-CN"/>
    </w:rPr>
  </w:style>
  <w:style w:type="paragraph" w:customStyle="1" w:styleId="3215">
    <w:name w:val="4级标题"/>
    <w:basedOn w:val="2591"/>
    <w:autoRedefine/>
    <w:qFormat/>
    <w:uiPriority w:val="0"/>
    <w:pPr>
      <w:widowControl w:val="0"/>
      <w:spacing w:line="360" w:lineRule="auto"/>
      <w:ind w:firstLine="0"/>
    </w:pPr>
    <w:rPr>
      <w:b/>
    </w:rPr>
  </w:style>
  <w:style w:type="paragraph" w:customStyle="1" w:styleId="3216">
    <w:name w:val="222"/>
    <w:basedOn w:val="1"/>
    <w:autoRedefine/>
    <w:qFormat/>
    <w:uiPriority w:val="0"/>
    <w:pPr>
      <w:spacing w:beforeLines="50" w:after="160"/>
      <w:jc w:val="center"/>
    </w:pPr>
    <w:rPr>
      <w:rFonts w:eastAsia="仿宋_GB2312"/>
      <w:b/>
      <w:bCs/>
      <w:sz w:val="44"/>
      <w:szCs w:val="36"/>
    </w:rPr>
  </w:style>
  <w:style w:type="paragraph" w:customStyle="1" w:styleId="3217">
    <w:name w:val="麦志勤表格式"/>
    <w:basedOn w:val="1"/>
    <w:autoRedefine/>
    <w:qFormat/>
    <w:uiPriority w:val="0"/>
    <w:pPr>
      <w:adjustRightInd w:val="0"/>
      <w:snapToGrid w:val="0"/>
      <w:spacing w:line="0" w:lineRule="atLeast"/>
      <w:jc w:val="center"/>
    </w:pPr>
    <w:rPr>
      <w:rFonts w:eastAsia="仿宋_GB2312"/>
      <w:szCs w:val="21"/>
    </w:rPr>
  </w:style>
  <w:style w:type="paragraph" w:customStyle="1" w:styleId="3218">
    <w:name w:val="td2"/>
    <w:basedOn w:val="1"/>
    <w:autoRedefine/>
    <w:qFormat/>
    <w:uiPriority w:val="0"/>
    <w:pPr>
      <w:widowControl/>
      <w:spacing w:before="100" w:beforeAutospacing="1" w:after="100" w:afterAutospacing="1" w:line="360" w:lineRule="atLeast"/>
      <w:jc w:val="left"/>
    </w:pPr>
    <w:rPr>
      <w:rFonts w:eastAsia="仿宋_GB2312" w:cs="宋体"/>
      <w:kern w:val="0"/>
      <w:sz w:val="20"/>
      <w:szCs w:val="20"/>
    </w:rPr>
  </w:style>
  <w:style w:type="paragraph" w:customStyle="1" w:styleId="3219">
    <w:name w:val="样式 标题 2节节标题 1.1H2（一）Underrubrik1prop2Heading 2 HiddenHea..."/>
    <w:basedOn w:val="4"/>
    <w:autoRedefine/>
    <w:qFormat/>
    <w:uiPriority w:val="0"/>
    <w:pPr>
      <w:tabs>
        <w:tab w:val="clear" w:pos="1276"/>
      </w:tabs>
      <w:adjustRightInd/>
      <w:spacing w:before="0" w:after="0"/>
      <w:ind w:left="0"/>
      <w:contextualSpacing/>
      <w:jc w:val="both"/>
      <w:textAlignment w:val="auto"/>
    </w:pPr>
    <w:rPr>
      <w:rFonts w:ascii="宋体" w:hAnsi="Times New Roman" w:eastAsia="仿宋_GB2312" w:cs="宋体"/>
      <w:bCs/>
      <w:color w:val="000000"/>
      <w:kern w:val="0"/>
      <w:lang w:val="zh-CN"/>
    </w:rPr>
  </w:style>
  <w:style w:type="paragraph" w:customStyle="1" w:styleId="3220">
    <w:name w:val="11ft"/>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5680"/>
      <w:kern w:val="0"/>
      <w:sz w:val="22"/>
      <w:szCs w:val="22"/>
    </w:rPr>
  </w:style>
  <w:style w:type="paragraph" w:customStyle="1" w:styleId="3221">
    <w:name w:val="样式 标题 3条标题1.1.1标题 3 Char标题 3 Char Char Char Char Char Char Ch..."/>
    <w:basedOn w:val="5"/>
    <w:autoRedefine/>
    <w:qFormat/>
    <w:uiPriority w:val="0"/>
    <w:pPr>
      <w:tabs>
        <w:tab w:val="left" w:pos="7088"/>
      </w:tabs>
      <w:adjustRightInd w:val="0"/>
      <w:spacing w:beforeLines="50" w:after="0" w:line="360" w:lineRule="auto"/>
    </w:pPr>
    <w:rPr>
      <w:rFonts w:ascii="宋体" w:hAnsi="Times New Roman" w:eastAsia="仿宋_GB2312" w:cs="宋体"/>
      <w:color w:val="000000"/>
      <w:kern w:val="0"/>
      <w:sz w:val="24"/>
      <w:szCs w:val="20"/>
      <w:lang w:val="zh-CN"/>
    </w:rPr>
  </w:style>
  <w:style w:type="paragraph" w:customStyle="1" w:styleId="3222">
    <w:name w:val="标题zl"/>
    <w:basedOn w:val="9"/>
    <w:autoRedefine/>
    <w:qFormat/>
    <w:uiPriority w:val="0"/>
    <w:pPr>
      <w:tabs>
        <w:tab w:val="clear" w:pos="5528"/>
      </w:tabs>
      <w:spacing w:line="319" w:lineRule="auto"/>
      <w:ind w:left="0"/>
    </w:pPr>
    <w:rPr>
      <w:rFonts w:ascii="宋体" w:eastAsia="仿宋_GB2312"/>
      <w:b w:val="0"/>
      <w:bCs w:val="0"/>
      <w:sz w:val="28"/>
    </w:rPr>
  </w:style>
  <w:style w:type="paragraph" w:customStyle="1" w:styleId="3223">
    <w:name w:val="样式 样式 标题 3 + (西文) Times New Roman (中文) 宋体 小四 加粗 + 黑色 左侧:  0 厘米..."/>
    <w:basedOn w:val="1434"/>
    <w:autoRedefine/>
    <w:qFormat/>
    <w:uiPriority w:val="0"/>
    <w:pPr>
      <w:tabs>
        <w:tab w:val="left" w:pos="990"/>
        <w:tab w:val="left" w:pos="7088"/>
        <w:tab w:val="clear" w:pos="432"/>
        <w:tab w:val="clear" w:pos="1021"/>
        <w:tab w:val="clear" w:pos="2126"/>
      </w:tabs>
      <w:spacing w:before="260" w:beforeLines="0" w:after="260"/>
      <w:ind w:left="0" w:firstLine="0"/>
    </w:pPr>
    <w:rPr>
      <w:rFonts w:hAnsi="Times New Roman" w:cs="宋体"/>
      <w:color w:val="000000"/>
      <w:kern w:val="0"/>
      <w:szCs w:val="20"/>
      <w:lang w:val="zh-CN"/>
    </w:rPr>
  </w:style>
  <w:style w:type="paragraph" w:customStyle="1" w:styleId="3224">
    <w:name w:val="acee正文"/>
    <w:basedOn w:val="1"/>
    <w:autoRedefine/>
    <w:qFormat/>
    <w:uiPriority w:val="0"/>
    <w:pPr>
      <w:spacing w:line="480" w:lineRule="exact"/>
      <w:ind w:firstLine="200" w:firstLineChars="200"/>
    </w:pPr>
    <w:rPr>
      <w:rFonts w:ascii="仿宋_GB2312" w:eastAsia="仿宋_GB2312"/>
      <w:sz w:val="32"/>
      <w:szCs w:val="21"/>
    </w:rPr>
  </w:style>
  <w:style w:type="paragraph" w:customStyle="1" w:styleId="3225">
    <w:name w:val="red14"/>
    <w:basedOn w:val="1"/>
    <w:autoRedefine/>
    <w:qFormat/>
    <w:uiPriority w:val="0"/>
    <w:pPr>
      <w:widowControl/>
      <w:spacing w:before="100" w:beforeAutospacing="1" w:after="100" w:afterAutospacing="1"/>
      <w:jc w:val="left"/>
    </w:pPr>
    <w:rPr>
      <w:rFonts w:eastAsia="仿宋_GB2312" w:cs="宋体"/>
      <w:b/>
      <w:bCs/>
      <w:color w:val="FF0000"/>
      <w:kern w:val="0"/>
      <w:sz w:val="28"/>
      <w:szCs w:val="21"/>
    </w:rPr>
  </w:style>
  <w:style w:type="paragraph" w:customStyle="1" w:styleId="3226">
    <w:name w:val="9css2"/>
    <w:basedOn w:val="1"/>
    <w:autoRedefine/>
    <w:qFormat/>
    <w:uiPriority w:val="0"/>
    <w:pPr>
      <w:widowControl/>
      <w:spacing w:before="100" w:beforeAutospacing="1" w:after="100" w:afterAutospacing="1" w:line="240" w:lineRule="atLeast"/>
      <w:jc w:val="left"/>
    </w:pPr>
    <w:rPr>
      <w:rFonts w:eastAsia="仿宋_GB2312"/>
      <w:color w:val="000000"/>
      <w:kern w:val="0"/>
      <w:sz w:val="18"/>
      <w:szCs w:val="18"/>
    </w:rPr>
  </w:style>
  <w:style w:type="paragraph" w:customStyle="1" w:styleId="3227">
    <w:name w:val="样式 首行缩进:  2 字符1"/>
    <w:basedOn w:val="1"/>
    <w:autoRedefine/>
    <w:qFormat/>
    <w:uiPriority w:val="0"/>
    <w:pPr>
      <w:spacing w:line="440" w:lineRule="exact"/>
      <w:ind w:firstLine="200" w:firstLineChars="200"/>
    </w:pPr>
    <w:rPr>
      <w:rFonts w:eastAsia="楷体_GB2312" w:cs="宋体"/>
      <w:sz w:val="28"/>
      <w:szCs w:val="28"/>
    </w:rPr>
  </w:style>
  <w:style w:type="paragraph" w:customStyle="1" w:styleId="3228">
    <w:name w:val="样式 标题 1 + 小二 行距: 1.5 倍行距"/>
    <w:basedOn w:val="3"/>
    <w:autoRedefine/>
    <w:qFormat/>
    <w:uiPriority w:val="0"/>
    <w:pPr>
      <w:tabs>
        <w:tab w:val="left" w:pos="524"/>
      </w:tabs>
      <w:spacing w:before="0" w:after="0" w:line="360" w:lineRule="auto"/>
      <w:ind w:left="524" w:hanging="425"/>
    </w:pPr>
    <w:rPr>
      <w:rFonts w:eastAsia="仿宋_GB2312" w:cs="宋体"/>
      <w:bCs/>
      <w:sz w:val="36"/>
      <w:lang w:val="zh-CN"/>
    </w:rPr>
  </w:style>
  <w:style w:type="paragraph" w:customStyle="1" w:styleId="3229">
    <w:name w:val="中表格"/>
    <w:basedOn w:val="1"/>
    <w:autoRedefine/>
    <w:qFormat/>
    <w:uiPriority w:val="0"/>
    <w:pPr>
      <w:spacing w:line="420" w:lineRule="exact"/>
      <w:jc w:val="center"/>
    </w:pPr>
    <w:rPr>
      <w:rFonts w:eastAsia="仿宋_GB2312"/>
      <w:szCs w:val="20"/>
    </w:rPr>
  </w:style>
  <w:style w:type="paragraph" w:customStyle="1" w:styleId="3230">
    <w:name w:val="text-black"/>
    <w:basedOn w:val="1"/>
    <w:autoRedefine/>
    <w:qFormat/>
    <w:uiPriority w:val="0"/>
    <w:pPr>
      <w:widowControl/>
      <w:spacing w:before="100" w:beforeAutospacing="1" w:after="100" w:afterAutospacing="1" w:line="384" w:lineRule="atLeast"/>
      <w:jc w:val="left"/>
    </w:pPr>
    <w:rPr>
      <w:rFonts w:ascii="ˎ̥" w:hAnsi="ˎ̥" w:eastAsia="仿宋_GB2312" w:cs="宋体"/>
      <w:color w:val="000000"/>
      <w:kern w:val="0"/>
      <w:sz w:val="20"/>
      <w:szCs w:val="20"/>
    </w:rPr>
  </w:style>
  <w:style w:type="paragraph" w:customStyle="1" w:styleId="3231">
    <w:name w:val="文章正文格式"/>
    <w:basedOn w:val="1"/>
    <w:autoRedefine/>
    <w:qFormat/>
    <w:uiPriority w:val="0"/>
    <w:pPr>
      <w:snapToGrid w:val="0"/>
      <w:spacing w:line="540" w:lineRule="atLeast"/>
      <w:ind w:firstLine="578"/>
    </w:pPr>
    <w:rPr>
      <w:rFonts w:eastAsia="仿宋_GB2312"/>
      <w:spacing w:val="8"/>
      <w:sz w:val="28"/>
      <w:szCs w:val="28"/>
    </w:rPr>
  </w:style>
  <w:style w:type="paragraph" w:customStyle="1" w:styleId="3232">
    <w:name w:val="- 页码 -"/>
    <w:autoRedefine/>
    <w:qFormat/>
    <w:uiPriority w:val="0"/>
    <w:pPr>
      <w:widowControl w:val="0"/>
      <w:jc w:val="both"/>
    </w:pPr>
    <w:rPr>
      <w:rFonts w:ascii="Times New Roman" w:hAnsi="Times New Roman" w:eastAsia="仿宋_GB2312" w:cs="宋体"/>
      <w:kern w:val="2"/>
      <w:sz w:val="21"/>
      <w:szCs w:val="24"/>
      <w:lang w:val="en-US" w:eastAsia="zh-CN" w:bidi="ar-SA"/>
    </w:rPr>
  </w:style>
  <w:style w:type="paragraph" w:customStyle="1" w:styleId="3233">
    <w:name w:val="首缩"/>
    <w:basedOn w:val="1"/>
    <w:autoRedefine/>
    <w:qFormat/>
    <w:uiPriority w:val="0"/>
    <w:pPr>
      <w:adjustRightInd w:val="0"/>
      <w:snapToGrid w:val="0"/>
      <w:spacing w:line="500" w:lineRule="exact"/>
      <w:ind w:firstLine="200"/>
    </w:pPr>
    <w:rPr>
      <w:rFonts w:eastAsia="仿宋_GB2312"/>
      <w:snapToGrid w:val="0"/>
      <w:kern w:val="0"/>
      <w:sz w:val="28"/>
      <w:szCs w:val="20"/>
    </w:rPr>
  </w:style>
  <w:style w:type="paragraph" w:customStyle="1" w:styleId="3234">
    <w:name w:val="样式 样式 标题 2 + 首行缩进:  0.62 字符 段前: 0 磅 段后: 0 磅 + 首行缩进:  4 字符2"/>
    <w:basedOn w:val="1"/>
    <w:autoRedefine/>
    <w:qFormat/>
    <w:uiPriority w:val="0"/>
    <w:pPr>
      <w:keepLines/>
      <w:spacing w:line="480" w:lineRule="exact"/>
      <w:ind w:firstLine="200" w:firstLineChars="200"/>
      <w:jc w:val="left"/>
      <w:outlineLvl w:val="1"/>
    </w:pPr>
    <w:rPr>
      <w:rFonts w:eastAsia="文鼎CS大宋" w:cs="宋体"/>
      <w:color w:val="000000"/>
      <w:sz w:val="28"/>
      <w:szCs w:val="20"/>
    </w:rPr>
  </w:style>
  <w:style w:type="paragraph" w:customStyle="1" w:styleId="3235">
    <w:name w:val="Char2 Char Char1 Char Char Char"/>
    <w:basedOn w:val="1"/>
    <w:autoRedefine/>
    <w:qFormat/>
    <w:uiPriority w:val="0"/>
    <w:rPr>
      <w:rFonts w:eastAsia="仿宋_GB2312"/>
      <w:szCs w:val="21"/>
    </w:rPr>
  </w:style>
  <w:style w:type="paragraph" w:customStyle="1" w:styleId="3236">
    <w:name w:val="样式 表格内容 + 居中"/>
    <w:basedOn w:val="1006"/>
    <w:autoRedefine/>
    <w:qFormat/>
    <w:uiPriority w:val="0"/>
    <w:pPr>
      <w:widowControl/>
      <w:autoSpaceDE/>
      <w:autoSpaceDN/>
      <w:adjustRightInd/>
      <w:spacing w:line="300" w:lineRule="exact"/>
      <w:jc w:val="center"/>
    </w:pPr>
    <w:rPr>
      <w:rFonts w:ascii="Times New Roman" w:eastAsia="楷体_GB2312" w:cs="宋体"/>
      <w:szCs w:val="20"/>
    </w:rPr>
  </w:style>
  <w:style w:type="paragraph" w:customStyle="1" w:styleId="3237">
    <w:name w:val="正文(黑体)"/>
    <w:basedOn w:val="1"/>
    <w:autoRedefine/>
    <w:qFormat/>
    <w:uiPriority w:val="0"/>
    <w:pPr>
      <w:autoSpaceDE w:val="0"/>
      <w:autoSpaceDN w:val="0"/>
      <w:adjustRightInd w:val="0"/>
      <w:spacing w:line="288" w:lineRule="auto"/>
      <w:ind w:firstLine="482"/>
      <w:textAlignment w:val="baseline"/>
    </w:pPr>
    <w:rPr>
      <w:rFonts w:ascii="黑体" w:hAnsi="黑体" w:eastAsia="仿宋_GB2312"/>
      <w:kern w:val="0"/>
      <w:szCs w:val="20"/>
    </w:rPr>
  </w:style>
  <w:style w:type="paragraph" w:customStyle="1" w:styleId="3238">
    <w:name w:val="样式 标题 2 + 仿宋_GB2312"/>
    <w:basedOn w:val="4"/>
    <w:autoRedefine/>
    <w:qFormat/>
    <w:uiPriority w:val="0"/>
    <w:pPr>
      <w:keepNext w:val="0"/>
      <w:keepLines w:val="0"/>
      <w:tabs>
        <w:tab w:val="clear" w:pos="1276"/>
      </w:tabs>
      <w:adjustRightInd/>
      <w:spacing w:before="160" w:after="160"/>
      <w:ind w:left="0"/>
      <w:contextualSpacing/>
      <w:textAlignment w:val="auto"/>
    </w:pPr>
    <w:rPr>
      <w:rFonts w:ascii="仿宋_GB2312" w:hAnsi="Times New Roman" w:eastAsia="仿宋_GB2312"/>
      <w:b w:val="0"/>
      <w:bCs/>
      <w:sz w:val="32"/>
      <w:szCs w:val="28"/>
      <w:lang w:val="zh-CN"/>
    </w:rPr>
  </w:style>
  <w:style w:type="paragraph" w:customStyle="1" w:styleId="3239">
    <w:name w:val="样式 标题 3 + 仿宋_GB2312"/>
    <w:basedOn w:val="5"/>
    <w:autoRedefine/>
    <w:qFormat/>
    <w:uiPriority w:val="0"/>
    <w:pPr>
      <w:widowControl/>
      <w:tabs>
        <w:tab w:val="left" w:pos="7088"/>
      </w:tabs>
      <w:adjustRightInd w:val="0"/>
      <w:spacing w:beforeLines="50" w:after="160" w:line="240" w:lineRule="auto"/>
      <w:jc w:val="left"/>
    </w:pPr>
    <w:rPr>
      <w:rFonts w:ascii="仿宋_GB2312" w:hAnsi="Times New Roman" w:eastAsia="仿宋_GB2312" w:cs="Times New Roman"/>
      <w:color w:val="000000"/>
      <w:sz w:val="30"/>
      <w:szCs w:val="30"/>
      <w:lang w:val="zh-CN"/>
    </w:rPr>
  </w:style>
  <w:style w:type="paragraph" w:customStyle="1" w:styleId="3240">
    <w:name w:val="样式 标题 3 + 仿宋_GB23121"/>
    <w:basedOn w:val="5"/>
    <w:autoRedefine/>
    <w:qFormat/>
    <w:uiPriority w:val="0"/>
    <w:pPr>
      <w:widowControl/>
      <w:tabs>
        <w:tab w:val="left" w:pos="7088"/>
      </w:tabs>
      <w:adjustRightInd w:val="0"/>
      <w:spacing w:beforeLines="50" w:after="160" w:line="240" w:lineRule="auto"/>
      <w:jc w:val="left"/>
    </w:pPr>
    <w:rPr>
      <w:rFonts w:ascii="仿宋_GB2312" w:hAnsi="Times New Roman" w:eastAsia="仿宋_GB2312" w:cs="Times New Roman"/>
      <w:color w:val="000000"/>
      <w:sz w:val="30"/>
      <w:szCs w:val="30"/>
      <w:lang w:val="zh-CN"/>
    </w:rPr>
  </w:style>
  <w:style w:type="paragraph" w:customStyle="1" w:styleId="3241">
    <w:name w:val="样式 正文 首行缩进:  2 字符 Char + 红色"/>
    <w:basedOn w:val="1"/>
    <w:autoRedefine/>
    <w:qFormat/>
    <w:uiPriority w:val="0"/>
    <w:pPr>
      <w:spacing w:line="520" w:lineRule="exact"/>
    </w:pPr>
    <w:rPr>
      <w:rFonts w:eastAsia="仿宋_GB2312"/>
      <w:color w:val="FF0000"/>
      <w:kern w:val="0"/>
      <w:szCs w:val="48"/>
    </w:rPr>
  </w:style>
  <w:style w:type="paragraph" w:customStyle="1" w:styleId="3242">
    <w:name w:val="td_01"/>
    <w:basedOn w:val="1"/>
    <w:autoRedefine/>
    <w:qFormat/>
    <w:uiPriority w:val="0"/>
    <w:pPr>
      <w:widowControl/>
      <w:spacing w:before="100" w:beforeAutospacing="1" w:after="100" w:afterAutospacing="1" w:line="335" w:lineRule="atLeast"/>
      <w:jc w:val="left"/>
    </w:pPr>
    <w:rPr>
      <w:rFonts w:eastAsia="仿宋_GB2312" w:cs="宋体"/>
      <w:color w:val="000000"/>
      <w:kern w:val="0"/>
      <w:sz w:val="20"/>
      <w:szCs w:val="20"/>
    </w:rPr>
  </w:style>
  <w:style w:type="paragraph" w:customStyle="1" w:styleId="3243">
    <w:name w:val="news"/>
    <w:basedOn w:val="1"/>
    <w:autoRedefine/>
    <w:qFormat/>
    <w:uiPriority w:val="0"/>
    <w:pPr>
      <w:widowControl/>
      <w:spacing w:before="100" w:beforeAutospacing="1" w:after="100" w:afterAutospacing="1"/>
      <w:jc w:val="left"/>
    </w:pPr>
    <w:rPr>
      <w:rFonts w:eastAsia="仿宋_GB2312"/>
      <w:kern w:val="0"/>
      <w:szCs w:val="21"/>
    </w:rPr>
  </w:style>
  <w:style w:type="paragraph" w:customStyle="1" w:styleId="3244">
    <w:name w:val="图表头"/>
    <w:basedOn w:val="1"/>
    <w:autoRedefine/>
    <w:qFormat/>
    <w:uiPriority w:val="0"/>
    <w:pPr>
      <w:adjustRightInd w:val="0"/>
      <w:spacing w:line="360" w:lineRule="auto"/>
      <w:jc w:val="center"/>
      <w:textAlignment w:val="baseline"/>
    </w:pPr>
    <w:rPr>
      <w:rFonts w:ascii="黑体" w:eastAsia="黑体"/>
      <w:spacing w:val="5"/>
      <w:kern w:val="0"/>
      <w:sz w:val="28"/>
      <w:szCs w:val="20"/>
    </w:rPr>
  </w:style>
  <w:style w:type="paragraph" w:customStyle="1" w:styleId="3245">
    <w:name w:val="标题 2+ 行距: 固定值 24 磅"/>
    <w:basedOn w:val="4"/>
    <w:autoRedefine/>
    <w:qFormat/>
    <w:uiPriority w:val="0"/>
    <w:pPr>
      <w:keepNext w:val="0"/>
      <w:keepLines w:val="0"/>
      <w:tabs>
        <w:tab w:val="clear" w:pos="1276"/>
      </w:tabs>
      <w:adjustRightInd/>
      <w:spacing w:before="260" w:after="260" w:line="480" w:lineRule="exact"/>
      <w:ind w:left="0"/>
      <w:contextualSpacing/>
      <w:jc w:val="both"/>
      <w:textAlignment w:val="auto"/>
    </w:pPr>
    <w:rPr>
      <w:bCs/>
      <w:sz w:val="32"/>
      <w:szCs w:val="32"/>
      <w:lang w:val="zh-CN"/>
    </w:rPr>
  </w:style>
  <w:style w:type="paragraph" w:customStyle="1" w:styleId="3246">
    <w:name w:val="宋体 首行缩进:  2 字符"/>
    <w:basedOn w:val="1"/>
    <w:autoRedefine/>
    <w:qFormat/>
    <w:uiPriority w:val="0"/>
    <w:pPr>
      <w:spacing w:line="360" w:lineRule="auto"/>
      <w:ind w:firstLine="200" w:firstLineChars="200"/>
    </w:pPr>
    <w:rPr>
      <w:rFonts w:eastAsia="仿宋_GB2312"/>
      <w:kern w:val="0"/>
      <w:szCs w:val="20"/>
    </w:rPr>
  </w:style>
  <w:style w:type="paragraph" w:customStyle="1" w:styleId="3247">
    <w:name w:val="文1"/>
    <w:basedOn w:val="1"/>
    <w:autoRedefine/>
    <w:qFormat/>
    <w:uiPriority w:val="0"/>
    <w:pPr>
      <w:snapToGrid w:val="0"/>
      <w:spacing w:line="360" w:lineRule="auto"/>
      <w:ind w:firstLine="567"/>
    </w:pPr>
    <w:rPr>
      <w:rFonts w:ascii="Arial" w:hAnsi="Arial" w:eastAsia="幼圆"/>
      <w:szCs w:val="20"/>
    </w:rPr>
  </w:style>
  <w:style w:type="paragraph" w:customStyle="1" w:styleId="3248">
    <w:name w:val="1 Char Char Char Char Char Char Char Char Char Char Char Char Char Char Char Char Char Char Char"/>
    <w:basedOn w:val="1"/>
    <w:autoRedefine/>
    <w:qFormat/>
    <w:uiPriority w:val="0"/>
    <w:pPr>
      <w:adjustRightInd w:val="0"/>
      <w:spacing w:line="360" w:lineRule="auto"/>
    </w:pPr>
    <w:rPr>
      <w:rFonts w:eastAsia="仿宋_GB2312"/>
      <w:kern w:val="0"/>
      <w:szCs w:val="20"/>
    </w:rPr>
  </w:style>
  <w:style w:type="paragraph" w:customStyle="1" w:styleId="3249">
    <w:name w:val="报告书"/>
    <w:basedOn w:val="1"/>
    <w:autoRedefine/>
    <w:qFormat/>
    <w:uiPriority w:val="0"/>
    <w:pPr>
      <w:spacing w:line="300" w:lineRule="auto"/>
      <w:ind w:firstLine="200" w:firstLineChars="200"/>
    </w:pPr>
    <w:rPr>
      <w:rFonts w:eastAsia="仿宋_GB2312"/>
      <w:szCs w:val="21"/>
    </w:rPr>
  </w:style>
  <w:style w:type="paragraph" w:customStyle="1" w:styleId="3250">
    <w:name w:val="11 Char Char Char Char"/>
    <w:basedOn w:val="1"/>
    <w:autoRedefine/>
    <w:qFormat/>
    <w:uiPriority w:val="0"/>
    <w:pPr>
      <w:snapToGrid w:val="0"/>
      <w:spacing w:line="360" w:lineRule="auto"/>
      <w:ind w:firstLine="200" w:firstLineChars="200"/>
    </w:pPr>
    <w:rPr>
      <w:rFonts w:eastAsia="仿宋_GB2312"/>
      <w:szCs w:val="21"/>
    </w:rPr>
  </w:style>
  <w:style w:type="paragraph" w:customStyle="1" w:styleId="3251">
    <w:name w:val="无缩进正文"/>
    <w:basedOn w:val="1"/>
    <w:autoRedefine/>
    <w:qFormat/>
    <w:uiPriority w:val="0"/>
    <w:pPr>
      <w:adjustRightInd w:val="0"/>
      <w:snapToGrid w:val="0"/>
      <w:spacing w:line="288" w:lineRule="auto"/>
      <w:jc w:val="center"/>
    </w:pPr>
    <w:rPr>
      <w:rFonts w:eastAsia="仿宋_GB2312"/>
      <w:kern w:val="0"/>
      <w:sz w:val="28"/>
      <w:szCs w:val="21"/>
    </w:rPr>
  </w:style>
  <w:style w:type="paragraph" w:customStyle="1" w:styleId="3252">
    <w:name w:val="表目录"/>
    <w:basedOn w:val="1"/>
    <w:autoRedefine/>
    <w:qFormat/>
    <w:uiPriority w:val="0"/>
    <w:pPr>
      <w:adjustRightInd w:val="0"/>
      <w:snapToGrid w:val="0"/>
      <w:spacing w:line="360" w:lineRule="auto"/>
    </w:pPr>
    <w:rPr>
      <w:rFonts w:ascii="黑体" w:eastAsia="黑体"/>
      <w:sz w:val="28"/>
      <w:szCs w:val="20"/>
    </w:rPr>
  </w:style>
  <w:style w:type="paragraph" w:customStyle="1" w:styleId="3253">
    <w:name w:val="11 Char Char Char Char Char Char Char Char Char Char Char Char Char Char Char1 Char Char Char1 Char"/>
    <w:basedOn w:val="1"/>
    <w:autoRedefine/>
    <w:qFormat/>
    <w:uiPriority w:val="0"/>
    <w:pPr>
      <w:snapToGrid w:val="0"/>
      <w:spacing w:line="360" w:lineRule="auto"/>
      <w:ind w:firstLine="200" w:firstLineChars="200"/>
    </w:pPr>
    <w:rPr>
      <w:rFonts w:eastAsia="仿宋_GB2312"/>
      <w:szCs w:val="21"/>
    </w:rPr>
  </w:style>
  <w:style w:type="paragraph" w:customStyle="1" w:styleId="3254">
    <w:name w:val="105v"/>
    <w:basedOn w:val="1"/>
    <w:autoRedefine/>
    <w:qFormat/>
    <w:uiPriority w:val="0"/>
    <w:pPr>
      <w:widowControl/>
      <w:spacing w:before="100" w:beforeAutospacing="1" w:after="100" w:afterAutospacing="1"/>
      <w:jc w:val="left"/>
    </w:pPr>
    <w:rPr>
      <w:rFonts w:eastAsia="仿宋_GB2312" w:cs="宋体"/>
      <w:kern w:val="0"/>
      <w:sz w:val="28"/>
      <w:szCs w:val="21"/>
    </w:rPr>
  </w:style>
  <w:style w:type="paragraph" w:customStyle="1" w:styleId="3255">
    <w:name w:val="岳阳用"/>
    <w:basedOn w:val="1"/>
    <w:autoRedefine/>
    <w:qFormat/>
    <w:uiPriority w:val="0"/>
    <w:pPr>
      <w:spacing w:line="400" w:lineRule="atLeast"/>
      <w:ind w:firstLine="644"/>
      <w:jc w:val="left"/>
    </w:pPr>
    <w:rPr>
      <w:rFonts w:ascii="仿宋_GB2312" w:hAnsi="仿宋_GB2312" w:eastAsia="仿宋_GB2312"/>
      <w:spacing w:val="21"/>
      <w:kern w:val="0"/>
      <w:sz w:val="28"/>
      <w:szCs w:val="20"/>
    </w:rPr>
  </w:style>
  <w:style w:type="paragraph" w:customStyle="1" w:styleId="3256">
    <w:name w:val="Char1 Char Char Char Char Char1 Char1"/>
    <w:basedOn w:val="1"/>
    <w:autoRedefine/>
    <w:qFormat/>
    <w:uiPriority w:val="0"/>
    <w:rPr>
      <w:rFonts w:eastAsia="仿宋_GB2312"/>
      <w:sz w:val="28"/>
      <w:szCs w:val="21"/>
    </w:rPr>
  </w:style>
  <w:style w:type="paragraph" w:customStyle="1" w:styleId="3257">
    <w:name w:val="Char Char Char1 Char Char Char Char Char Char Char Char Char Char1"/>
    <w:basedOn w:val="1"/>
    <w:autoRedefine/>
    <w:qFormat/>
    <w:uiPriority w:val="0"/>
    <w:rPr>
      <w:rFonts w:eastAsia="仿宋_GB2312"/>
      <w:sz w:val="28"/>
      <w:szCs w:val="21"/>
    </w:rPr>
  </w:style>
  <w:style w:type="paragraph" w:customStyle="1" w:styleId="3258">
    <w:name w:val="Char Char Char Char Char Char Char Char Char Char Char1 Char Char Char Char Char Char Char1"/>
    <w:basedOn w:val="1"/>
    <w:autoRedefine/>
    <w:qFormat/>
    <w:uiPriority w:val="0"/>
    <w:rPr>
      <w:rFonts w:eastAsia="仿宋_GB2312"/>
      <w:sz w:val="28"/>
      <w:szCs w:val="21"/>
    </w:rPr>
  </w:style>
  <w:style w:type="paragraph" w:customStyle="1" w:styleId="3259">
    <w:name w:val="Char Char Char Char Char Char Char Char Char1 Char1"/>
    <w:basedOn w:val="1"/>
    <w:autoRedefine/>
    <w:qFormat/>
    <w:uiPriority w:val="0"/>
    <w:rPr>
      <w:rFonts w:eastAsia="仿宋_GB2312"/>
      <w:sz w:val="28"/>
      <w:szCs w:val="21"/>
    </w:rPr>
  </w:style>
  <w:style w:type="paragraph" w:customStyle="1" w:styleId="3260">
    <w:name w:val="Char Char Char Char Char Char Char Char Char Char11"/>
    <w:basedOn w:val="1"/>
    <w:autoRedefine/>
    <w:qFormat/>
    <w:uiPriority w:val="0"/>
    <w:rPr>
      <w:rFonts w:eastAsia="仿宋_GB2312"/>
      <w:sz w:val="28"/>
      <w:szCs w:val="21"/>
    </w:rPr>
  </w:style>
  <w:style w:type="paragraph" w:customStyle="1" w:styleId="3261">
    <w:name w:val="Char Char Char Char Char Char Char1 Char Char Char Char Char Char1"/>
    <w:basedOn w:val="1"/>
    <w:autoRedefine/>
    <w:qFormat/>
    <w:uiPriority w:val="0"/>
    <w:rPr>
      <w:rFonts w:eastAsia="仿宋_GB2312"/>
      <w:sz w:val="28"/>
      <w:szCs w:val="21"/>
    </w:rPr>
  </w:style>
  <w:style w:type="paragraph" w:customStyle="1" w:styleId="3262">
    <w:name w:val="Char Char1 Char Char Char Char Char Char1"/>
    <w:basedOn w:val="1"/>
    <w:autoRedefine/>
    <w:qFormat/>
    <w:uiPriority w:val="0"/>
    <w:rPr>
      <w:rFonts w:eastAsia="仿宋_GB2312"/>
      <w:sz w:val="28"/>
      <w:szCs w:val="21"/>
    </w:rPr>
  </w:style>
  <w:style w:type="paragraph" w:customStyle="1" w:styleId="3263">
    <w:name w:val="Char Char Char Char Char Char Char Char Char Char Char Char Char Char Char Char Char Char Char Char Char Char Char Char1"/>
    <w:basedOn w:val="1"/>
    <w:autoRedefine/>
    <w:qFormat/>
    <w:uiPriority w:val="0"/>
    <w:rPr>
      <w:rFonts w:eastAsia="仿宋_GB2312"/>
      <w:sz w:val="28"/>
      <w:szCs w:val="21"/>
    </w:rPr>
  </w:style>
  <w:style w:type="paragraph" w:customStyle="1" w:styleId="3264">
    <w:name w:val="表尾"/>
    <w:basedOn w:val="1"/>
    <w:next w:val="1"/>
    <w:autoRedefine/>
    <w:qFormat/>
    <w:uiPriority w:val="0"/>
    <w:pPr>
      <w:ind w:right="28"/>
      <w:jc w:val="left"/>
    </w:pPr>
    <w:rPr>
      <w:rFonts w:eastAsia="仿宋_GB2312"/>
      <w:snapToGrid w:val="0"/>
      <w:color w:val="FF0000"/>
      <w:sz w:val="18"/>
      <w:szCs w:val="18"/>
    </w:rPr>
  </w:style>
  <w:style w:type="paragraph" w:customStyle="1" w:styleId="3265">
    <w:name w:val="页脚11"/>
    <w:basedOn w:val="1"/>
    <w:autoRedefine/>
    <w:qFormat/>
    <w:uiPriority w:val="0"/>
    <w:pPr>
      <w:widowControl/>
      <w:spacing w:before="100" w:beforeAutospacing="1" w:after="100" w:afterAutospacing="1"/>
      <w:jc w:val="left"/>
    </w:pPr>
    <w:rPr>
      <w:rFonts w:eastAsia="仿宋_GB2312"/>
      <w:vanish/>
      <w:kern w:val="0"/>
      <w:sz w:val="16"/>
      <w:szCs w:val="16"/>
    </w:rPr>
  </w:style>
  <w:style w:type="paragraph" w:customStyle="1" w:styleId="3266">
    <w:name w:val="Char Char Char Char Char Char Char Char Char Char Char2"/>
    <w:basedOn w:val="1"/>
    <w:autoRedefine/>
    <w:qFormat/>
    <w:uiPriority w:val="0"/>
    <w:rPr>
      <w:rFonts w:eastAsia="仿宋_GB2312"/>
      <w:sz w:val="28"/>
      <w:szCs w:val="21"/>
    </w:rPr>
  </w:style>
  <w:style w:type="paragraph" w:customStyle="1" w:styleId="3267">
    <w:name w:val="报告书正文 Char Char Char1"/>
    <w:basedOn w:val="1"/>
    <w:autoRedefine/>
    <w:qFormat/>
    <w:uiPriority w:val="0"/>
    <w:pPr>
      <w:spacing w:line="300" w:lineRule="auto"/>
      <w:ind w:firstLine="200" w:firstLineChars="200"/>
    </w:pPr>
    <w:rPr>
      <w:rFonts w:eastAsia="仿宋_GB2312"/>
      <w:szCs w:val="21"/>
    </w:rPr>
  </w:style>
  <w:style w:type="paragraph" w:customStyle="1" w:styleId="3268">
    <w:name w:val="Char Char Char Char Char Char Char Char Char Char Char11"/>
    <w:basedOn w:val="1"/>
    <w:autoRedefine/>
    <w:qFormat/>
    <w:uiPriority w:val="0"/>
    <w:rPr>
      <w:rFonts w:eastAsia="仿宋_GB2312"/>
      <w:sz w:val="28"/>
      <w:szCs w:val="21"/>
    </w:rPr>
  </w:style>
  <w:style w:type="paragraph" w:customStyle="1" w:styleId="3269">
    <w:name w:val="Char Char Char Char Char Char Char Char Char Char Char Char Char Char Char1"/>
    <w:basedOn w:val="1"/>
    <w:autoRedefine/>
    <w:qFormat/>
    <w:uiPriority w:val="0"/>
    <w:rPr>
      <w:rFonts w:eastAsia="仿宋_GB2312"/>
      <w:sz w:val="28"/>
      <w:szCs w:val="21"/>
    </w:rPr>
  </w:style>
  <w:style w:type="paragraph" w:customStyle="1" w:styleId="3270">
    <w:name w:val="正文61"/>
    <w:autoRedefine/>
    <w:qFormat/>
    <w:uiPriority w:val="0"/>
    <w:pPr>
      <w:widowControl w:val="0"/>
      <w:adjustRightInd w:val="0"/>
      <w:spacing w:line="307" w:lineRule="atLeast"/>
      <w:jc w:val="both"/>
      <w:textAlignment w:val="baseline"/>
    </w:pPr>
    <w:rPr>
      <w:rFonts w:ascii="宋体" w:hAnsi="Times New Roman" w:eastAsia="仿宋_GB2312" w:cs="宋体"/>
      <w:sz w:val="18"/>
      <w:szCs w:val="21"/>
      <w:lang w:val="en-US" w:eastAsia="zh-CN" w:bidi="ar-SA"/>
    </w:rPr>
  </w:style>
  <w:style w:type="paragraph" w:customStyle="1" w:styleId="3271">
    <w:name w:val="样式 样式 样式 样式 Times 四号 行距: 固定值 24 磅 + 首行缩进:  1.75 字符 + 首行缩进:  1.75..."/>
    <w:basedOn w:val="1"/>
    <w:autoRedefine/>
    <w:qFormat/>
    <w:uiPriority w:val="0"/>
    <w:pPr>
      <w:spacing w:line="480" w:lineRule="exact"/>
      <w:ind w:firstLine="200" w:firstLineChars="200"/>
    </w:pPr>
    <w:rPr>
      <w:rFonts w:eastAsia="仿宋_GB2312" w:cs="宋体"/>
      <w:spacing w:val="14"/>
      <w:kern w:val="20"/>
      <w:sz w:val="28"/>
      <w:szCs w:val="20"/>
    </w:rPr>
  </w:style>
  <w:style w:type="paragraph" w:customStyle="1" w:styleId="3272">
    <w:name w:val="CM96"/>
    <w:basedOn w:val="112"/>
    <w:next w:val="112"/>
    <w:autoRedefine/>
    <w:qFormat/>
    <w:uiPriority w:val="0"/>
    <w:rPr>
      <w:rFonts w:ascii="宋体" w:cs="宋体"/>
      <w:color w:val="auto"/>
    </w:rPr>
  </w:style>
  <w:style w:type="paragraph" w:customStyle="1" w:styleId="3273">
    <w:name w:val="标题二"/>
    <w:basedOn w:val="1362"/>
    <w:autoRedefine/>
    <w:qFormat/>
    <w:uiPriority w:val="0"/>
    <w:pPr>
      <w:keepNext w:val="0"/>
      <w:keepLines w:val="0"/>
      <w:pageBreakBefore w:val="0"/>
      <w:tabs>
        <w:tab w:val="left" w:pos="570"/>
      </w:tabs>
      <w:spacing w:after="0" w:afterLines="0" w:line="240" w:lineRule="auto"/>
      <w:ind w:left="570" w:hanging="570"/>
      <w:jc w:val="center"/>
    </w:pPr>
    <w:rPr>
      <w:rFonts w:hAnsi="Times New Roman"/>
      <w:b w:val="0"/>
      <w:color w:val="000000"/>
      <w:kern w:val="2"/>
      <w:sz w:val="28"/>
      <w:szCs w:val="28"/>
    </w:rPr>
  </w:style>
  <w:style w:type="paragraph" w:customStyle="1" w:styleId="3274">
    <w:name w:val="自定1"/>
    <w:basedOn w:val="1"/>
    <w:autoRedefine/>
    <w:qFormat/>
    <w:uiPriority w:val="0"/>
    <w:pPr>
      <w:spacing w:line="360" w:lineRule="auto"/>
      <w:ind w:left="200" w:leftChars="200" w:firstLine="200" w:firstLineChars="200"/>
    </w:pPr>
    <w:rPr>
      <w:rFonts w:eastAsia="仿宋_GB2312"/>
      <w:color w:val="000000"/>
      <w:szCs w:val="21"/>
    </w:rPr>
  </w:style>
  <w:style w:type="paragraph" w:customStyle="1" w:styleId="3275">
    <w:name w:val="样式 标题 3标题 3 Char Char Char标题 3 Char Charh3H3level_3PIM 3L..."/>
    <w:basedOn w:val="5"/>
    <w:autoRedefine/>
    <w:qFormat/>
    <w:uiPriority w:val="0"/>
    <w:pPr>
      <w:keepLines w:val="0"/>
      <w:tabs>
        <w:tab w:val="left" w:pos="7088"/>
      </w:tabs>
      <w:adjustRightInd w:val="0"/>
      <w:spacing w:beforeLines="50" w:after="0" w:line="500" w:lineRule="exact"/>
      <w:ind w:firstLine="200" w:firstLineChars="200"/>
    </w:pPr>
    <w:rPr>
      <w:rFonts w:ascii="宋体" w:hAnsi="Times New Roman" w:eastAsia="仿宋_GB2312" w:cs="宋体"/>
      <w:sz w:val="30"/>
      <w:szCs w:val="20"/>
      <w:lang w:val="zh-CN"/>
    </w:rPr>
  </w:style>
  <w:style w:type="paragraph" w:customStyle="1" w:styleId="3276">
    <w:name w:val="样式 样式 标题 3标题 3 Char Char Char标题 3 Char Charh3H3level_3PIM 3L... ..."/>
    <w:basedOn w:val="3275"/>
    <w:autoRedefine/>
    <w:qFormat/>
    <w:uiPriority w:val="0"/>
    <w:rPr>
      <w:rFonts w:eastAsia="黑体"/>
    </w:rPr>
  </w:style>
  <w:style w:type="paragraph" w:customStyle="1" w:styleId="3277">
    <w:name w:val="样式 标题 3标题 3 Char Char Char标题 3 Char Charh3H3level_3PIM 3L...2"/>
    <w:basedOn w:val="5"/>
    <w:autoRedefine/>
    <w:qFormat/>
    <w:uiPriority w:val="0"/>
    <w:pPr>
      <w:keepLines w:val="0"/>
      <w:tabs>
        <w:tab w:val="left" w:pos="7088"/>
      </w:tabs>
      <w:adjustRightInd w:val="0"/>
      <w:spacing w:beforeLines="50" w:after="0" w:line="500" w:lineRule="exact"/>
      <w:ind w:left="200" w:hanging="200" w:hangingChars="200"/>
    </w:pPr>
    <w:rPr>
      <w:rFonts w:ascii="宋体" w:hAnsi="Times New Roman" w:eastAsia="黑体" w:cs="宋体"/>
      <w:sz w:val="28"/>
      <w:szCs w:val="24"/>
      <w:lang w:val="zh-CN"/>
    </w:rPr>
  </w:style>
  <w:style w:type="paragraph" w:customStyle="1" w:styleId="3278">
    <w:name w:val="CM100"/>
    <w:basedOn w:val="112"/>
    <w:next w:val="112"/>
    <w:autoRedefine/>
    <w:qFormat/>
    <w:uiPriority w:val="0"/>
    <w:rPr>
      <w:rFonts w:ascii="宋体" w:cs="宋体"/>
      <w:color w:val="auto"/>
    </w:rPr>
  </w:style>
  <w:style w:type="paragraph" w:customStyle="1" w:styleId="3279">
    <w:name w:val="样式 标题 3标题 3 Char Char Char标题 3 Char Charh3H3level_3PIM 3L...3"/>
    <w:basedOn w:val="5"/>
    <w:autoRedefine/>
    <w:qFormat/>
    <w:uiPriority w:val="0"/>
    <w:pPr>
      <w:keepLines w:val="0"/>
      <w:tabs>
        <w:tab w:val="left" w:pos="7088"/>
      </w:tabs>
      <w:adjustRightInd w:val="0"/>
      <w:spacing w:beforeLines="50" w:after="0" w:line="500" w:lineRule="exact"/>
      <w:ind w:firstLine="200" w:firstLineChars="200"/>
    </w:pPr>
    <w:rPr>
      <w:rFonts w:ascii="宋体" w:hAnsi="Times New Roman" w:eastAsia="黑体" w:cs="宋体"/>
      <w:sz w:val="30"/>
      <w:szCs w:val="20"/>
      <w:lang w:val="zh-CN"/>
    </w:rPr>
  </w:style>
  <w:style w:type="paragraph" w:customStyle="1" w:styleId="3280">
    <w:name w:val="样式 标题 3标题 3 Char Char Char标题 3 Char Charh3H3level_3PIM 3L...4"/>
    <w:basedOn w:val="5"/>
    <w:autoRedefine/>
    <w:qFormat/>
    <w:uiPriority w:val="0"/>
    <w:pPr>
      <w:keepLines w:val="0"/>
      <w:tabs>
        <w:tab w:val="left" w:pos="7088"/>
      </w:tabs>
      <w:adjustRightInd w:val="0"/>
      <w:spacing w:beforeLines="50" w:after="0" w:line="500" w:lineRule="exact"/>
    </w:pPr>
    <w:rPr>
      <w:rFonts w:ascii="宋体" w:hAnsi="Times New Roman" w:eastAsia="黑体" w:cs="宋体"/>
      <w:b w:val="0"/>
      <w:bCs w:val="0"/>
      <w:sz w:val="30"/>
      <w:szCs w:val="20"/>
      <w:lang w:val="zh-CN"/>
    </w:rPr>
  </w:style>
  <w:style w:type="paragraph" w:customStyle="1" w:styleId="3281">
    <w:name w:val="CM14"/>
    <w:basedOn w:val="112"/>
    <w:next w:val="112"/>
    <w:autoRedefine/>
    <w:qFormat/>
    <w:uiPriority w:val="0"/>
    <w:rPr>
      <w:rFonts w:ascii="宋体" w:cs="宋体"/>
      <w:color w:val="auto"/>
    </w:rPr>
  </w:style>
  <w:style w:type="paragraph" w:customStyle="1" w:styleId="3282">
    <w:name w:val="style14"/>
    <w:basedOn w:val="1"/>
    <w:autoRedefine/>
    <w:qFormat/>
    <w:uiPriority w:val="0"/>
    <w:pPr>
      <w:widowControl/>
      <w:spacing w:before="100" w:beforeAutospacing="1" w:after="100" w:afterAutospacing="1"/>
      <w:jc w:val="left"/>
    </w:pPr>
    <w:rPr>
      <w:rFonts w:eastAsia="仿宋_GB2312" w:cs="宋体"/>
      <w:b/>
      <w:bCs/>
      <w:color w:val="175B46"/>
      <w:kern w:val="0"/>
      <w:sz w:val="28"/>
      <w:szCs w:val="21"/>
    </w:rPr>
  </w:style>
  <w:style w:type="paragraph" w:customStyle="1" w:styleId="3283">
    <w:name w:val="CM95"/>
    <w:basedOn w:val="112"/>
    <w:next w:val="112"/>
    <w:autoRedefine/>
    <w:qFormat/>
    <w:uiPriority w:val="0"/>
    <w:rPr>
      <w:rFonts w:ascii="宋体" w:cs="宋体"/>
      <w:color w:val="auto"/>
    </w:rPr>
  </w:style>
  <w:style w:type="paragraph" w:customStyle="1" w:styleId="3284">
    <w:name w:val="样式4 宋体 Char"/>
    <w:basedOn w:val="1"/>
    <w:autoRedefine/>
    <w:qFormat/>
    <w:uiPriority w:val="0"/>
    <w:rPr>
      <w:rFonts w:eastAsia="仿宋_GB2312"/>
      <w:sz w:val="28"/>
      <w:szCs w:val="21"/>
    </w:rPr>
  </w:style>
  <w:style w:type="paragraph" w:customStyle="1" w:styleId="3285">
    <w:name w:val="样式 单学凯段落格式 + (西文) 宋体 首行缩进:  2 字符"/>
    <w:basedOn w:val="3150"/>
    <w:autoRedefine/>
    <w:qFormat/>
    <w:uiPriority w:val="0"/>
    <w:pPr>
      <w:adjustRightInd/>
      <w:snapToGrid/>
      <w:spacing w:line="500" w:lineRule="exact"/>
      <w:ind w:firstLine="200" w:firstLineChars="200"/>
    </w:pPr>
    <w:rPr>
      <w:b/>
      <w:iCs/>
      <w:snapToGrid/>
      <w:szCs w:val="20"/>
      <w:lang w:val="en-US"/>
    </w:rPr>
  </w:style>
  <w:style w:type="paragraph" w:customStyle="1" w:styleId="3286">
    <w:name w:val="样式 单学凯段落格式 + 首行缩进:  2 字符1"/>
    <w:basedOn w:val="3150"/>
    <w:autoRedefine/>
    <w:qFormat/>
    <w:uiPriority w:val="0"/>
    <w:pPr>
      <w:adjustRightInd/>
      <w:snapToGrid/>
      <w:spacing w:line="500" w:lineRule="exact"/>
      <w:ind w:firstLine="200" w:firstLineChars="200"/>
    </w:pPr>
    <w:rPr>
      <w:b/>
      <w:iCs/>
      <w:snapToGrid/>
      <w:szCs w:val="20"/>
      <w:lang w:val="en-US"/>
    </w:rPr>
  </w:style>
  <w:style w:type="paragraph" w:customStyle="1" w:styleId="3287">
    <w:name w:val="标题4新"/>
    <w:basedOn w:val="35"/>
    <w:autoRedefine/>
    <w:qFormat/>
    <w:uiPriority w:val="0"/>
    <w:pPr>
      <w:snapToGrid/>
      <w:spacing w:before="0" w:line="560" w:lineRule="exact"/>
      <w:ind w:firstLine="0"/>
      <w:outlineLvl w:val="3"/>
    </w:pPr>
    <w:rPr>
      <w:rFonts w:ascii="宋体" w:eastAsia="仿宋_GB2312"/>
      <w:bCs/>
      <w:sz w:val="28"/>
      <w:lang w:val="zh-CN"/>
    </w:rPr>
  </w:style>
  <w:style w:type="paragraph" w:customStyle="1" w:styleId="3288">
    <w:name w:val="样式 标题 1章标题 1h11st levelSection Headl1b1-*+标题 1章ChH1PI...2"/>
    <w:basedOn w:val="3"/>
    <w:autoRedefine/>
    <w:qFormat/>
    <w:uiPriority w:val="0"/>
    <w:pPr>
      <w:spacing w:before="0" w:after="0" w:line="360" w:lineRule="auto"/>
      <w:jc w:val="center"/>
    </w:pPr>
    <w:rPr>
      <w:rFonts w:ascii="宋体" w:eastAsia="黑体" w:cs="宋体"/>
      <w:bCs/>
      <w:sz w:val="32"/>
      <w:lang w:val="zh-CN"/>
    </w:rPr>
  </w:style>
  <w:style w:type="paragraph" w:customStyle="1" w:styleId="3289">
    <w:name w:val="CM99"/>
    <w:basedOn w:val="112"/>
    <w:next w:val="112"/>
    <w:autoRedefine/>
    <w:qFormat/>
    <w:uiPriority w:val="0"/>
    <w:rPr>
      <w:rFonts w:ascii="宋体" w:cs="宋体"/>
      <w:color w:val="auto"/>
    </w:rPr>
  </w:style>
  <w:style w:type="paragraph" w:customStyle="1" w:styleId="3290">
    <w:name w:val="标题2新"/>
    <w:basedOn w:val="4"/>
    <w:autoRedefine/>
    <w:qFormat/>
    <w:uiPriority w:val="0"/>
    <w:pPr>
      <w:keepNext w:val="0"/>
      <w:keepLines w:val="0"/>
      <w:tabs>
        <w:tab w:val="clear" w:pos="1276"/>
      </w:tabs>
      <w:adjustRightInd/>
      <w:spacing w:before="0" w:after="0" w:line="560" w:lineRule="exact"/>
      <w:ind w:left="0"/>
      <w:contextualSpacing/>
      <w:jc w:val="center"/>
      <w:textAlignment w:val="auto"/>
    </w:pPr>
    <w:rPr>
      <w:rFonts w:ascii="楷体" w:hAnsi="Times New Roman" w:eastAsia="楷体"/>
      <w:b w:val="0"/>
      <w:bCs/>
      <w:sz w:val="32"/>
      <w:szCs w:val="32"/>
      <w:lang w:val="zh-CN"/>
    </w:rPr>
  </w:style>
  <w:style w:type="paragraph" w:customStyle="1" w:styleId="3291">
    <w:name w:val="CM108"/>
    <w:basedOn w:val="112"/>
    <w:next w:val="112"/>
    <w:autoRedefine/>
    <w:qFormat/>
    <w:uiPriority w:val="0"/>
    <w:rPr>
      <w:rFonts w:ascii="宋体" w:cs="宋体"/>
      <w:color w:val="auto"/>
    </w:rPr>
  </w:style>
  <w:style w:type="paragraph" w:customStyle="1" w:styleId="3292">
    <w:name w:val="标题4改"/>
    <w:basedOn w:val="1"/>
    <w:autoRedefine/>
    <w:qFormat/>
    <w:uiPriority w:val="0"/>
    <w:pPr>
      <w:spacing w:line="560" w:lineRule="exact"/>
      <w:ind w:firstLine="200" w:firstLineChars="200"/>
      <w:outlineLvl w:val="3"/>
    </w:pPr>
    <w:rPr>
      <w:rFonts w:ascii="黑体" w:eastAsia="黑体"/>
      <w:sz w:val="28"/>
      <w:szCs w:val="28"/>
    </w:rPr>
  </w:style>
  <w:style w:type="paragraph" w:customStyle="1" w:styleId="3293">
    <w:name w:val="chem005"/>
    <w:basedOn w:val="1"/>
    <w:autoRedefine/>
    <w:qFormat/>
    <w:uiPriority w:val="0"/>
    <w:pPr>
      <w:widowControl/>
      <w:spacing w:before="100" w:beforeAutospacing="1" w:after="100" w:afterAutospacing="1" w:line="375" w:lineRule="atLeast"/>
      <w:jc w:val="left"/>
    </w:pPr>
    <w:rPr>
      <w:rFonts w:eastAsia="仿宋_GB2312" w:cs="宋体"/>
      <w:color w:val="000000"/>
      <w:kern w:val="0"/>
      <w:sz w:val="30"/>
      <w:szCs w:val="30"/>
    </w:rPr>
  </w:style>
  <w:style w:type="paragraph" w:customStyle="1" w:styleId="3294">
    <w:name w:val="tab"/>
    <w:basedOn w:val="1"/>
    <w:autoRedefine/>
    <w:qFormat/>
    <w:uiPriority w:val="0"/>
    <w:pPr>
      <w:widowControl/>
      <w:spacing w:line="300" w:lineRule="atLeast"/>
      <w:jc w:val="left"/>
    </w:pPr>
    <w:rPr>
      <w:rFonts w:ascii="ˎ̥" w:hAnsi="ˎ̥" w:eastAsia="仿宋_GB2312" w:cs="宋体"/>
      <w:kern w:val="0"/>
      <w:szCs w:val="21"/>
    </w:rPr>
  </w:style>
  <w:style w:type="paragraph" w:customStyle="1" w:styleId="3295">
    <w:name w:val="CM109"/>
    <w:basedOn w:val="112"/>
    <w:next w:val="112"/>
    <w:autoRedefine/>
    <w:qFormat/>
    <w:uiPriority w:val="0"/>
    <w:rPr>
      <w:rFonts w:ascii="宋体" w:cs="宋体"/>
      <w:color w:val="auto"/>
    </w:rPr>
  </w:style>
  <w:style w:type="paragraph" w:customStyle="1" w:styleId="3296">
    <w:name w:val="样式 标题 3标题 3 Char Char Char标题 3 Char Charh3H3level_3PIM 3L...5"/>
    <w:basedOn w:val="5"/>
    <w:autoRedefine/>
    <w:qFormat/>
    <w:uiPriority w:val="0"/>
    <w:pPr>
      <w:tabs>
        <w:tab w:val="left" w:pos="7088"/>
      </w:tabs>
      <w:adjustRightInd w:val="0"/>
      <w:spacing w:beforeLines="50" w:after="0" w:line="360" w:lineRule="auto"/>
      <w:ind w:firstLine="200" w:firstLineChars="200"/>
    </w:pPr>
    <w:rPr>
      <w:rFonts w:ascii="黑体" w:hAnsi="Times New Roman" w:eastAsia="黑体" w:cs="宋体"/>
      <w:b w:val="0"/>
      <w:bCs w:val="0"/>
      <w:color w:val="000000"/>
      <w:sz w:val="30"/>
      <w:szCs w:val="20"/>
      <w:lang w:val="zh-CN"/>
    </w:rPr>
  </w:style>
  <w:style w:type="paragraph" w:customStyle="1" w:styleId="3297">
    <w:name w:val="样式 标题 3标题 3 Char Char Char标题 3 Char Charh3H3level_3PIM 3L...6"/>
    <w:basedOn w:val="5"/>
    <w:autoRedefine/>
    <w:qFormat/>
    <w:uiPriority w:val="0"/>
    <w:pPr>
      <w:tabs>
        <w:tab w:val="left" w:pos="7088"/>
      </w:tabs>
      <w:adjustRightInd w:val="0"/>
      <w:spacing w:beforeLines="50" w:after="0" w:line="240" w:lineRule="auto"/>
      <w:ind w:firstLine="200" w:firstLineChars="200"/>
    </w:pPr>
    <w:rPr>
      <w:rFonts w:ascii="黑体" w:hAnsi="Times New Roman" w:eastAsia="黑体" w:cs="Times New Roman"/>
      <w:b w:val="0"/>
      <w:bCs w:val="0"/>
      <w:color w:val="000000"/>
      <w:sz w:val="30"/>
      <w:lang w:val="zh-CN"/>
    </w:rPr>
  </w:style>
  <w:style w:type="paragraph" w:customStyle="1" w:styleId="3298">
    <w:name w:val="CM106"/>
    <w:basedOn w:val="112"/>
    <w:next w:val="112"/>
    <w:autoRedefine/>
    <w:qFormat/>
    <w:uiPriority w:val="0"/>
    <w:rPr>
      <w:rFonts w:ascii="宋体" w:cs="宋体"/>
      <w:color w:val="auto"/>
    </w:rPr>
  </w:style>
  <w:style w:type="paragraph" w:customStyle="1" w:styleId="3299">
    <w:name w:val="样式 标题 3标题 3 Char Char Char标题 3 Char Charh3H3level_3PIM 3L...7"/>
    <w:basedOn w:val="5"/>
    <w:autoRedefine/>
    <w:qFormat/>
    <w:uiPriority w:val="0"/>
    <w:pPr>
      <w:tabs>
        <w:tab w:val="left" w:pos="7088"/>
      </w:tabs>
      <w:adjustRightInd w:val="0"/>
      <w:spacing w:beforeLines="50" w:after="0" w:line="360" w:lineRule="auto"/>
      <w:ind w:firstLine="200" w:firstLineChars="200"/>
    </w:pPr>
    <w:rPr>
      <w:rFonts w:ascii="黑体" w:hAnsi="Times New Roman" w:eastAsia="黑体" w:cs="宋体"/>
      <w:b w:val="0"/>
      <w:bCs w:val="0"/>
      <w:color w:val="000000"/>
      <w:sz w:val="30"/>
      <w:szCs w:val="20"/>
      <w:lang w:val="zh-CN"/>
    </w:rPr>
  </w:style>
  <w:style w:type="paragraph" w:customStyle="1" w:styleId="3300">
    <w:name w:val="样式 宋体 13.5 磅 黑色 行距: 固定值 25 磅"/>
    <w:basedOn w:val="1"/>
    <w:autoRedefine/>
    <w:qFormat/>
    <w:uiPriority w:val="0"/>
    <w:pPr>
      <w:spacing w:line="500" w:lineRule="exact"/>
      <w:ind w:firstLine="200" w:firstLineChars="200"/>
    </w:pPr>
    <w:rPr>
      <w:rFonts w:eastAsia="仿宋_GB2312"/>
      <w:color w:val="000000"/>
      <w:sz w:val="28"/>
      <w:szCs w:val="28"/>
    </w:rPr>
  </w:style>
  <w:style w:type="paragraph" w:customStyle="1" w:styleId="3301">
    <w:name w:val="样式 样式 小四 行距: 固定值 24 磅 + 首行缩进:  2 字符"/>
    <w:basedOn w:val="1"/>
    <w:autoRedefine/>
    <w:qFormat/>
    <w:uiPriority w:val="0"/>
    <w:pPr>
      <w:spacing w:line="500" w:lineRule="exact"/>
      <w:ind w:firstLine="200" w:firstLineChars="200"/>
    </w:pPr>
    <w:rPr>
      <w:rFonts w:eastAsia="仿宋_GB2312"/>
      <w:szCs w:val="20"/>
    </w:rPr>
  </w:style>
  <w:style w:type="paragraph" w:customStyle="1" w:styleId="3302">
    <w:name w:val="样式 标题 3 + 左侧:  0 厘米"/>
    <w:basedOn w:val="39"/>
    <w:autoRedefine/>
    <w:qFormat/>
    <w:uiPriority w:val="0"/>
    <w:pPr>
      <w:tabs>
        <w:tab w:val="left" w:pos="1680"/>
      </w:tabs>
      <w:adjustRightInd/>
      <w:spacing w:after="0" w:line="360" w:lineRule="auto"/>
      <w:ind w:left="3360" w:leftChars="0" w:right="-200" w:rightChars="-200" w:hanging="420"/>
      <w:textAlignment w:val="auto"/>
    </w:pPr>
    <w:rPr>
      <w:rFonts w:ascii="Times New Roman" w:eastAsia="仿宋_GB2312"/>
      <w:spacing w:val="0"/>
      <w:kern w:val="2"/>
      <w:sz w:val="21"/>
    </w:rPr>
  </w:style>
  <w:style w:type="paragraph" w:customStyle="1" w:styleId="3303">
    <w:name w:val="标2"/>
    <w:basedOn w:val="4"/>
    <w:next w:val="45"/>
    <w:autoRedefine/>
    <w:qFormat/>
    <w:uiPriority w:val="0"/>
    <w:pPr>
      <w:keepNext w:val="0"/>
      <w:keepLines w:val="0"/>
      <w:tabs>
        <w:tab w:val="left" w:pos="576"/>
        <w:tab w:val="center" w:pos="6804"/>
        <w:tab w:val="right" w:pos="7371"/>
        <w:tab w:val="clear" w:pos="1276"/>
      </w:tabs>
      <w:overflowPunct w:val="0"/>
      <w:spacing w:before="0" w:after="0" w:line="500" w:lineRule="exact"/>
      <w:ind w:left="576" w:hanging="576"/>
      <w:contextualSpacing/>
      <w:textAlignment w:val="auto"/>
    </w:pPr>
    <w:rPr>
      <w:color w:val="000000"/>
      <w:kern w:val="0"/>
      <w:lang w:val="zh-CN"/>
    </w:rPr>
  </w:style>
  <w:style w:type="paragraph" w:customStyle="1" w:styleId="3304">
    <w:name w:val="标3"/>
    <w:basedOn w:val="5"/>
    <w:next w:val="45"/>
    <w:autoRedefine/>
    <w:qFormat/>
    <w:uiPriority w:val="0"/>
    <w:pPr>
      <w:tabs>
        <w:tab w:val="left" w:pos="578"/>
        <w:tab w:val="left" w:pos="1080"/>
        <w:tab w:val="center" w:pos="6804"/>
        <w:tab w:val="left" w:pos="7088"/>
        <w:tab w:val="right" w:pos="7371"/>
      </w:tabs>
      <w:overflowPunct w:val="0"/>
      <w:adjustRightInd w:val="0"/>
      <w:spacing w:beforeLines="50" w:after="0" w:line="500" w:lineRule="exact"/>
      <w:ind w:left="726" w:hanging="726"/>
    </w:pPr>
    <w:rPr>
      <w:rFonts w:ascii="Times New Roman" w:hAnsi="Times New Roman" w:eastAsia="仿宋_GB2312" w:cs="Times New Roman"/>
      <w:b w:val="0"/>
      <w:bCs w:val="0"/>
      <w:color w:val="0000FF"/>
      <w:sz w:val="30"/>
      <w:szCs w:val="20"/>
      <w:lang w:val="zh-CN"/>
    </w:rPr>
  </w:style>
  <w:style w:type="paragraph" w:customStyle="1" w:styleId="3305">
    <w:name w:val="说明标题1级"/>
    <w:basedOn w:val="3"/>
    <w:autoRedefine/>
    <w:qFormat/>
    <w:uiPriority w:val="0"/>
    <w:pPr>
      <w:tabs>
        <w:tab w:val="left" w:pos="284"/>
        <w:tab w:val="left" w:pos="360"/>
      </w:tabs>
      <w:spacing w:before="0" w:after="0" w:line="578" w:lineRule="auto"/>
    </w:pPr>
    <w:rPr>
      <w:rFonts w:eastAsia="黑体"/>
      <w:b w:val="0"/>
      <w:bCs/>
      <w:sz w:val="24"/>
      <w:szCs w:val="44"/>
      <w:lang w:val="zh-CN"/>
    </w:rPr>
  </w:style>
  <w:style w:type="paragraph" w:customStyle="1" w:styleId="3306">
    <w:name w:val="样式 正文文本 + 五号 首行缩进:  2 字符"/>
    <w:basedOn w:val="34"/>
    <w:autoRedefine/>
    <w:qFormat/>
    <w:uiPriority w:val="0"/>
    <w:pPr>
      <w:spacing w:after="0" w:line="360" w:lineRule="auto"/>
      <w:jc w:val="left"/>
    </w:pPr>
    <w:rPr>
      <w:rFonts w:ascii="仿宋_GB2312" w:eastAsia="仿宋_GB2312" w:cs="宋体"/>
      <w:szCs w:val="20"/>
    </w:rPr>
  </w:style>
  <w:style w:type="paragraph" w:customStyle="1" w:styleId="3307">
    <w:name w:val="样式 标题 2 + 宋体 小四"/>
    <w:basedOn w:val="4"/>
    <w:autoRedefine/>
    <w:qFormat/>
    <w:uiPriority w:val="0"/>
    <w:pPr>
      <w:keepNext w:val="0"/>
      <w:keepLines w:val="0"/>
      <w:tabs>
        <w:tab w:val="clear" w:pos="1276"/>
      </w:tabs>
      <w:adjustRightInd/>
      <w:spacing w:before="0" w:after="0" w:line="413" w:lineRule="auto"/>
      <w:ind w:left="0"/>
      <w:contextualSpacing/>
      <w:jc w:val="both"/>
      <w:textAlignment w:val="auto"/>
    </w:pPr>
    <w:rPr>
      <w:rFonts w:ascii="宋体" w:hAnsi="Times New Roman" w:eastAsia="仿宋_GB2312"/>
      <w:bCs/>
      <w:sz w:val="24"/>
      <w:szCs w:val="32"/>
      <w:lang w:val="zh-CN"/>
    </w:rPr>
  </w:style>
  <w:style w:type="paragraph" w:customStyle="1" w:styleId="3308">
    <w:name w:val="内部地址"/>
    <w:basedOn w:val="1"/>
    <w:autoRedefine/>
    <w:qFormat/>
    <w:uiPriority w:val="0"/>
    <w:rPr>
      <w:rFonts w:eastAsia="仿宋_GB2312"/>
      <w:szCs w:val="21"/>
    </w:rPr>
  </w:style>
  <w:style w:type="paragraph" w:customStyle="1" w:styleId="3309">
    <w:name w:val="样式 正文 首行缩进:  2 字符 Char + 黑体 首行缩进:  0 字符2"/>
    <w:basedOn w:val="1"/>
    <w:autoRedefine/>
    <w:qFormat/>
    <w:uiPriority w:val="0"/>
    <w:pPr>
      <w:spacing w:line="520" w:lineRule="exact"/>
    </w:pPr>
    <w:rPr>
      <w:rFonts w:ascii="黑体" w:eastAsia="黑体" w:cs="Arial"/>
      <w:kern w:val="44"/>
      <w:szCs w:val="48"/>
    </w:rPr>
  </w:style>
  <w:style w:type="paragraph" w:customStyle="1" w:styleId="3310">
    <w:name w:val="样式 标题 3标题 3 Char Char Char标题 3目标题 3 Char Char Char Char标题 3 ..."/>
    <w:basedOn w:val="5"/>
    <w:autoRedefine/>
    <w:qFormat/>
    <w:uiPriority w:val="0"/>
    <w:pPr>
      <w:tabs>
        <w:tab w:val="left" w:pos="7088"/>
      </w:tabs>
      <w:adjustRightInd w:val="0"/>
      <w:spacing w:beforeLines="50" w:after="0" w:line="500" w:lineRule="exact"/>
      <w:ind w:firstLine="200" w:firstLineChars="200"/>
    </w:pPr>
    <w:rPr>
      <w:rFonts w:ascii="宋体" w:hAnsi="Times New Roman" w:eastAsia="黑体" w:cs="宋体"/>
      <w:sz w:val="30"/>
      <w:szCs w:val="20"/>
      <w:lang w:val="zh-CN"/>
    </w:rPr>
  </w:style>
  <w:style w:type="paragraph" w:customStyle="1" w:styleId="3311">
    <w:name w:val="样式 样式 样式 标题 3标题 3 Char Char Char标题 3 Char Charh3H3level_3PIM 3L...."/>
    <w:basedOn w:val="1"/>
    <w:autoRedefine/>
    <w:qFormat/>
    <w:uiPriority w:val="0"/>
    <w:pPr>
      <w:keepNext/>
      <w:spacing w:line="500" w:lineRule="exact"/>
      <w:ind w:firstLine="200" w:firstLineChars="200"/>
      <w:outlineLvl w:val="2"/>
    </w:pPr>
    <w:rPr>
      <w:rFonts w:eastAsia="黑体" w:cs="宋体"/>
      <w:b/>
      <w:bCs/>
      <w:sz w:val="28"/>
      <w:szCs w:val="20"/>
    </w:rPr>
  </w:style>
  <w:style w:type="paragraph" w:customStyle="1" w:styleId="3312">
    <w:name w:val="题注_图表"/>
    <w:basedOn w:val="22"/>
    <w:autoRedefine/>
    <w:qFormat/>
    <w:uiPriority w:val="0"/>
    <w:pPr>
      <w:keepNext/>
      <w:adjustRightInd/>
      <w:spacing w:line="240" w:lineRule="auto"/>
      <w:ind w:firstLine="0"/>
      <w:jc w:val="center"/>
      <w:textAlignment w:val="auto"/>
    </w:pPr>
    <w:rPr>
      <w:rFonts w:ascii="宋体" w:hAnsi="Cambria" w:eastAsia="宋体"/>
      <w:spacing w:val="0"/>
      <w:kern w:val="2"/>
      <w:sz w:val="28"/>
      <w:szCs w:val="28"/>
    </w:rPr>
  </w:style>
  <w:style w:type="paragraph" w:customStyle="1" w:styleId="3313">
    <w:name w:val="样式 小四 行距: 固定值 24 磅"/>
    <w:basedOn w:val="1"/>
    <w:autoRedefine/>
    <w:qFormat/>
    <w:uiPriority w:val="0"/>
    <w:pPr>
      <w:spacing w:line="500" w:lineRule="exact"/>
      <w:ind w:firstLine="200" w:firstLineChars="200"/>
    </w:pPr>
    <w:rPr>
      <w:rFonts w:eastAsia="仿宋_GB2312"/>
      <w:szCs w:val="20"/>
    </w:rPr>
  </w:style>
  <w:style w:type="paragraph" w:customStyle="1" w:styleId="3314">
    <w:name w:val="样式 小四 行距: 固定值 25 磅"/>
    <w:basedOn w:val="1"/>
    <w:autoRedefine/>
    <w:qFormat/>
    <w:uiPriority w:val="0"/>
    <w:pPr>
      <w:spacing w:line="500" w:lineRule="exact"/>
      <w:ind w:firstLine="200" w:firstLineChars="200"/>
    </w:pPr>
    <w:rPr>
      <w:rFonts w:eastAsia="仿宋_GB2312"/>
      <w:szCs w:val="21"/>
    </w:rPr>
  </w:style>
  <w:style w:type="paragraph" w:customStyle="1" w:styleId="3315">
    <w:name w:val="25"/>
    <w:basedOn w:val="1"/>
    <w:autoRedefine/>
    <w:qFormat/>
    <w:uiPriority w:val="0"/>
    <w:pPr>
      <w:widowControl/>
      <w:spacing w:before="100" w:beforeAutospacing="1" w:after="100" w:afterAutospacing="1"/>
      <w:jc w:val="left"/>
    </w:pPr>
    <w:rPr>
      <w:rFonts w:ascii="Arial Unicode MS" w:hAnsi="Arial Unicode MS" w:eastAsia="仿宋_GB2312"/>
      <w:kern w:val="0"/>
      <w:sz w:val="28"/>
      <w:szCs w:val="21"/>
    </w:rPr>
  </w:style>
  <w:style w:type="paragraph" w:customStyle="1" w:styleId="3316">
    <w:name w:val="样式 标题 1章标题 1h11st levelSection Headl1b1-*+标题 1章ChH1PI...5"/>
    <w:basedOn w:val="3"/>
    <w:autoRedefine/>
    <w:qFormat/>
    <w:uiPriority w:val="0"/>
    <w:pPr>
      <w:spacing w:before="0" w:after="0" w:line="360" w:lineRule="auto"/>
      <w:jc w:val="center"/>
    </w:pPr>
    <w:rPr>
      <w:rFonts w:ascii="宋体" w:eastAsia="黑体"/>
      <w:bCs/>
      <w:color w:val="000000"/>
      <w:sz w:val="32"/>
      <w:szCs w:val="44"/>
      <w:lang w:val="zh-CN"/>
    </w:rPr>
  </w:style>
  <w:style w:type="paragraph" w:customStyle="1" w:styleId="3317">
    <w:name w:val="样式 首行缩进:  0.77 厘米 行距: 固定值 20 磅7"/>
    <w:basedOn w:val="1"/>
    <w:autoRedefine/>
    <w:qFormat/>
    <w:uiPriority w:val="0"/>
    <w:pPr>
      <w:spacing w:line="360" w:lineRule="auto"/>
      <w:ind w:firstLine="200" w:firstLineChars="200"/>
    </w:pPr>
    <w:rPr>
      <w:rFonts w:eastAsia="仿宋_GB2312"/>
      <w:szCs w:val="21"/>
    </w:rPr>
  </w:style>
  <w:style w:type="paragraph" w:customStyle="1" w:styleId="3318">
    <w:name w:val="样式 标题 1 + (符号) 黑体 行距: 固定值 25 磅"/>
    <w:basedOn w:val="3"/>
    <w:autoRedefine/>
    <w:qFormat/>
    <w:uiPriority w:val="0"/>
    <w:pPr>
      <w:keepNext w:val="0"/>
      <w:pageBreakBefore/>
      <w:spacing w:before="0" w:after="0" w:line="500" w:lineRule="exact"/>
      <w:ind w:left="1"/>
      <w:jc w:val="left"/>
    </w:pPr>
    <w:rPr>
      <w:rFonts w:ascii="黑体" w:eastAsia="黑体"/>
      <w:b w:val="0"/>
      <w:color w:val="000000"/>
      <w:kern w:val="0"/>
      <w:sz w:val="28"/>
      <w:lang w:val="zh-CN"/>
    </w:rPr>
  </w:style>
  <w:style w:type="paragraph" w:customStyle="1" w:styleId="3319">
    <w:name w:val="CM71"/>
    <w:basedOn w:val="112"/>
    <w:next w:val="112"/>
    <w:autoRedefine/>
    <w:qFormat/>
    <w:uiPriority w:val="0"/>
    <w:rPr>
      <w:rFonts w:ascii="宋体" w:cs="宋体"/>
      <w:color w:val="auto"/>
    </w:rPr>
  </w:style>
  <w:style w:type="paragraph" w:customStyle="1" w:styleId="3320">
    <w:name w:val="_Style 16"/>
    <w:basedOn w:val="1"/>
    <w:next w:val="52"/>
    <w:autoRedefine/>
    <w:qFormat/>
    <w:uiPriority w:val="0"/>
    <w:pPr>
      <w:widowControl/>
      <w:spacing w:line="360" w:lineRule="auto"/>
      <w:ind w:firstLine="285"/>
      <w:jc w:val="left"/>
    </w:pPr>
    <w:rPr>
      <w:rFonts w:eastAsia="仿宋_GB2312"/>
      <w:szCs w:val="20"/>
    </w:rPr>
  </w:style>
  <w:style w:type="paragraph" w:customStyle="1" w:styleId="3321">
    <w:name w:val="BIG BOLD"/>
    <w:basedOn w:val="1"/>
    <w:autoRedefine/>
    <w:qFormat/>
    <w:uiPriority w:val="0"/>
    <w:pPr>
      <w:tabs>
        <w:tab w:val="left" w:leader="underscore" w:pos="1134"/>
      </w:tabs>
    </w:pPr>
    <w:rPr>
      <w:rFonts w:eastAsia="仿宋_GB2312"/>
      <w:sz w:val="28"/>
      <w:szCs w:val="20"/>
    </w:rPr>
  </w:style>
  <w:style w:type="paragraph" w:customStyle="1" w:styleId="3322">
    <w:name w:val="biaoti"/>
    <w:basedOn w:val="1"/>
    <w:autoRedefine/>
    <w:qFormat/>
    <w:uiPriority w:val="0"/>
    <w:pPr>
      <w:widowControl/>
      <w:spacing w:before="100" w:beforeAutospacing="1" w:after="100" w:afterAutospacing="1"/>
      <w:jc w:val="left"/>
    </w:pPr>
    <w:rPr>
      <w:rFonts w:eastAsia="仿宋_GB2312" w:cs="宋体"/>
      <w:b/>
      <w:bCs/>
      <w:color w:val="000099"/>
      <w:kern w:val="0"/>
      <w:szCs w:val="21"/>
    </w:rPr>
  </w:style>
  <w:style w:type="paragraph" w:customStyle="1" w:styleId="3323">
    <w:name w:val="zw2"/>
    <w:basedOn w:val="1"/>
    <w:autoRedefine/>
    <w:qFormat/>
    <w:uiPriority w:val="0"/>
    <w:pPr>
      <w:widowControl/>
      <w:spacing w:before="100" w:beforeAutospacing="1" w:after="100" w:afterAutospacing="1"/>
      <w:jc w:val="left"/>
    </w:pPr>
    <w:rPr>
      <w:rFonts w:ascii="Arial" w:hAnsi="Arial" w:eastAsia="仿宋_GB2312" w:cs="Arial"/>
      <w:b/>
      <w:bCs/>
      <w:color w:val="333333"/>
      <w:kern w:val="0"/>
      <w:sz w:val="26"/>
      <w:szCs w:val="26"/>
    </w:rPr>
  </w:style>
  <w:style w:type="paragraph" w:customStyle="1" w:styleId="3324">
    <w:name w:val="样式 样式2 + 非加粗 段前: 0 磅 段后: 0 磅"/>
    <w:basedOn w:val="1"/>
    <w:autoRedefine/>
    <w:qFormat/>
    <w:uiPriority w:val="0"/>
    <w:pPr>
      <w:tabs>
        <w:tab w:val="left" w:pos="0"/>
      </w:tabs>
    </w:pPr>
    <w:rPr>
      <w:rFonts w:ascii="仿宋_GB2312" w:eastAsia="仿宋_GB2312"/>
      <w:sz w:val="28"/>
      <w:szCs w:val="20"/>
    </w:rPr>
  </w:style>
  <w:style w:type="paragraph" w:customStyle="1" w:styleId="3325">
    <w:name w:val="正文改"/>
    <w:basedOn w:val="1"/>
    <w:autoRedefine/>
    <w:qFormat/>
    <w:uiPriority w:val="0"/>
    <w:pPr>
      <w:spacing w:line="560" w:lineRule="exact"/>
      <w:ind w:firstLine="200" w:firstLineChars="200"/>
    </w:pPr>
    <w:rPr>
      <w:rFonts w:eastAsia="仿宋_GB2312"/>
      <w:sz w:val="28"/>
      <w:szCs w:val="22"/>
    </w:rPr>
  </w:style>
  <w:style w:type="paragraph" w:customStyle="1" w:styleId="3326">
    <w:name w:val="CM30"/>
    <w:basedOn w:val="112"/>
    <w:next w:val="112"/>
    <w:autoRedefine/>
    <w:qFormat/>
    <w:uiPriority w:val="0"/>
    <w:pPr>
      <w:spacing w:line="411" w:lineRule="atLeast"/>
    </w:pPr>
    <w:rPr>
      <w:rFonts w:ascii="宋体" w:cs="宋体"/>
      <w:color w:val="auto"/>
    </w:rPr>
  </w:style>
  <w:style w:type="paragraph" w:customStyle="1" w:styleId="3327">
    <w:name w:val="标题5改"/>
    <w:basedOn w:val="1"/>
    <w:autoRedefine/>
    <w:qFormat/>
    <w:uiPriority w:val="0"/>
    <w:pPr>
      <w:spacing w:line="560" w:lineRule="exact"/>
      <w:ind w:firstLine="200" w:firstLineChars="200"/>
      <w:jc w:val="left"/>
      <w:outlineLvl w:val="4"/>
    </w:pPr>
    <w:rPr>
      <w:rFonts w:eastAsia="仿宋_GB2312"/>
      <w:b/>
      <w:sz w:val="28"/>
      <w:szCs w:val="28"/>
    </w:rPr>
  </w:style>
  <w:style w:type="paragraph" w:customStyle="1" w:styleId="3328">
    <w:name w:val="_Style 39"/>
    <w:basedOn w:val="1"/>
    <w:next w:val="52"/>
    <w:autoRedefine/>
    <w:qFormat/>
    <w:uiPriority w:val="0"/>
    <w:pPr>
      <w:widowControl/>
      <w:spacing w:line="360" w:lineRule="auto"/>
      <w:ind w:firstLine="285"/>
      <w:jc w:val="left"/>
    </w:pPr>
    <w:rPr>
      <w:rFonts w:eastAsia="仿宋_GB2312"/>
      <w:szCs w:val="20"/>
    </w:rPr>
  </w:style>
  <w:style w:type="paragraph" w:customStyle="1" w:styleId="3329">
    <w:name w:val="font2"/>
    <w:basedOn w:val="1"/>
    <w:autoRedefine/>
    <w:qFormat/>
    <w:uiPriority w:val="0"/>
    <w:pPr>
      <w:widowControl/>
      <w:spacing w:before="100" w:beforeAutospacing="1" w:after="100" w:afterAutospacing="1" w:line="435" w:lineRule="atLeast"/>
      <w:jc w:val="left"/>
    </w:pPr>
    <w:rPr>
      <w:rFonts w:eastAsia="仿宋_GB2312" w:cs="宋体"/>
      <w:color w:val="333333"/>
      <w:kern w:val="0"/>
      <w:sz w:val="20"/>
      <w:szCs w:val="20"/>
    </w:rPr>
  </w:style>
  <w:style w:type="paragraph" w:customStyle="1" w:styleId="3330">
    <w:name w:val="BGWZ1"/>
    <w:basedOn w:val="1"/>
    <w:autoRedefine/>
    <w:qFormat/>
    <w:uiPriority w:val="0"/>
    <w:pPr>
      <w:snapToGrid w:val="0"/>
      <w:spacing w:line="300" w:lineRule="exact"/>
      <w:jc w:val="center"/>
    </w:pPr>
    <w:rPr>
      <w:rFonts w:eastAsia="仿宋_GB2312"/>
      <w:snapToGrid w:val="0"/>
      <w:kern w:val="0"/>
      <w:sz w:val="28"/>
      <w:szCs w:val="21"/>
      <w:lang w:eastAsia="zh-TW"/>
    </w:rPr>
  </w:style>
  <w:style w:type="paragraph" w:customStyle="1" w:styleId="3331">
    <w:name w:val="msonormal at_0"/>
    <w:basedOn w:val="1"/>
    <w:autoRedefine/>
    <w:qFormat/>
    <w:uiPriority w:val="0"/>
    <w:pPr>
      <w:widowControl/>
      <w:spacing w:before="100" w:beforeAutospacing="1" w:after="100" w:afterAutospacing="1"/>
      <w:jc w:val="left"/>
    </w:pPr>
    <w:rPr>
      <w:rFonts w:eastAsia="仿宋_GB2312" w:cs="宋体"/>
      <w:kern w:val="0"/>
      <w:szCs w:val="21"/>
    </w:rPr>
  </w:style>
  <w:style w:type="paragraph" w:customStyle="1" w:styleId="3332">
    <w:name w:val="Char Char Char1 Char Char Char Char Char Char Char Char Char Char Char Char Char Char Char Char Char Char Char"/>
    <w:basedOn w:val="1"/>
    <w:autoRedefine/>
    <w:qFormat/>
    <w:uiPriority w:val="0"/>
    <w:rPr>
      <w:rFonts w:eastAsia="仿宋_GB2312"/>
      <w:szCs w:val="21"/>
    </w:rPr>
  </w:style>
  <w:style w:type="paragraph" w:customStyle="1" w:styleId="3333">
    <w:name w:val="样式 表蕊 + 四号 黑色 居中"/>
    <w:basedOn w:val="612"/>
    <w:autoRedefine/>
    <w:qFormat/>
    <w:uiPriority w:val="0"/>
    <w:pPr>
      <w:spacing w:line="280" w:lineRule="atLeast"/>
      <w:jc w:val="center"/>
      <w:textAlignment w:val="auto"/>
    </w:pPr>
    <w:rPr>
      <w:rFonts w:eastAsia="宋体" w:cs="宋体"/>
      <w:color w:val="000000"/>
      <w:spacing w:val="0"/>
      <w:sz w:val="28"/>
      <w:szCs w:val="28"/>
    </w:rPr>
  </w:style>
  <w:style w:type="paragraph" w:customStyle="1" w:styleId="3334">
    <w:name w:val="Char2 Char Char Char Char Char Char Char Char Char Char Char Char Char Char Char Char Char Char Char Char Char"/>
    <w:basedOn w:val="1"/>
    <w:autoRedefine/>
    <w:qFormat/>
    <w:uiPriority w:val="0"/>
    <w:pPr>
      <w:snapToGrid w:val="0"/>
      <w:spacing w:line="360" w:lineRule="auto"/>
      <w:ind w:firstLine="200" w:firstLineChars="200"/>
    </w:pPr>
    <w:rPr>
      <w:rFonts w:eastAsia="仿宋_GB2312"/>
      <w:szCs w:val="21"/>
    </w:rPr>
  </w:style>
  <w:style w:type="paragraph" w:customStyle="1" w:styleId="3335">
    <w:name w:val="Char Char Char Char Char Char Char Char Char Char Char Char Char Char Char1 Char Char Char Char Char Char Char"/>
    <w:basedOn w:val="1"/>
    <w:autoRedefine/>
    <w:qFormat/>
    <w:uiPriority w:val="0"/>
    <w:rPr>
      <w:rFonts w:eastAsia="仿宋_GB2312"/>
      <w:sz w:val="28"/>
      <w:szCs w:val="21"/>
    </w:rPr>
  </w:style>
  <w:style w:type="paragraph" w:customStyle="1" w:styleId="3336">
    <w:name w:val="样式 (西文) 宋体 四号 两端对齐 行距: 1.5 倍行距 首行缩进:  2.14 字符1"/>
    <w:basedOn w:val="1"/>
    <w:autoRedefine/>
    <w:qFormat/>
    <w:uiPriority w:val="0"/>
    <w:pPr>
      <w:autoSpaceDE w:val="0"/>
      <w:autoSpaceDN w:val="0"/>
      <w:adjustRightInd w:val="0"/>
      <w:spacing w:line="360" w:lineRule="auto"/>
      <w:ind w:firstLine="214" w:firstLineChars="214"/>
      <w:textAlignment w:val="baseline"/>
    </w:pPr>
    <w:rPr>
      <w:rFonts w:eastAsia="仿宋_GB2312" w:cs="宋体"/>
      <w:kern w:val="0"/>
      <w:szCs w:val="20"/>
    </w:rPr>
  </w:style>
  <w:style w:type="paragraph" w:customStyle="1" w:styleId="3337">
    <w:name w:val="Char2 Char Char Char Char"/>
    <w:basedOn w:val="1"/>
    <w:autoRedefine/>
    <w:qFormat/>
    <w:uiPriority w:val="0"/>
    <w:rPr>
      <w:rFonts w:eastAsia="仿宋_GB2312"/>
      <w:sz w:val="28"/>
      <w:szCs w:val="21"/>
    </w:rPr>
  </w:style>
  <w:style w:type="paragraph" w:customStyle="1" w:styleId="3338">
    <w:name w:val="！表头文字"/>
    <w:basedOn w:val="1"/>
    <w:autoRedefine/>
    <w:qFormat/>
    <w:uiPriority w:val="0"/>
    <w:pPr>
      <w:snapToGrid w:val="0"/>
      <w:spacing w:before="200" w:after="40"/>
      <w:jc w:val="center"/>
    </w:pPr>
    <w:rPr>
      <w:rFonts w:eastAsia="仿宋_GB2312"/>
      <w:b/>
      <w:szCs w:val="21"/>
    </w:rPr>
  </w:style>
  <w:style w:type="paragraph" w:customStyle="1" w:styleId="3339">
    <w:name w:val="Char Char3 Char Char"/>
    <w:basedOn w:val="1"/>
    <w:autoRedefine/>
    <w:qFormat/>
    <w:uiPriority w:val="0"/>
    <w:rPr>
      <w:rFonts w:eastAsia="仿宋_GB2312"/>
      <w:sz w:val="28"/>
      <w:szCs w:val="21"/>
    </w:rPr>
  </w:style>
  <w:style w:type="paragraph" w:customStyle="1" w:styleId="3340">
    <w:name w:val="w4"/>
    <w:basedOn w:val="1"/>
    <w:autoRedefine/>
    <w:qFormat/>
    <w:uiPriority w:val="0"/>
    <w:pPr>
      <w:widowControl/>
      <w:spacing w:before="100" w:beforeAutospacing="1" w:after="100" w:afterAutospacing="1" w:line="336" w:lineRule="auto"/>
      <w:ind w:firstLine="360"/>
      <w:jc w:val="left"/>
    </w:pPr>
    <w:rPr>
      <w:rFonts w:eastAsia="仿宋_GB2312"/>
      <w:color w:val="8A5E00"/>
      <w:kern w:val="0"/>
      <w:sz w:val="18"/>
      <w:szCs w:val="18"/>
    </w:rPr>
  </w:style>
  <w:style w:type="paragraph" w:customStyle="1" w:styleId="3341">
    <w:name w:val="样式 宋体 小四 行距: 固定值 26 磅"/>
    <w:basedOn w:val="1"/>
    <w:autoRedefine/>
    <w:qFormat/>
    <w:uiPriority w:val="0"/>
    <w:pPr>
      <w:spacing w:line="520" w:lineRule="exact"/>
      <w:ind w:firstLine="200" w:firstLineChars="200"/>
    </w:pPr>
    <w:rPr>
      <w:rFonts w:eastAsia="仿宋_GB2312"/>
      <w:kern w:val="0"/>
      <w:szCs w:val="21"/>
    </w:rPr>
  </w:style>
  <w:style w:type="paragraph" w:customStyle="1" w:styleId="3342">
    <w:name w:val="Char Char Char Char Char Char1 Char Char Char Char Char Char Char Char Char Char Char Char"/>
    <w:basedOn w:val="1"/>
    <w:autoRedefine/>
    <w:qFormat/>
    <w:uiPriority w:val="0"/>
    <w:rPr>
      <w:rFonts w:eastAsia="仿宋_GB2312"/>
      <w:sz w:val="28"/>
      <w:szCs w:val="21"/>
    </w:rPr>
  </w:style>
  <w:style w:type="paragraph" w:customStyle="1" w:styleId="3343">
    <w:name w:val="小四表文"/>
    <w:autoRedefine/>
    <w:qFormat/>
    <w:uiPriority w:val="0"/>
    <w:pPr>
      <w:widowControl w:val="0"/>
      <w:adjustRightInd w:val="0"/>
      <w:snapToGrid w:val="0"/>
      <w:spacing w:line="26" w:lineRule="atLeast"/>
      <w:jc w:val="center"/>
    </w:pPr>
    <w:rPr>
      <w:rFonts w:ascii="Calibri" w:hAnsi="Calibri" w:eastAsia="仿宋_GB2312" w:cs="宋体"/>
      <w:snapToGrid w:val="0"/>
      <w:kern w:val="2"/>
      <w:sz w:val="24"/>
      <w:szCs w:val="24"/>
      <w:lang w:val="en-US" w:eastAsia="zh-CN" w:bidi="ar-SA"/>
    </w:rPr>
  </w:style>
  <w:style w:type="paragraph" w:customStyle="1" w:styleId="3344">
    <w:name w:val="Char Char Char Char Char Char1 Char Char Char Char Char Char Char Char Char Char Char Char Char"/>
    <w:basedOn w:val="1"/>
    <w:autoRedefine/>
    <w:qFormat/>
    <w:uiPriority w:val="0"/>
    <w:rPr>
      <w:rFonts w:eastAsia="仿宋_GB2312"/>
      <w:sz w:val="28"/>
      <w:szCs w:val="21"/>
    </w:rPr>
  </w:style>
  <w:style w:type="paragraph" w:customStyle="1" w:styleId="3345">
    <w:name w:val="Char Char1 Char Char Char Char Char Char Char"/>
    <w:basedOn w:val="1"/>
    <w:autoRedefine/>
    <w:qFormat/>
    <w:uiPriority w:val="0"/>
    <w:pPr>
      <w:widowControl/>
      <w:spacing w:after="160" w:line="240" w:lineRule="exact"/>
      <w:jc w:val="left"/>
    </w:pPr>
    <w:rPr>
      <w:rFonts w:ascii="Arial" w:hAnsi="Arial" w:eastAsia="Times New Roman" w:cs="Verdana"/>
      <w:b/>
      <w:kern w:val="0"/>
      <w:szCs w:val="21"/>
      <w:lang w:eastAsia="en-US"/>
    </w:rPr>
  </w:style>
  <w:style w:type="paragraph" w:customStyle="1" w:styleId="3346">
    <w:name w:val="批注主题 Char Char"/>
    <w:basedOn w:val="28"/>
    <w:next w:val="28"/>
    <w:autoRedefine/>
    <w:qFormat/>
    <w:uiPriority w:val="0"/>
    <w:rPr>
      <w:rFonts w:eastAsia="仿宋_GB2312" w:asciiTheme="minorHAnsi" w:cstheme="minorBidi"/>
      <w:b/>
      <w:sz w:val="28"/>
      <w:szCs w:val="22"/>
    </w:rPr>
  </w:style>
  <w:style w:type="paragraph" w:customStyle="1" w:styleId="3347">
    <w:name w:val="样式 标题 3 + 行距: 1.5 倍行距"/>
    <w:basedOn w:val="5"/>
    <w:autoRedefine/>
    <w:qFormat/>
    <w:uiPriority w:val="0"/>
    <w:pPr>
      <w:spacing w:before="0" w:line="360" w:lineRule="auto"/>
    </w:pPr>
    <w:rPr>
      <w:rFonts w:ascii="Times New Roman" w:hAnsi="Times New Roman" w:eastAsia="仿宋_GB2312" w:cs="Times New Roman"/>
      <w:sz w:val="24"/>
      <w:szCs w:val="20"/>
      <w:lang w:val="zh-CN"/>
    </w:rPr>
  </w:style>
  <w:style w:type="paragraph" w:customStyle="1" w:styleId="3348">
    <w:name w:val="Char Char Char Char1 Char Char Char Char Char Char Char"/>
    <w:basedOn w:val="1"/>
    <w:autoRedefine/>
    <w:qFormat/>
    <w:uiPriority w:val="0"/>
    <w:pPr>
      <w:tabs>
        <w:tab w:val="left" w:pos="360"/>
      </w:tabs>
      <w:snapToGrid w:val="0"/>
      <w:spacing w:line="360" w:lineRule="auto"/>
    </w:pPr>
    <w:rPr>
      <w:rFonts w:eastAsia="仿宋_GB2312" w:cs="宋体"/>
      <w:szCs w:val="21"/>
    </w:rPr>
  </w:style>
  <w:style w:type="paragraph" w:customStyle="1" w:styleId="3349">
    <w:name w:val="样式 样式 首行缩进:  0.99 厘米 行距: 最小值 23 磅 + 行距: 最小值 24 磅"/>
    <w:basedOn w:val="1"/>
    <w:autoRedefine/>
    <w:qFormat/>
    <w:uiPriority w:val="0"/>
    <w:pPr>
      <w:snapToGrid w:val="0"/>
      <w:spacing w:line="520" w:lineRule="atLeast"/>
      <w:ind w:firstLine="680"/>
    </w:pPr>
    <w:rPr>
      <w:rFonts w:eastAsia="仿宋_GB2312"/>
      <w:spacing w:val="12"/>
      <w:kern w:val="24"/>
      <w:sz w:val="28"/>
      <w:szCs w:val="20"/>
    </w:rPr>
  </w:style>
  <w:style w:type="paragraph" w:customStyle="1" w:styleId="3350">
    <w:name w:val="Char Char Char1 Char Char Char Char Char Char"/>
    <w:basedOn w:val="1"/>
    <w:autoRedefine/>
    <w:qFormat/>
    <w:uiPriority w:val="0"/>
    <w:rPr>
      <w:rFonts w:ascii="黑体" w:eastAsia="黑体"/>
      <w:b/>
      <w:spacing w:val="10"/>
      <w:sz w:val="28"/>
      <w:szCs w:val="20"/>
    </w:rPr>
  </w:style>
  <w:style w:type="paragraph" w:customStyle="1" w:styleId="3351">
    <w:name w:val="样式 标题 11.标题 1§1.?.章标题 1h11st levelSection Headl1b1-*+ ..."/>
    <w:basedOn w:val="3"/>
    <w:autoRedefine/>
    <w:qFormat/>
    <w:uiPriority w:val="0"/>
    <w:pPr>
      <w:keepLines w:val="0"/>
      <w:tabs>
        <w:tab w:val="left" w:pos="432"/>
      </w:tabs>
      <w:autoSpaceDE w:val="0"/>
      <w:autoSpaceDN w:val="0"/>
      <w:spacing w:before="0" w:after="0" w:line="240" w:lineRule="exact"/>
      <w:ind w:left="432" w:hanging="432"/>
    </w:pPr>
    <w:rPr>
      <w:rFonts w:ascii="宋体" w:eastAsia="仿宋_GB2312" w:cs="宋体"/>
      <w:b w:val="0"/>
      <w:bCs/>
      <w:w w:val="90"/>
      <w:kern w:val="0"/>
      <w:sz w:val="24"/>
      <w:lang w:val="zh-CN"/>
    </w:rPr>
  </w:style>
  <w:style w:type="paragraph" w:customStyle="1" w:styleId="3352">
    <w:name w:val="－列表"/>
    <w:basedOn w:val="67"/>
    <w:autoRedefine/>
    <w:qFormat/>
    <w:uiPriority w:val="0"/>
    <w:pPr>
      <w:adjustRightInd w:val="0"/>
      <w:snapToGrid w:val="0"/>
      <w:spacing w:line="360" w:lineRule="atLeast"/>
      <w:textAlignment w:val="baseline"/>
    </w:pPr>
    <w:rPr>
      <w:rFonts w:ascii="仿宋_GB2312" w:hAnsi="Times New Roman" w:eastAsia="仿宋_GB2312" w:cstheme="minorBidi"/>
      <w:snapToGrid w:val="0"/>
      <w:kern w:val="0"/>
      <w:szCs w:val="24"/>
    </w:rPr>
  </w:style>
  <w:style w:type="paragraph" w:customStyle="1" w:styleId="3353">
    <w:name w:val="样式 标题 11.标题 1§1.?.章标题 1h11st levelSection Headl1b1-*+ ...1"/>
    <w:next w:val="85"/>
    <w:autoRedefine/>
    <w:qFormat/>
    <w:uiPriority w:val="0"/>
    <w:pPr>
      <w:tabs>
        <w:tab w:val="left" w:pos="432"/>
      </w:tabs>
      <w:spacing w:line="240" w:lineRule="exact"/>
      <w:ind w:left="432" w:hanging="432"/>
      <w:jc w:val="both"/>
    </w:pPr>
    <w:rPr>
      <w:rFonts w:ascii="宋体" w:hAnsi="Times New Roman" w:eastAsia="仿宋_GB2312" w:cs="宋体"/>
      <w:b/>
      <w:bCs/>
      <w:w w:val="90"/>
      <w:sz w:val="24"/>
      <w:szCs w:val="21"/>
      <w:lang w:val="en-US" w:eastAsia="zh-CN" w:bidi="ar-SA"/>
    </w:rPr>
  </w:style>
  <w:style w:type="paragraph" w:customStyle="1" w:styleId="3354">
    <w:name w:val="图表格式"/>
    <w:basedOn w:val="1"/>
    <w:autoRedefine/>
    <w:qFormat/>
    <w:uiPriority w:val="0"/>
    <w:rPr>
      <w:rFonts w:eastAsia="仿宋_GB2312"/>
      <w:snapToGrid w:val="0"/>
      <w:kern w:val="0"/>
      <w:szCs w:val="20"/>
    </w:rPr>
  </w:style>
  <w:style w:type="paragraph" w:customStyle="1" w:styleId="3355">
    <w:name w:val="样式 标题 11.标题 1§1.?.章标题 1h11st levelSection Headl1b1-*+ ...2"/>
    <w:basedOn w:val="3"/>
    <w:autoRedefine/>
    <w:qFormat/>
    <w:uiPriority w:val="0"/>
    <w:pPr>
      <w:keepLines w:val="0"/>
      <w:tabs>
        <w:tab w:val="left" w:pos="432"/>
      </w:tabs>
      <w:autoSpaceDE w:val="0"/>
      <w:autoSpaceDN w:val="0"/>
      <w:spacing w:before="0" w:beforeLines="100" w:after="120" w:afterLines="100" w:line="360" w:lineRule="auto"/>
      <w:ind w:left="862" w:hanging="431"/>
      <w:jc w:val="left"/>
    </w:pPr>
    <w:rPr>
      <w:rFonts w:ascii="Arial" w:hAnsi="Arial" w:eastAsia="仿宋_GB2312" w:cs="宋体"/>
      <w:bCs/>
      <w:kern w:val="2"/>
      <w:sz w:val="24"/>
      <w:lang w:val="zh-CN"/>
    </w:rPr>
  </w:style>
  <w:style w:type="paragraph" w:customStyle="1" w:styleId="3356">
    <w:name w:val="表X"/>
    <w:basedOn w:val="45"/>
    <w:autoRedefine/>
    <w:qFormat/>
    <w:uiPriority w:val="0"/>
    <w:pPr>
      <w:keepNext/>
      <w:tabs>
        <w:tab w:val="left" w:pos="959"/>
        <w:tab w:val="left" w:pos="2177"/>
      </w:tabs>
      <w:spacing w:before="240" w:line="240" w:lineRule="auto"/>
      <w:ind w:firstLine="737"/>
      <w:jc w:val="left"/>
      <w:textAlignment w:val="auto"/>
      <w:outlineLvl w:val="8"/>
    </w:pPr>
    <w:rPr>
      <w:rFonts w:ascii="Courier New" w:eastAsia="仿宋_GB2312" w:cstheme="minorBidi"/>
      <w:spacing w:val="0"/>
      <w:kern w:val="0"/>
      <w:sz w:val="28"/>
      <w:szCs w:val="22"/>
    </w:rPr>
  </w:style>
  <w:style w:type="paragraph" w:customStyle="1" w:styleId="3357">
    <w:name w:val="样式 样式 标题 11.标题 1§1.?.章标题 1h11st levelSection Headl1b1-*+ ...2 + ..."/>
    <w:basedOn w:val="3355"/>
    <w:autoRedefine/>
    <w:qFormat/>
    <w:uiPriority w:val="0"/>
    <w:pPr>
      <w:tabs>
        <w:tab w:val="clear" w:pos="432"/>
      </w:tabs>
      <w:spacing w:beforeLines="0" w:afterLines="0" w:line="336" w:lineRule="auto"/>
      <w:ind w:left="0" w:firstLine="0"/>
      <w:jc w:val="center"/>
    </w:pPr>
    <w:rPr>
      <w:rFonts w:ascii="楷体_GB2312" w:eastAsia="楷体_GB2312"/>
      <w:sz w:val="32"/>
      <w:szCs w:val="32"/>
    </w:rPr>
  </w:style>
  <w:style w:type="paragraph" w:customStyle="1" w:styleId="3358">
    <w:name w:val="样式 正文缩进正文（首行缩进两字）文本条款 + 段前: 0.4 行"/>
    <w:basedOn w:val="21"/>
    <w:autoRedefine/>
    <w:qFormat/>
    <w:uiPriority w:val="0"/>
    <w:pPr>
      <w:tabs>
        <w:tab w:val="left" w:pos="3899"/>
      </w:tabs>
      <w:spacing w:beforeLines="30" w:line="288" w:lineRule="auto"/>
      <w:ind w:firstLine="0" w:firstLineChars="0"/>
      <w:outlineLvl w:val="6"/>
    </w:pPr>
    <w:rPr>
      <w:rFonts w:eastAsia="黑体" w:asciiTheme="minorHAnsi" w:cstheme="minorBidi"/>
      <w:b/>
      <w:sz w:val="28"/>
      <w:szCs w:val="22"/>
    </w:rPr>
  </w:style>
  <w:style w:type="paragraph" w:customStyle="1" w:styleId="3359">
    <w:name w:val="样式 标题 2 + (中文) 宋体 行距: 多倍行距 1.25 字行"/>
    <w:basedOn w:val="5"/>
    <w:autoRedefine/>
    <w:qFormat/>
    <w:uiPriority w:val="0"/>
    <w:pPr>
      <w:tabs>
        <w:tab w:val="left" w:pos="7088"/>
      </w:tabs>
      <w:adjustRightInd w:val="0"/>
      <w:spacing w:beforeLines="50" w:after="0" w:line="336" w:lineRule="auto"/>
      <w:jc w:val="center"/>
    </w:pPr>
    <w:rPr>
      <w:rFonts w:ascii="黑体" w:hAnsi="Times New Roman" w:eastAsia="黑体" w:cs="Times New Roman"/>
      <w:b w:val="0"/>
      <w:sz w:val="30"/>
      <w:szCs w:val="30"/>
      <w:lang w:val="zh-CN"/>
    </w:rPr>
  </w:style>
  <w:style w:type="paragraph" w:customStyle="1" w:styleId="3360">
    <w:name w:val="样式 表标题 + 段前: 0.5 行1"/>
    <w:basedOn w:val="52"/>
    <w:autoRedefine/>
    <w:qFormat/>
    <w:uiPriority w:val="0"/>
    <w:pPr>
      <w:tabs>
        <w:tab w:val="left" w:pos="900"/>
      </w:tabs>
      <w:adjustRightInd w:val="0"/>
      <w:snapToGrid w:val="0"/>
      <w:spacing w:before="0" w:beforeLines="50"/>
      <w:ind w:left="900" w:firstLine="0" w:firstLineChars="0"/>
      <w:jc w:val="center"/>
    </w:pPr>
    <w:rPr>
      <w:rFonts w:ascii="Times New Roman" w:eastAsia="黑体" w:hAnsiTheme="minorHAnsi" w:cstheme="minorBidi"/>
      <w:spacing w:val="0"/>
      <w:kern w:val="0"/>
      <w:sz w:val="28"/>
      <w:szCs w:val="22"/>
    </w:rPr>
  </w:style>
  <w:style w:type="paragraph" w:customStyle="1" w:styleId="3361">
    <w:name w:val="样式 标题 3 + Arial 行距: 多倍行距 1.25 字行"/>
    <w:basedOn w:val="5"/>
    <w:autoRedefine/>
    <w:qFormat/>
    <w:uiPriority w:val="0"/>
    <w:pPr>
      <w:tabs>
        <w:tab w:val="left" w:pos="720"/>
        <w:tab w:val="left" w:pos="7088"/>
      </w:tabs>
      <w:adjustRightInd w:val="0"/>
      <w:spacing w:beforeLines="50" w:after="0" w:line="336" w:lineRule="auto"/>
      <w:ind w:firstLine="200" w:firstLineChars="200"/>
    </w:pPr>
    <w:rPr>
      <w:rFonts w:ascii="黑体" w:hAnsi="Times New Roman" w:eastAsia="黑体" w:cs="宋体"/>
      <w:b w:val="0"/>
      <w:bCs w:val="0"/>
      <w:sz w:val="30"/>
      <w:szCs w:val="30"/>
      <w:lang w:val="zh-CN"/>
    </w:rPr>
  </w:style>
  <w:style w:type="paragraph" w:customStyle="1" w:styleId="3362">
    <w:name w:val="样式 标题 4 + Arial 行距: 多倍行距 1.25 字行"/>
    <w:basedOn w:val="6"/>
    <w:autoRedefine/>
    <w:qFormat/>
    <w:uiPriority w:val="0"/>
    <w:pPr>
      <w:keepLines w:val="0"/>
      <w:tabs>
        <w:tab w:val="clear" w:pos="2976"/>
      </w:tabs>
      <w:adjustRightInd w:val="0"/>
      <w:snapToGrid w:val="0"/>
      <w:spacing w:before="0" w:after="0" w:line="336" w:lineRule="auto"/>
      <w:ind w:left="0" w:firstLine="200" w:firstLineChars="200"/>
    </w:pPr>
    <w:rPr>
      <w:rFonts w:ascii="黑体" w:hAnsi="Cambria" w:cs="宋体"/>
      <w:b w:val="0"/>
      <w:snapToGrid w:val="0"/>
      <w:color w:val="000000"/>
      <w:kern w:val="0"/>
      <w:lang w:val="zh-CN"/>
    </w:rPr>
  </w:style>
  <w:style w:type="paragraph" w:customStyle="1" w:styleId="3363">
    <w:name w:val="样式 首行缩进 Char Char Char + 自定义颜色(RGB(00160))"/>
    <w:basedOn w:val="1"/>
    <w:autoRedefine/>
    <w:qFormat/>
    <w:uiPriority w:val="0"/>
    <w:pPr>
      <w:snapToGrid w:val="0"/>
      <w:spacing w:line="440" w:lineRule="exact"/>
    </w:pPr>
    <w:rPr>
      <w:rFonts w:eastAsia="仿宋_GB2312"/>
      <w:szCs w:val="21"/>
    </w:rPr>
  </w:style>
  <w:style w:type="paragraph" w:customStyle="1" w:styleId="3364">
    <w:name w:val="样式 标题 2 + (符号) 宋体"/>
    <w:basedOn w:val="4"/>
    <w:autoRedefine/>
    <w:qFormat/>
    <w:uiPriority w:val="0"/>
    <w:pPr>
      <w:keepNext w:val="0"/>
      <w:keepLines w:val="0"/>
      <w:tabs>
        <w:tab w:val="clear" w:pos="1276"/>
      </w:tabs>
      <w:adjustRightInd/>
      <w:spacing w:before="0" w:beforeLines="100" w:after="0" w:afterLines="100" w:line="300" w:lineRule="auto"/>
      <w:ind w:left="0"/>
      <w:contextualSpacing/>
      <w:jc w:val="center"/>
      <w:textAlignment w:val="auto"/>
    </w:pPr>
    <w:rPr>
      <w:rFonts w:ascii="楷体_GB2312" w:hAnsi="Times New Roman" w:eastAsia="楷体_GB2312"/>
      <w:color w:val="000000"/>
      <w:kern w:val="0"/>
      <w:sz w:val="32"/>
      <w:szCs w:val="32"/>
      <w:lang w:val="zh-CN"/>
    </w:rPr>
  </w:style>
  <w:style w:type="paragraph" w:customStyle="1" w:styleId="3365">
    <w:name w:val="文本123"/>
    <w:basedOn w:val="21"/>
    <w:autoRedefine/>
    <w:qFormat/>
    <w:uiPriority w:val="0"/>
    <w:pPr>
      <w:tabs>
        <w:tab w:val="left" w:pos="958"/>
      </w:tabs>
      <w:spacing w:line="460" w:lineRule="exact"/>
      <w:ind w:left="958" w:hanging="420" w:firstLineChars="0"/>
      <w:outlineLvl w:val="7"/>
    </w:pPr>
    <w:rPr>
      <w:rFonts w:eastAsia="仿宋_GB2312" w:asciiTheme="minorHAnsi" w:cstheme="minorBidi"/>
      <w:szCs w:val="22"/>
    </w:rPr>
  </w:style>
  <w:style w:type="paragraph" w:customStyle="1" w:styleId="3366">
    <w:name w:val="样式 标题 11.标题 1§1.?.章标题 1h11st levelSection Headl1b1-*+ ...3"/>
    <w:basedOn w:val="3"/>
    <w:autoRedefine/>
    <w:qFormat/>
    <w:uiPriority w:val="0"/>
    <w:pPr>
      <w:keepLines w:val="0"/>
      <w:tabs>
        <w:tab w:val="left" w:pos="432"/>
      </w:tabs>
      <w:autoSpaceDE w:val="0"/>
      <w:autoSpaceDN w:val="0"/>
      <w:spacing w:before="0" w:beforeLines="100" w:after="120" w:afterLines="100" w:line="300" w:lineRule="auto"/>
      <w:ind w:left="862" w:hanging="431"/>
      <w:jc w:val="left"/>
    </w:pPr>
    <w:rPr>
      <w:rFonts w:ascii="宋体" w:eastAsia="仿宋_GB2312"/>
      <w:bCs/>
      <w:w w:val="90"/>
      <w:kern w:val="0"/>
      <w:sz w:val="24"/>
      <w:szCs w:val="24"/>
      <w:lang w:val="zh-CN"/>
    </w:rPr>
  </w:style>
  <w:style w:type="paragraph" w:customStyle="1" w:styleId="3367">
    <w:name w:val="Char Char2 Char Char Char2"/>
    <w:basedOn w:val="1"/>
    <w:autoRedefine/>
    <w:qFormat/>
    <w:uiPriority w:val="0"/>
    <w:pPr>
      <w:tabs>
        <w:tab w:val="left" w:pos="360"/>
      </w:tabs>
      <w:snapToGrid w:val="0"/>
      <w:spacing w:line="360" w:lineRule="auto"/>
    </w:pPr>
    <w:rPr>
      <w:rFonts w:eastAsia="仿宋_GB2312" w:cs="宋体"/>
      <w:szCs w:val="21"/>
    </w:rPr>
  </w:style>
  <w:style w:type="paragraph" w:customStyle="1" w:styleId="3368">
    <w:name w:val="样式 样式 标题 11.标题 1§1.?.章标题 1h11st levelSection Headl1b1-*+ ...3 + ..."/>
    <w:basedOn w:val="3366"/>
    <w:autoRedefine/>
    <w:qFormat/>
    <w:uiPriority w:val="0"/>
    <w:pPr>
      <w:tabs>
        <w:tab w:val="clear" w:pos="432"/>
      </w:tabs>
      <w:ind w:left="0" w:firstLine="0"/>
      <w:jc w:val="center"/>
    </w:pPr>
    <w:rPr>
      <w:rFonts w:ascii="楷体_GB2312" w:eastAsia="楷体_GB2312" w:cs="宋体"/>
      <w:sz w:val="32"/>
      <w:szCs w:val="32"/>
    </w:rPr>
  </w:style>
  <w:style w:type="paragraph" w:customStyle="1" w:styleId="3369">
    <w:name w:val="表格尾注"/>
    <w:basedOn w:val="1"/>
    <w:autoRedefine/>
    <w:qFormat/>
    <w:uiPriority w:val="0"/>
    <w:pPr>
      <w:adjustRightInd w:val="0"/>
      <w:snapToGrid w:val="0"/>
      <w:spacing w:after="120"/>
      <w:ind w:left="561"/>
      <w:jc w:val="left"/>
    </w:pPr>
    <w:rPr>
      <w:rFonts w:eastAsia="楷体_GB2312"/>
      <w:kern w:val="0"/>
      <w:szCs w:val="20"/>
    </w:rPr>
  </w:style>
  <w:style w:type="paragraph" w:customStyle="1" w:styleId="3370">
    <w:name w:val="正1"/>
    <w:basedOn w:val="1"/>
    <w:autoRedefine/>
    <w:qFormat/>
    <w:uiPriority w:val="0"/>
    <w:pPr>
      <w:spacing w:line="520" w:lineRule="atLeast"/>
      <w:ind w:firstLine="200" w:firstLineChars="200"/>
    </w:pPr>
    <w:rPr>
      <w:rFonts w:eastAsia="仿宋_GB2312"/>
      <w:sz w:val="28"/>
      <w:szCs w:val="28"/>
    </w:rPr>
  </w:style>
  <w:style w:type="paragraph" w:customStyle="1" w:styleId="3371">
    <w:name w:val="样式 标题 3 + 黑色 段前: 0行 段后: 0 行"/>
    <w:basedOn w:val="5"/>
    <w:autoRedefine/>
    <w:qFormat/>
    <w:uiPriority w:val="0"/>
    <w:pPr>
      <w:tabs>
        <w:tab w:val="left" w:pos="1080"/>
        <w:tab w:val="left" w:pos="7088"/>
      </w:tabs>
      <w:adjustRightInd w:val="0"/>
      <w:snapToGrid w:val="0"/>
      <w:spacing w:beforeLines="50" w:afterLines="50" w:line="312" w:lineRule="auto"/>
    </w:pPr>
    <w:rPr>
      <w:rFonts w:ascii="仿宋_GB2312" w:hAnsi="Times New Roman" w:eastAsia="仿宋_GB2312" w:cs="Times New Roman"/>
      <w:b w:val="0"/>
      <w:bCs w:val="0"/>
      <w:color w:val="000000"/>
      <w:kern w:val="0"/>
      <w:sz w:val="30"/>
      <w:szCs w:val="20"/>
      <w:lang w:val="zh-CN"/>
    </w:rPr>
  </w:style>
  <w:style w:type="paragraph" w:customStyle="1" w:styleId="3372">
    <w:name w:val="样式 正文文本缩进正文文字缩进 + 四号 首行缩进:  2 字符 行距: 最小值 25 磅"/>
    <w:basedOn w:val="35"/>
    <w:autoRedefine/>
    <w:qFormat/>
    <w:uiPriority w:val="0"/>
    <w:pPr>
      <w:snapToGrid/>
      <w:spacing w:before="0" w:line="500" w:lineRule="exact"/>
      <w:ind w:firstLine="200" w:firstLineChars="200"/>
    </w:pPr>
    <w:rPr>
      <w:rFonts w:eastAsia="仿宋_GB2312" w:cs="宋体"/>
      <w:sz w:val="28"/>
      <w:szCs w:val="20"/>
      <w:lang w:val="zh-CN"/>
    </w:rPr>
  </w:style>
  <w:style w:type="paragraph" w:customStyle="1" w:styleId="3373">
    <w:name w:val="Char1 Char Char Char Char Char"/>
    <w:basedOn w:val="1"/>
    <w:autoRedefine/>
    <w:qFormat/>
    <w:uiPriority w:val="0"/>
    <w:rPr>
      <w:rFonts w:eastAsia="仿宋_GB2312"/>
      <w:sz w:val="28"/>
      <w:szCs w:val="21"/>
    </w:rPr>
  </w:style>
  <w:style w:type="paragraph" w:customStyle="1" w:styleId="3374">
    <w:name w:val="标题33"/>
    <w:basedOn w:val="52"/>
    <w:next w:val="5"/>
    <w:autoRedefine/>
    <w:qFormat/>
    <w:uiPriority w:val="0"/>
    <w:pPr>
      <w:spacing w:before="0" w:line="500" w:lineRule="exact"/>
      <w:ind w:firstLine="0" w:firstLineChars="0"/>
    </w:pPr>
    <w:rPr>
      <w:rFonts w:ascii="仿宋_GB2312" w:eastAsia="仿宋_GB2312" w:hAnsiTheme="minorHAnsi" w:cstheme="minorBidi"/>
      <w:color w:val="000000"/>
      <w:spacing w:val="0"/>
      <w:sz w:val="28"/>
      <w:szCs w:val="21"/>
    </w:rPr>
  </w:style>
  <w:style w:type="paragraph" w:customStyle="1" w:styleId="3375">
    <w:name w:val="Char Char Char Char Char Char Char Char Char Char Char Char Char Char Char Char Char Char Char Char Char Char Char Char Char Char Char Char"/>
    <w:basedOn w:val="1"/>
    <w:autoRedefine/>
    <w:qFormat/>
    <w:uiPriority w:val="0"/>
    <w:rPr>
      <w:rFonts w:eastAsia="仿宋_GB2312"/>
      <w:szCs w:val="21"/>
    </w:rPr>
  </w:style>
  <w:style w:type="paragraph" w:customStyle="1" w:styleId="3376">
    <w:name w:val="样式 列表 2 + 宋体 小四 行距: 固定值 19 磅"/>
    <w:basedOn w:val="37"/>
    <w:autoRedefine/>
    <w:qFormat/>
    <w:uiPriority w:val="0"/>
    <w:pPr>
      <w:spacing w:line="400" w:lineRule="exact"/>
      <w:ind w:left="0" w:leftChars="0" w:firstLine="0" w:firstLineChars="0"/>
      <w:jc w:val="center"/>
    </w:pPr>
    <w:rPr>
      <w:rFonts w:ascii="宋体" w:eastAsia="仿宋_GB2312" w:cs="宋体"/>
      <w:sz w:val="24"/>
      <w:szCs w:val="20"/>
    </w:rPr>
  </w:style>
  <w:style w:type="paragraph" w:customStyle="1" w:styleId="3377">
    <w:name w:val="样式 左侧:  -0.16 厘米"/>
    <w:basedOn w:val="1"/>
    <w:autoRedefine/>
    <w:qFormat/>
    <w:uiPriority w:val="0"/>
    <w:pPr>
      <w:ind w:left="-90"/>
    </w:pPr>
    <w:rPr>
      <w:rFonts w:eastAsia="仿宋_GB2312" w:cs="宋体"/>
      <w:snapToGrid w:val="0"/>
      <w:kern w:val="0"/>
      <w:szCs w:val="21"/>
    </w:rPr>
  </w:style>
  <w:style w:type="paragraph" w:customStyle="1" w:styleId="3378">
    <w:name w:val="16"/>
    <w:basedOn w:val="1"/>
    <w:next w:val="45"/>
    <w:autoRedefine/>
    <w:qFormat/>
    <w:uiPriority w:val="0"/>
    <w:pPr>
      <w:spacing w:line="500" w:lineRule="exact"/>
    </w:pPr>
    <w:rPr>
      <w:rFonts w:eastAsia="仿宋_GB2312"/>
      <w:sz w:val="28"/>
      <w:szCs w:val="20"/>
    </w:rPr>
  </w:style>
  <w:style w:type="paragraph" w:customStyle="1" w:styleId="3379">
    <w:name w:val="little"/>
    <w:basedOn w:val="1"/>
    <w:autoRedefine/>
    <w:qFormat/>
    <w:uiPriority w:val="0"/>
    <w:pPr>
      <w:widowControl/>
      <w:spacing w:before="100" w:beforeAutospacing="1" w:after="100" w:afterAutospacing="1"/>
      <w:jc w:val="left"/>
    </w:pPr>
    <w:rPr>
      <w:rFonts w:eastAsia="仿宋_GB2312" w:cs="宋体"/>
      <w:kern w:val="0"/>
      <w:szCs w:val="21"/>
    </w:rPr>
  </w:style>
  <w:style w:type="paragraph" w:customStyle="1" w:styleId="3380">
    <w:name w:val="样式 标题 2 + 左侧:  2 字符"/>
    <w:basedOn w:val="4"/>
    <w:autoRedefine/>
    <w:qFormat/>
    <w:uiPriority w:val="0"/>
    <w:pPr>
      <w:keepNext w:val="0"/>
      <w:keepLines w:val="0"/>
      <w:tabs>
        <w:tab w:val="clear" w:pos="1276"/>
      </w:tabs>
      <w:adjustRightInd/>
      <w:spacing w:before="0" w:beforeLines="50" w:after="0" w:line="460" w:lineRule="exact"/>
      <w:ind w:left="0"/>
      <w:contextualSpacing/>
      <w:jc w:val="both"/>
      <w:textAlignment w:val="auto"/>
    </w:pPr>
    <w:rPr>
      <w:rFonts w:ascii="Times New Roman" w:hAnsi="Times New Roman" w:eastAsia="仿宋_GB2312" w:cs="宋体"/>
      <w:b w:val="0"/>
      <w:lang w:val="zh-CN"/>
    </w:rPr>
  </w:style>
  <w:style w:type="paragraph" w:customStyle="1" w:styleId="3381">
    <w:name w:val="样式 正文文本缩进正文文字缩进 + 行距: 单倍行距"/>
    <w:basedOn w:val="35"/>
    <w:autoRedefine/>
    <w:qFormat/>
    <w:uiPriority w:val="0"/>
    <w:pPr>
      <w:snapToGrid/>
      <w:spacing w:before="0" w:line="240" w:lineRule="auto"/>
      <w:ind w:firstLine="200" w:firstLineChars="200"/>
    </w:pPr>
    <w:rPr>
      <w:rFonts w:eastAsia="仿宋_GB2312" w:cs="宋体"/>
      <w:sz w:val="28"/>
      <w:szCs w:val="20"/>
      <w:lang w:val="zh-CN"/>
    </w:rPr>
  </w:style>
  <w:style w:type="paragraph" w:customStyle="1" w:styleId="3382">
    <w:name w:val="样式 左侧:  -0.16 厘米1"/>
    <w:basedOn w:val="1"/>
    <w:autoRedefine/>
    <w:qFormat/>
    <w:uiPriority w:val="0"/>
    <w:pPr>
      <w:ind w:left="-90"/>
    </w:pPr>
    <w:rPr>
      <w:rFonts w:eastAsia="仿宋_GB2312" w:cs="宋体"/>
      <w:snapToGrid w:val="0"/>
      <w:kern w:val="0"/>
      <w:szCs w:val="21"/>
    </w:rPr>
  </w:style>
  <w:style w:type="paragraph" w:customStyle="1" w:styleId="3383">
    <w:name w:val="黑点"/>
    <w:basedOn w:val="1"/>
    <w:autoRedefine/>
    <w:qFormat/>
    <w:uiPriority w:val="0"/>
    <w:pPr>
      <w:tabs>
        <w:tab w:val="left" w:pos="425"/>
        <w:tab w:val="left" w:pos="600"/>
        <w:tab w:val="left" w:pos="2100"/>
      </w:tabs>
      <w:adjustRightInd w:val="0"/>
      <w:spacing w:line="360" w:lineRule="auto"/>
      <w:ind w:left="2100" w:hanging="425"/>
      <w:jc w:val="left"/>
    </w:pPr>
    <w:rPr>
      <w:rFonts w:eastAsia="仿宋_GB2312"/>
      <w:color w:val="000000"/>
      <w:kern w:val="0"/>
      <w:szCs w:val="20"/>
    </w:rPr>
  </w:style>
  <w:style w:type="paragraph" w:customStyle="1" w:styleId="3384">
    <w:name w:val="样式 首行缩进:  0.77 厘米 行距: 1.5 倍行距"/>
    <w:basedOn w:val="1"/>
    <w:autoRedefine/>
    <w:qFormat/>
    <w:uiPriority w:val="0"/>
    <w:pPr>
      <w:spacing w:line="360" w:lineRule="auto"/>
      <w:ind w:firstLine="435"/>
    </w:pPr>
    <w:rPr>
      <w:rFonts w:eastAsia="仿宋_GB2312" w:cs="宋体"/>
      <w:snapToGrid w:val="0"/>
      <w:kern w:val="0"/>
      <w:szCs w:val="21"/>
    </w:rPr>
  </w:style>
  <w:style w:type="paragraph" w:customStyle="1" w:styleId="3385">
    <w:name w:val="样式 标题 2节标题 1.1H2（一）Underrubrik1prop2Heading 2 HiddenHeadi..."/>
    <w:basedOn w:val="4"/>
    <w:autoRedefine/>
    <w:qFormat/>
    <w:uiPriority w:val="0"/>
    <w:pPr>
      <w:keepNext w:val="0"/>
      <w:keepLines w:val="0"/>
      <w:tabs>
        <w:tab w:val="clear" w:pos="1276"/>
      </w:tabs>
      <w:snapToGrid w:val="0"/>
      <w:spacing w:before="0" w:after="0" w:line="240" w:lineRule="auto"/>
      <w:ind w:left="0"/>
      <w:contextualSpacing/>
      <w:jc w:val="both"/>
      <w:textAlignment w:val="auto"/>
    </w:pPr>
    <w:rPr>
      <w:rFonts w:ascii="宋体" w:hAnsi="Times New Roman" w:eastAsia="仿宋_GB2312" w:cs="宋体"/>
      <w:bCs/>
      <w:lang w:val="zh-CN"/>
    </w:rPr>
  </w:style>
  <w:style w:type="paragraph" w:customStyle="1" w:styleId="3386">
    <w:name w:val="样式 标题 3 + 左侧:  2 字符"/>
    <w:basedOn w:val="5"/>
    <w:next w:val="1"/>
    <w:autoRedefine/>
    <w:qFormat/>
    <w:uiPriority w:val="0"/>
    <w:pPr>
      <w:tabs>
        <w:tab w:val="left" w:pos="7088"/>
      </w:tabs>
      <w:adjustRightInd w:val="0"/>
      <w:spacing w:beforeLines="50" w:after="0" w:line="520" w:lineRule="exact"/>
    </w:pPr>
    <w:rPr>
      <w:rFonts w:ascii="Times New Roman" w:hAnsi="Times New Roman" w:eastAsia="仿宋_GB2312" w:cs="宋体"/>
      <w:b w:val="0"/>
      <w:bCs w:val="0"/>
      <w:sz w:val="24"/>
      <w:szCs w:val="30"/>
      <w:lang w:val="zh-CN"/>
    </w:rPr>
  </w:style>
  <w:style w:type="paragraph" w:customStyle="1" w:styleId="3387">
    <w:name w:val="正文条目a"/>
    <w:basedOn w:val="1"/>
    <w:autoRedefine/>
    <w:qFormat/>
    <w:uiPriority w:val="0"/>
    <w:pPr>
      <w:ind w:left="400" w:leftChars="300" w:hanging="100" w:hangingChars="100"/>
    </w:pPr>
    <w:rPr>
      <w:rFonts w:eastAsia="仿宋_GB2312"/>
      <w:szCs w:val="21"/>
    </w:rPr>
  </w:style>
  <w:style w:type="paragraph" w:customStyle="1" w:styleId="3388">
    <w:name w:val="样式 左  0 字符"/>
    <w:basedOn w:val="1"/>
    <w:autoRedefine/>
    <w:qFormat/>
    <w:uiPriority w:val="0"/>
    <w:pPr>
      <w:spacing w:line="460" w:lineRule="exact"/>
      <w:ind w:firstLine="200" w:firstLineChars="200"/>
    </w:pPr>
    <w:rPr>
      <w:rFonts w:eastAsia="仿宋_GB2312" w:cs="宋体"/>
      <w:szCs w:val="20"/>
    </w:rPr>
  </w:style>
  <w:style w:type="paragraph" w:customStyle="1" w:styleId="3389">
    <w:name w:val="样式 仿宋_GB2312 红色"/>
    <w:basedOn w:val="1"/>
    <w:autoRedefine/>
    <w:qFormat/>
    <w:uiPriority w:val="0"/>
    <w:pPr>
      <w:spacing w:line="500" w:lineRule="exact"/>
    </w:pPr>
    <w:rPr>
      <w:rFonts w:eastAsia="仿宋_GB2312" w:cs="宋体"/>
      <w:sz w:val="28"/>
      <w:szCs w:val="28"/>
    </w:rPr>
  </w:style>
  <w:style w:type="paragraph" w:customStyle="1" w:styleId="3390">
    <w:name w:val="22"/>
    <w:basedOn w:val="1"/>
    <w:next w:val="35"/>
    <w:autoRedefine/>
    <w:qFormat/>
    <w:uiPriority w:val="0"/>
    <w:pPr>
      <w:spacing w:line="500" w:lineRule="exact"/>
      <w:ind w:firstLine="200" w:firstLineChars="200"/>
    </w:pPr>
    <w:rPr>
      <w:rFonts w:ascii="仿宋_GB2312" w:eastAsia="仿宋_GB2312"/>
      <w:color w:val="FF0000"/>
      <w:sz w:val="28"/>
      <w:szCs w:val="20"/>
    </w:rPr>
  </w:style>
  <w:style w:type="paragraph" w:customStyle="1" w:styleId="3391">
    <w:name w:val="样式 标题 2节 + 段前: 1 行 段后: 0.5 行1"/>
    <w:basedOn w:val="1"/>
    <w:autoRedefine/>
    <w:qFormat/>
    <w:uiPriority w:val="0"/>
    <w:pPr>
      <w:tabs>
        <w:tab w:val="left" w:pos="567"/>
      </w:tabs>
      <w:ind w:left="567" w:hanging="567"/>
    </w:pPr>
    <w:rPr>
      <w:rFonts w:eastAsia="仿宋_GB2312"/>
      <w:sz w:val="28"/>
      <w:szCs w:val="21"/>
    </w:rPr>
  </w:style>
  <w:style w:type="paragraph" w:customStyle="1" w:styleId="3392">
    <w:name w:val="cjh"/>
    <w:basedOn w:val="1"/>
    <w:next w:val="1"/>
    <w:autoRedefine/>
    <w:qFormat/>
    <w:uiPriority w:val="0"/>
    <w:pPr>
      <w:keepLines/>
      <w:suppressLineNumbers/>
      <w:suppressAutoHyphens/>
      <w:jc w:val="center"/>
      <w:outlineLvl w:val="0"/>
    </w:pPr>
    <w:rPr>
      <w:rFonts w:eastAsia="仿宋_GB2312"/>
      <w:kern w:val="24"/>
      <w:sz w:val="28"/>
      <w:szCs w:val="20"/>
    </w:rPr>
  </w:style>
  <w:style w:type="paragraph" w:customStyle="1" w:styleId="3393">
    <w:name w:val="编号A."/>
    <w:basedOn w:val="1"/>
    <w:autoRedefine/>
    <w:qFormat/>
    <w:uiPriority w:val="0"/>
    <w:pPr>
      <w:tabs>
        <w:tab w:val="left" w:pos="360"/>
        <w:tab w:val="left" w:pos="547"/>
        <w:tab w:val="left" w:pos="1080"/>
      </w:tabs>
      <w:spacing w:line="480" w:lineRule="atLeast"/>
    </w:pPr>
    <w:rPr>
      <w:rFonts w:eastAsia="仿宋_GB2312"/>
      <w:sz w:val="28"/>
      <w:szCs w:val="20"/>
    </w:rPr>
  </w:style>
  <w:style w:type="paragraph" w:customStyle="1" w:styleId="3394">
    <w:name w:val="样式 标题 2第一章 标题 2Heading 2 HiddenHeading 2 CCBSheading 2H2h2...2"/>
    <w:basedOn w:val="4"/>
    <w:autoRedefine/>
    <w:qFormat/>
    <w:uiPriority w:val="0"/>
    <w:pPr>
      <w:keepNext w:val="0"/>
      <w:keepLines w:val="0"/>
      <w:tabs>
        <w:tab w:val="clear" w:pos="1276"/>
      </w:tabs>
      <w:adjustRightInd/>
      <w:spacing w:before="0" w:after="0" w:line="500" w:lineRule="exact"/>
      <w:ind w:left="0"/>
      <w:contextualSpacing/>
      <w:jc w:val="both"/>
      <w:textAlignment w:val="auto"/>
    </w:pPr>
    <w:rPr>
      <w:rFonts w:ascii="Times New Roman" w:hAnsi="Times New Roman" w:eastAsia="仿宋_GB2312"/>
      <w:bCs/>
      <w:color w:val="000000"/>
      <w:szCs w:val="32"/>
      <w:lang w:val="zh-CN"/>
    </w:rPr>
  </w:style>
  <w:style w:type="paragraph" w:customStyle="1" w:styleId="3395">
    <w:name w:val="编号(1)"/>
    <w:basedOn w:val="1"/>
    <w:autoRedefine/>
    <w:qFormat/>
    <w:uiPriority w:val="0"/>
    <w:pPr>
      <w:tabs>
        <w:tab w:val="left" w:pos="360"/>
        <w:tab w:val="left" w:pos="547"/>
        <w:tab w:val="left" w:pos="1080"/>
      </w:tabs>
      <w:spacing w:line="480" w:lineRule="atLeast"/>
    </w:pPr>
    <w:rPr>
      <w:rFonts w:eastAsia="仿宋_GB2312"/>
      <w:sz w:val="28"/>
      <w:szCs w:val="20"/>
    </w:rPr>
  </w:style>
  <w:style w:type="paragraph" w:customStyle="1" w:styleId="3396">
    <w:name w:val="样式 标题 3 + 左侧:  0 厘米 首行缩进:  0 厘米"/>
    <w:basedOn w:val="5"/>
    <w:autoRedefine/>
    <w:qFormat/>
    <w:uiPriority w:val="0"/>
    <w:pPr>
      <w:tabs>
        <w:tab w:val="left" w:pos="7088"/>
      </w:tabs>
      <w:autoSpaceDE w:val="0"/>
      <w:autoSpaceDN w:val="0"/>
      <w:adjustRightInd w:val="0"/>
      <w:snapToGrid w:val="0"/>
      <w:spacing w:beforeLines="50" w:after="0" w:line="500" w:lineRule="exact"/>
      <w:jc w:val="left"/>
    </w:pPr>
    <w:rPr>
      <w:rFonts w:ascii="Times New Roman" w:hAnsi="Times New Roman" w:eastAsia="仿宋_GB2312" w:cs="宋体"/>
      <w:b w:val="0"/>
      <w:bCs w:val="0"/>
      <w:kern w:val="0"/>
      <w:sz w:val="30"/>
      <w:szCs w:val="20"/>
      <w:lang w:val="zh-CN"/>
    </w:rPr>
  </w:style>
  <w:style w:type="paragraph" w:customStyle="1" w:styleId="3397">
    <w:name w:val="样式 正文文本btBody Text(ch) + 仿宋_GB2312 五号"/>
    <w:basedOn w:val="34"/>
    <w:autoRedefine/>
    <w:qFormat/>
    <w:uiPriority w:val="0"/>
    <w:pPr>
      <w:adjustRightInd w:val="0"/>
      <w:snapToGrid w:val="0"/>
      <w:spacing w:after="0" w:line="500" w:lineRule="exact"/>
    </w:pPr>
    <w:rPr>
      <w:rFonts w:ascii="仿宋_GB2312" w:hAnsi="仿宋_GB2312" w:eastAsia="仿宋_GB2312" w:cstheme="minorBidi"/>
      <w:sz w:val="28"/>
      <w:szCs w:val="21"/>
    </w:rPr>
  </w:style>
  <w:style w:type="paragraph" w:customStyle="1" w:styleId="3398">
    <w:name w:val="14"/>
    <w:basedOn w:val="1"/>
    <w:next w:val="35"/>
    <w:autoRedefine/>
    <w:qFormat/>
    <w:uiPriority w:val="0"/>
    <w:pPr>
      <w:spacing w:line="500" w:lineRule="exact"/>
      <w:ind w:firstLine="200" w:firstLineChars="200"/>
    </w:pPr>
    <w:rPr>
      <w:rFonts w:ascii="仿宋_GB2312" w:eastAsia="仿宋_GB2312"/>
      <w:color w:val="FF0000"/>
      <w:sz w:val="28"/>
      <w:szCs w:val="20"/>
    </w:rPr>
  </w:style>
  <w:style w:type="paragraph" w:customStyle="1" w:styleId="3399">
    <w:name w:val="编号1."/>
    <w:basedOn w:val="1"/>
    <w:autoRedefine/>
    <w:qFormat/>
    <w:uiPriority w:val="0"/>
    <w:pPr>
      <w:tabs>
        <w:tab w:val="left" w:pos="360"/>
        <w:tab w:val="left" w:pos="547"/>
        <w:tab w:val="left" w:pos="1080"/>
      </w:tabs>
      <w:spacing w:line="480" w:lineRule="atLeast"/>
    </w:pPr>
    <w:rPr>
      <w:rFonts w:eastAsia="仿宋_GB2312"/>
      <w:sz w:val="28"/>
      <w:szCs w:val="20"/>
    </w:rPr>
  </w:style>
  <w:style w:type="paragraph" w:customStyle="1" w:styleId="3400">
    <w:name w:val="样式 标题 4 + 黑色 左侧:  -0.01 厘米 首行缩进:  0.01 厘米"/>
    <w:basedOn w:val="6"/>
    <w:autoRedefine/>
    <w:qFormat/>
    <w:uiPriority w:val="0"/>
    <w:pPr>
      <w:tabs>
        <w:tab w:val="left" w:pos="2160"/>
        <w:tab w:val="clear" w:pos="2976"/>
      </w:tabs>
      <w:adjustRightInd w:val="0"/>
      <w:snapToGrid w:val="0"/>
      <w:spacing w:beforeLines="50" w:after="0" w:line="312" w:lineRule="auto"/>
      <w:ind w:left="4320" w:hanging="420"/>
    </w:pPr>
    <w:rPr>
      <w:rFonts w:ascii="仿宋_GB2312" w:hAnsi="Cambria" w:eastAsia="仿宋_GB2312"/>
      <w:b w:val="0"/>
      <w:snapToGrid w:val="0"/>
      <w:color w:val="000000"/>
      <w:szCs w:val="20"/>
      <w:lang w:val="zh-CN"/>
    </w:rPr>
  </w:style>
  <w:style w:type="paragraph" w:customStyle="1" w:styleId="3401">
    <w:name w:val="表格居中"/>
    <w:basedOn w:val="1"/>
    <w:autoRedefine/>
    <w:qFormat/>
    <w:uiPriority w:val="0"/>
    <w:pPr>
      <w:snapToGrid w:val="0"/>
      <w:jc w:val="center"/>
    </w:pPr>
    <w:rPr>
      <w:rFonts w:eastAsia="仿宋_GB2312"/>
      <w:bCs/>
      <w:kern w:val="18"/>
      <w:sz w:val="28"/>
      <w:szCs w:val="21"/>
      <w:u w:color="FF0000"/>
    </w:rPr>
  </w:style>
  <w:style w:type="paragraph" w:customStyle="1" w:styleId="3402">
    <w:name w:val="Char Char2 Char Char Char Char"/>
    <w:basedOn w:val="1"/>
    <w:autoRedefine/>
    <w:qFormat/>
    <w:uiPriority w:val="0"/>
    <w:rPr>
      <w:rFonts w:eastAsia="仿宋_GB2312"/>
      <w:sz w:val="30"/>
      <w:szCs w:val="30"/>
    </w:rPr>
  </w:style>
  <w:style w:type="paragraph" w:customStyle="1" w:styleId="3403">
    <w:name w:val="样式 样式 题注 + 两端对齐 + 宋体"/>
    <w:basedOn w:val="1"/>
    <w:autoRedefine/>
    <w:qFormat/>
    <w:uiPriority w:val="0"/>
    <w:pPr>
      <w:keepNext/>
      <w:snapToGrid w:val="0"/>
      <w:spacing w:line="360" w:lineRule="auto"/>
      <w:jc w:val="center"/>
    </w:pPr>
    <w:rPr>
      <w:rFonts w:eastAsia="仿宋_GB2312"/>
      <w:kern w:val="0"/>
      <w:sz w:val="28"/>
      <w:szCs w:val="20"/>
    </w:rPr>
  </w:style>
  <w:style w:type="paragraph" w:customStyle="1" w:styleId="3404">
    <w:name w:val="Char Char2 Char Char Char"/>
    <w:basedOn w:val="1"/>
    <w:autoRedefine/>
    <w:qFormat/>
    <w:uiPriority w:val="0"/>
    <w:pPr>
      <w:snapToGrid w:val="0"/>
      <w:spacing w:line="360" w:lineRule="auto"/>
      <w:ind w:firstLine="200" w:firstLineChars="200"/>
    </w:pPr>
    <w:rPr>
      <w:rFonts w:eastAsia="仿宋_GB2312"/>
      <w:szCs w:val="21"/>
    </w:rPr>
  </w:style>
  <w:style w:type="paragraph" w:customStyle="1" w:styleId="3405">
    <w:name w:val="zhenwen"/>
    <w:basedOn w:val="1"/>
    <w:autoRedefine/>
    <w:qFormat/>
    <w:uiPriority w:val="0"/>
    <w:pPr>
      <w:widowControl/>
      <w:spacing w:before="100" w:beforeAutospacing="1" w:after="100" w:afterAutospacing="1" w:line="360" w:lineRule="atLeast"/>
      <w:jc w:val="left"/>
    </w:pPr>
    <w:rPr>
      <w:rFonts w:ascii="Բ" w:hAnsi="Բ" w:eastAsia="仿宋_GB2312"/>
      <w:color w:val="000000"/>
      <w:kern w:val="0"/>
      <w:sz w:val="18"/>
      <w:szCs w:val="18"/>
    </w:rPr>
  </w:style>
  <w:style w:type="paragraph" w:customStyle="1" w:styleId="3406">
    <w:name w:val="样式 样式 仿宋_GB2312 四号 行距: 1.5 倍行距 + 首行缩进:  1.92 字符"/>
    <w:basedOn w:val="1"/>
    <w:autoRedefine/>
    <w:qFormat/>
    <w:uiPriority w:val="0"/>
    <w:pPr>
      <w:spacing w:line="360" w:lineRule="auto"/>
      <w:ind w:firstLine="200" w:firstLineChars="200"/>
    </w:pPr>
    <w:rPr>
      <w:rFonts w:eastAsia="仿宋_GB2312"/>
      <w:color w:val="0000FF"/>
      <w:kern w:val="0"/>
      <w:sz w:val="28"/>
      <w:szCs w:val="20"/>
    </w:rPr>
  </w:style>
  <w:style w:type="paragraph" w:customStyle="1" w:styleId="3407">
    <w:name w:val="正文aa"/>
    <w:basedOn w:val="1"/>
    <w:autoRedefine/>
    <w:qFormat/>
    <w:uiPriority w:val="0"/>
    <w:pPr>
      <w:spacing w:line="360" w:lineRule="auto"/>
      <w:ind w:firstLine="200" w:firstLineChars="200"/>
    </w:pPr>
    <w:rPr>
      <w:rFonts w:eastAsia="仿宋_GB2312"/>
      <w:szCs w:val="21"/>
    </w:rPr>
  </w:style>
  <w:style w:type="paragraph" w:customStyle="1" w:styleId="3408">
    <w:name w:val="ldy正文"/>
    <w:basedOn w:val="1"/>
    <w:autoRedefine/>
    <w:qFormat/>
    <w:uiPriority w:val="0"/>
    <w:pPr>
      <w:spacing w:line="360" w:lineRule="auto"/>
      <w:ind w:firstLine="200" w:firstLineChars="200"/>
    </w:pPr>
    <w:rPr>
      <w:rFonts w:eastAsia="仿宋_GB2312"/>
      <w:kern w:val="0"/>
      <w:szCs w:val="21"/>
    </w:rPr>
  </w:style>
  <w:style w:type="paragraph" w:customStyle="1" w:styleId="3409">
    <w:name w:val="23"/>
    <w:basedOn w:val="1"/>
    <w:next w:val="35"/>
    <w:autoRedefine/>
    <w:qFormat/>
    <w:uiPriority w:val="0"/>
    <w:pPr>
      <w:spacing w:line="500" w:lineRule="exact"/>
      <w:ind w:firstLine="200" w:firstLineChars="200"/>
    </w:pPr>
    <w:rPr>
      <w:rFonts w:ascii="仿宋_GB2312" w:eastAsia="仿宋_GB2312"/>
      <w:color w:val="FF0000"/>
      <w:sz w:val="28"/>
      <w:szCs w:val="20"/>
    </w:rPr>
  </w:style>
  <w:style w:type="paragraph" w:customStyle="1" w:styleId="3410">
    <w:name w:val="+列表编号"/>
    <w:basedOn w:val="1"/>
    <w:autoRedefine/>
    <w:qFormat/>
    <w:uiPriority w:val="0"/>
    <w:pPr>
      <w:tabs>
        <w:tab w:val="center" w:pos="4200"/>
        <w:tab w:val="right" w:pos="8400"/>
      </w:tabs>
      <w:spacing w:before="120" w:after="120"/>
      <w:jc w:val="right"/>
    </w:pPr>
    <w:rPr>
      <w:rFonts w:eastAsia="仿宋_GB2312"/>
      <w:kern w:val="0"/>
      <w:szCs w:val="28"/>
    </w:rPr>
  </w:style>
  <w:style w:type="paragraph" w:customStyle="1" w:styleId="3411">
    <w:name w:val="正文e"/>
    <w:basedOn w:val="1"/>
    <w:autoRedefine/>
    <w:qFormat/>
    <w:uiPriority w:val="0"/>
    <w:rPr>
      <w:rFonts w:ascii="Arial" w:hAnsi="Arial" w:eastAsia="仿宋_GB2312" w:cs="Arial"/>
      <w:szCs w:val="20"/>
    </w:rPr>
  </w:style>
  <w:style w:type="paragraph" w:customStyle="1" w:styleId="3412">
    <w:name w:val="样式 标题 3条 + 两端对齐1"/>
    <w:basedOn w:val="5"/>
    <w:autoRedefine/>
    <w:qFormat/>
    <w:uiPriority w:val="0"/>
    <w:pPr>
      <w:keepNext w:val="0"/>
      <w:keepLines w:val="0"/>
      <w:widowControl/>
      <w:tabs>
        <w:tab w:val="left" w:pos="290"/>
        <w:tab w:val="left" w:pos="500"/>
        <w:tab w:val="left" w:pos="1130"/>
        <w:tab w:val="left" w:pos="3229"/>
        <w:tab w:val="left" w:pos="7088"/>
      </w:tabs>
      <w:adjustRightInd w:val="0"/>
      <w:snapToGrid w:val="0"/>
      <w:spacing w:beforeLines="50" w:after="156" w:line="440" w:lineRule="exact"/>
      <w:ind w:left="480" w:hanging="480"/>
      <w:jc w:val="left"/>
    </w:pPr>
    <w:rPr>
      <w:rFonts w:ascii="宋体" w:hAnsi="Times New Roman" w:eastAsia="仿宋_GB2312" w:cs="宋体"/>
      <w:b w:val="0"/>
      <w:bCs w:val="0"/>
      <w:kern w:val="0"/>
      <w:sz w:val="24"/>
      <w:szCs w:val="20"/>
      <w:lang w:val="zh-CN"/>
    </w:rPr>
  </w:style>
  <w:style w:type="paragraph" w:customStyle="1" w:styleId="3413">
    <w:name w:val="样式 标题 1h1H1PIM 1标书11.标题 1Section HeadHeader11st levell1...1"/>
    <w:basedOn w:val="3"/>
    <w:autoRedefine/>
    <w:qFormat/>
    <w:uiPriority w:val="0"/>
    <w:pPr>
      <w:spacing w:before="0" w:after="0" w:line="500" w:lineRule="exact"/>
    </w:pPr>
    <w:rPr>
      <w:rFonts w:eastAsia="黑体"/>
      <w:bCs/>
      <w:sz w:val="30"/>
      <w:szCs w:val="44"/>
      <w:lang w:val="zh-CN"/>
    </w:rPr>
  </w:style>
  <w:style w:type="paragraph" w:customStyle="1" w:styleId="3414">
    <w:name w:val="Char Char Char Char Char Char Char Char Char1 Char Char Char Char Char Char2"/>
    <w:basedOn w:val="1"/>
    <w:autoRedefine/>
    <w:qFormat/>
    <w:uiPriority w:val="0"/>
    <w:rPr>
      <w:rFonts w:eastAsia="仿宋_GB2312"/>
      <w:sz w:val="28"/>
      <w:szCs w:val="21"/>
    </w:rPr>
  </w:style>
  <w:style w:type="paragraph" w:customStyle="1" w:styleId="3415">
    <w:name w:val="样式 仿宋_GB2312 小四 居中 行距: 最小值 12 磅"/>
    <w:basedOn w:val="1"/>
    <w:autoRedefine/>
    <w:qFormat/>
    <w:uiPriority w:val="0"/>
    <w:pPr>
      <w:spacing w:line="400" w:lineRule="exact"/>
      <w:jc w:val="center"/>
    </w:pPr>
    <w:rPr>
      <w:rFonts w:ascii="仿宋_GB2312" w:hAnsi="仿宋_GB2312" w:eastAsia="仿宋_GB2312" w:cs="宋体"/>
      <w:sz w:val="28"/>
      <w:szCs w:val="20"/>
    </w:rPr>
  </w:style>
  <w:style w:type="paragraph" w:customStyle="1" w:styleId="3416">
    <w:name w:val="正文表格"/>
    <w:basedOn w:val="1"/>
    <w:autoRedefine/>
    <w:qFormat/>
    <w:uiPriority w:val="0"/>
    <w:pPr>
      <w:keepNext/>
      <w:keepLines/>
      <w:overflowPunct w:val="0"/>
      <w:adjustRightInd w:val="0"/>
      <w:spacing w:before="80" w:line="500" w:lineRule="exact"/>
      <w:jc w:val="center"/>
    </w:pPr>
    <w:rPr>
      <w:rFonts w:eastAsia="仿宋_GB2312"/>
      <w:kern w:val="0"/>
      <w:sz w:val="28"/>
      <w:szCs w:val="20"/>
    </w:rPr>
  </w:style>
  <w:style w:type="paragraph" w:customStyle="1" w:styleId="3417">
    <w:name w:val="样式 标题2 + (西文) Times New Roman (中文) 宋体 加粗"/>
    <w:basedOn w:val="4"/>
    <w:autoRedefine/>
    <w:qFormat/>
    <w:uiPriority w:val="0"/>
    <w:pPr>
      <w:keepNext w:val="0"/>
      <w:keepLines w:val="0"/>
      <w:tabs>
        <w:tab w:val="clear" w:pos="1276"/>
      </w:tabs>
      <w:adjustRightInd/>
      <w:spacing w:before="0" w:beforeLines="50" w:after="0" w:afterLines="50" w:line="500" w:lineRule="exact"/>
      <w:ind w:left="0"/>
      <w:contextualSpacing/>
      <w:jc w:val="both"/>
      <w:textAlignment w:val="auto"/>
      <w:outlineLvl w:val="0"/>
    </w:pPr>
    <w:rPr>
      <w:rFonts w:ascii="Times New Roman" w:hAnsi="Times New Roman" w:eastAsia="仿宋_GB2312"/>
      <w:bCs/>
      <w:lang w:val="zh-CN"/>
    </w:rPr>
  </w:style>
  <w:style w:type="paragraph" w:customStyle="1" w:styleId="3418">
    <w:name w:val="样式 标题 2第一章 标题 2Heading 2 HiddenHeading 2 CCBSheading 2H2h2...4"/>
    <w:basedOn w:val="4"/>
    <w:autoRedefine/>
    <w:qFormat/>
    <w:uiPriority w:val="0"/>
    <w:pPr>
      <w:keepNext w:val="0"/>
      <w:keepLines w:val="0"/>
      <w:tabs>
        <w:tab w:val="clear" w:pos="1276"/>
      </w:tabs>
      <w:adjustRightInd/>
      <w:spacing w:before="0" w:after="0" w:line="500" w:lineRule="exact"/>
      <w:ind w:left="0"/>
      <w:contextualSpacing/>
      <w:jc w:val="both"/>
      <w:textAlignment w:val="auto"/>
    </w:pPr>
    <w:rPr>
      <w:rFonts w:ascii="Times New Roman" w:hAnsi="Times New Roman" w:eastAsia="仿宋_GB2312"/>
      <w:bCs/>
      <w:color w:val="000000"/>
      <w:szCs w:val="32"/>
      <w:lang w:val="zh-CN"/>
    </w:rPr>
  </w:style>
  <w:style w:type="paragraph" w:customStyle="1" w:styleId="3419">
    <w:name w:val="项目1"/>
    <w:basedOn w:val="1"/>
    <w:autoRedefine/>
    <w:qFormat/>
    <w:uiPriority w:val="0"/>
    <w:pPr>
      <w:tabs>
        <w:tab w:val="left" w:pos="425"/>
      </w:tabs>
      <w:snapToGrid w:val="0"/>
      <w:spacing w:line="0" w:lineRule="atLeast"/>
      <w:ind w:left="425" w:hanging="425"/>
    </w:pPr>
    <w:rPr>
      <w:rFonts w:eastAsia="仿宋_GB2312"/>
      <w:sz w:val="28"/>
      <w:szCs w:val="20"/>
    </w:rPr>
  </w:style>
  <w:style w:type="paragraph" w:customStyle="1" w:styleId="3420">
    <w:name w:val="Char1 Char Char Char Char Char1"/>
    <w:basedOn w:val="1"/>
    <w:autoRedefine/>
    <w:qFormat/>
    <w:uiPriority w:val="0"/>
    <w:rPr>
      <w:rFonts w:eastAsia="仿宋_GB2312"/>
      <w:sz w:val="28"/>
      <w:szCs w:val="21"/>
    </w:rPr>
  </w:style>
  <w:style w:type="paragraph" w:customStyle="1" w:styleId="3421">
    <w:name w:val="样式 样式 正文文本缩进正文文字缩进 + 行距: 单倍行距 + 首行缩进:  2 字符"/>
    <w:basedOn w:val="3381"/>
    <w:autoRedefine/>
    <w:qFormat/>
    <w:uiPriority w:val="0"/>
    <w:pPr>
      <w:spacing w:line="500" w:lineRule="exact"/>
    </w:pPr>
  </w:style>
  <w:style w:type="paragraph" w:customStyle="1" w:styleId="3422">
    <w:name w:val="正文 居中"/>
    <w:basedOn w:val="1"/>
    <w:autoRedefine/>
    <w:qFormat/>
    <w:uiPriority w:val="0"/>
    <w:pPr>
      <w:snapToGrid w:val="0"/>
      <w:spacing w:before="48" w:after="48" w:line="360" w:lineRule="auto"/>
      <w:jc w:val="center"/>
    </w:pPr>
    <w:rPr>
      <w:rFonts w:eastAsia="仿宋_GB2312"/>
      <w:bCs/>
      <w:kern w:val="0"/>
      <w:szCs w:val="20"/>
    </w:rPr>
  </w:style>
  <w:style w:type="paragraph" w:customStyle="1" w:styleId="3423">
    <w:name w:val="样式 标题1 + 段前: 6 磅 段后: 6 磅"/>
    <w:basedOn w:val="3"/>
    <w:autoRedefine/>
    <w:qFormat/>
    <w:uiPriority w:val="0"/>
    <w:pPr>
      <w:spacing w:before="0" w:after="0" w:line="500" w:lineRule="exact"/>
    </w:pPr>
    <w:rPr>
      <w:rFonts w:eastAsia="黑体" w:cs="宋体"/>
      <w:bCs/>
      <w:sz w:val="30"/>
      <w:lang w:val="zh-CN"/>
    </w:rPr>
  </w:style>
  <w:style w:type="paragraph" w:customStyle="1" w:styleId="3424">
    <w:name w:val="样式 标题3 + Times New Roman"/>
    <w:basedOn w:val="5"/>
    <w:autoRedefine/>
    <w:qFormat/>
    <w:uiPriority w:val="0"/>
    <w:pPr>
      <w:keepNext w:val="0"/>
      <w:keepLines w:val="0"/>
      <w:tabs>
        <w:tab w:val="left" w:pos="7088"/>
      </w:tabs>
      <w:adjustRightInd w:val="0"/>
      <w:spacing w:beforeLines="50" w:after="0" w:line="500" w:lineRule="exact"/>
      <w:outlineLvl w:val="9"/>
    </w:pPr>
    <w:rPr>
      <w:rFonts w:ascii="Times New Roman" w:hAnsi="Times New Roman" w:eastAsia="仿宋_GB2312" w:cs="Times New Roman"/>
      <w:sz w:val="30"/>
      <w:szCs w:val="20"/>
      <w:lang w:val="zh-CN"/>
    </w:rPr>
  </w:style>
  <w:style w:type="paragraph" w:customStyle="1" w:styleId="3425">
    <w:name w:val="Char Char Char Char Char Char Char Char Char Char Char Char Char Char Char Char Char Char Char Char Char Char Char Char Char Char Char Char Char Char Char Char Char Char Char Char Char1"/>
    <w:basedOn w:val="1"/>
    <w:autoRedefine/>
    <w:qFormat/>
    <w:uiPriority w:val="0"/>
    <w:rPr>
      <w:rFonts w:eastAsia="仿宋_GB2312"/>
      <w:szCs w:val="21"/>
    </w:rPr>
  </w:style>
  <w:style w:type="paragraph" w:customStyle="1" w:styleId="3426">
    <w:name w:val="表格两端对齐"/>
    <w:basedOn w:val="3401"/>
    <w:autoRedefine/>
    <w:qFormat/>
    <w:uiPriority w:val="0"/>
    <w:pPr>
      <w:spacing w:line="360" w:lineRule="auto"/>
    </w:pPr>
  </w:style>
  <w:style w:type="paragraph" w:customStyle="1" w:styleId="3427">
    <w:name w:val="样式 样式 标题2 + (西文) Times New Roman (中文) 宋体 加粗 + 段前: 0.5 行 段后: 0.5..."/>
    <w:basedOn w:val="3417"/>
    <w:autoRedefine/>
    <w:qFormat/>
    <w:uiPriority w:val="0"/>
    <w:pPr/>
    <w:rPr>
      <w:rFonts w:cs="宋体"/>
    </w:rPr>
  </w:style>
  <w:style w:type="paragraph" w:customStyle="1" w:styleId="3428">
    <w:name w:val="样式 标题 1h1H1PIM 1标书11.标题 1Section HeadHeader11st levell1..."/>
    <w:basedOn w:val="3"/>
    <w:autoRedefine/>
    <w:qFormat/>
    <w:uiPriority w:val="0"/>
    <w:pPr>
      <w:spacing w:before="0" w:after="0" w:line="500" w:lineRule="exact"/>
      <w:ind w:right="210"/>
    </w:pPr>
    <w:rPr>
      <w:rFonts w:eastAsia="黑体" w:cs="宋体"/>
      <w:bCs/>
      <w:color w:val="000000"/>
      <w:sz w:val="30"/>
      <w:lang w:val="zh-CN"/>
    </w:rPr>
  </w:style>
  <w:style w:type="paragraph" w:customStyle="1" w:styleId="3429">
    <w:name w:val="样式 正文缩进正文（首行缩进两字） Char Char Char Char Char Char Char表格标题标题4文..."/>
    <w:basedOn w:val="21"/>
    <w:autoRedefine/>
    <w:qFormat/>
    <w:uiPriority w:val="0"/>
    <w:pPr>
      <w:overflowPunct w:val="0"/>
      <w:adjustRightInd w:val="0"/>
      <w:snapToGrid w:val="0"/>
      <w:spacing w:line="500" w:lineRule="exact"/>
      <w:ind w:firstLine="200"/>
    </w:pPr>
    <w:rPr>
      <w:rFonts w:eastAsia="仿宋_GB2312" w:cs="宋体" w:asciiTheme="minorHAnsi"/>
      <w:sz w:val="28"/>
      <w:szCs w:val="22"/>
    </w:rPr>
  </w:style>
  <w:style w:type="paragraph" w:customStyle="1" w:styleId="3430">
    <w:name w:val="样式 宋体 四号 左 行距: 固定值 25 磅"/>
    <w:basedOn w:val="1"/>
    <w:autoRedefine/>
    <w:qFormat/>
    <w:uiPriority w:val="0"/>
    <w:pPr>
      <w:spacing w:line="500" w:lineRule="exact"/>
      <w:ind w:firstLine="200" w:firstLineChars="200"/>
      <w:jc w:val="left"/>
    </w:pPr>
    <w:rPr>
      <w:rFonts w:eastAsia="仿宋_GB2312" w:cs="宋体"/>
      <w:sz w:val="28"/>
      <w:szCs w:val="20"/>
    </w:rPr>
  </w:style>
  <w:style w:type="paragraph" w:customStyle="1" w:styleId="3431">
    <w:name w:val="样式 样式 样式 标题2 + (西文) Times New Roman (中文) 宋体 加粗 + 段前: 0.5 行 段后: 0..."/>
    <w:basedOn w:val="3427"/>
    <w:autoRedefine/>
    <w:qFormat/>
    <w:uiPriority w:val="0"/>
    <w:pPr/>
    <w:rPr>
      <w:color w:val="000000"/>
    </w:rPr>
  </w:style>
  <w:style w:type="paragraph" w:customStyle="1" w:styleId="3432">
    <w:name w:val="lz正文"/>
    <w:basedOn w:val="1"/>
    <w:autoRedefine/>
    <w:qFormat/>
    <w:uiPriority w:val="0"/>
    <w:pPr>
      <w:adjustRightInd w:val="0"/>
      <w:snapToGrid w:val="0"/>
      <w:spacing w:line="360" w:lineRule="auto"/>
      <w:ind w:firstLine="200" w:firstLineChars="200"/>
    </w:pPr>
    <w:rPr>
      <w:rFonts w:eastAsia="仿宋_GB2312"/>
      <w:sz w:val="28"/>
      <w:szCs w:val="21"/>
    </w:rPr>
  </w:style>
  <w:style w:type="paragraph" w:customStyle="1" w:styleId="3433">
    <w:name w:val="样式 正文缩进 + 段前: 0.3 行"/>
    <w:basedOn w:val="21"/>
    <w:autoRedefine/>
    <w:qFormat/>
    <w:uiPriority w:val="0"/>
    <w:pPr>
      <w:widowControl/>
      <w:suppressAutoHyphens/>
      <w:adjustRightInd w:val="0"/>
      <w:spacing w:beforeLines="30" w:afterLines="10" w:line="288" w:lineRule="auto"/>
      <w:ind w:firstLine="200"/>
    </w:pPr>
    <w:rPr>
      <w:rFonts w:eastAsia="仿宋_GB2312" w:asciiTheme="minorHAnsi" w:cstheme="minorBidi"/>
      <w:kern w:val="24"/>
      <w:szCs w:val="22"/>
    </w:rPr>
  </w:style>
  <w:style w:type="paragraph" w:customStyle="1" w:styleId="3434">
    <w:name w:val="19"/>
    <w:basedOn w:val="1"/>
    <w:next w:val="35"/>
    <w:autoRedefine/>
    <w:qFormat/>
    <w:uiPriority w:val="0"/>
    <w:pPr>
      <w:spacing w:line="500" w:lineRule="exact"/>
      <w:ind w:firstLine="200" w:firstLineChars="200"/>
    </w:pPr>
    <w:rPr>
      <w:rFonts w:ascii="仿宋_GB2312" w:eastAsia="仿宋_GB2312"/>
      <w:color w:val="FF0000"/>
      <w:sz w:val="28"/>
      <w:szCs w:val="20"/>
    </w:rPr>
  </w:style>
  <w:style w:type="paragraph" w:customStyle="1" w:styleId="3435">
    <w:name w:val="样式 标题 4 + 行距: 多倍行距 1.3 字行"/>
    <w:basedOn w:val="6"/>
    <w:autoRedefine/>
    <w:qFormat/>
    <w:uiPriority w:val="0"/>
    <w:pPr>
      <w:tabs>
        <w:tab w:val="left" w:pos="1200"/>
        <w:tab w:val="clear" w:pos="2976"/>
      </w:tabs>
      <w:adjustRightInd w:val="0"/>
      <w:snapToGrid w:val="0"/>
      <w:spacing w:beforeLines="20" w:afterLines="20" w:line="300" w:lineRule="auto"/>
      <w:ind w:left="0"/>
    </w:pPr>
    <w:rPr>
      <w:rFonts w:ascii="仿宋_GB2312" w:hAnsi="Cambria" w:eastAsia="仿宋_GB2312"/>
      <w:b w:val="0"/>
      <w:bCs w:val="0"/>
      <w:snapToGrid w:val="0"/>
      <w:color w:val="000000"/>
      <w:lang w:val="zh-CN"/>
    </w:rPr>
  </w:style>
  <w:style w:type="paragraph" w:customStyle="1" w:styleId="3436">
    <w:name w:val="13"/>
    <w:basedOn w:val="1"/>
    <w:next w:val="35"/>
    <w:autoRedefine/>
    <w:qFormat/>
    <w:uiPriority w:val="0"/>
    <w:pPr>
      <w:spacing w:line="500" w:lineRule="exact"/>
      <w:ind w:firstLine="200" w:firstLineChars="200"/>
    </w:pPr>
    <w:rPr>
      <w:rFonts w:ascii="仿宋_GB2312" w:eastAsia="仿宋_GB2312"/>
      <w:color w:val="FF0000"/>
      <w:sz w:val="28"/>
      <w:szCs w:val="20"/>
    </w:rPr>
  </w:style>
  <w:style w:type="paragraph" w:customStyle="1" w:styleId="3437">
    <w:name w:val="样式 (西文) 宋体 段前: 6 磅 段后: 6 磅"/>
    <w:basedOn w:val="1"/>
    <w:autoRedefine/>
    <w:qFormat/>
    <w:uiPriority w:val="0"/>
    <w:pPr>
      <w:spacing w:before="120" w:after="120" w:line="500" w:lineRule="exact"/>
    </w:pPr>
    <w:rPr>
      <w:rFonts w:eastAsia="仿宋_GB2312" w:cs="宋体"/>
      <w:sz w:val="28"/>
      <w:szCs w:val="20"/>
    </w:rPr>
  </w:style>
  <w:style w:type="paragraph" w:customStyle="1" w:styleId="3438">
    <w:name w:val="样式２"/>
    <w:basedOn w:val="4"/>
    <w:autoRedefine/>
    <w:qFormat/>
    <w:uiPriority w:val="0"/>
    <w:pPr>
      <w:tabs>
        <w:tab w:val="clear" w:pos="1276"/>
      </w:tabs>
      <w:snapToGrid w:val="0"/>
      <w:spacing w:before="260" w:after="260" w:line="240" w:lineRule="auto"/>
      <w:ind w:left="0" w:firstLine="100" w:firstLineChars="100"/>
      <w:contextualSpacing/>
      <w:jc w:val="both"/>
      <w:textAlignment w:val="auto"/>
    </w:pPr>
    <w:rPr>
      <w:rFonts w:ascii="Times New Roman" w:hAnsi="Times New Roman"/>
      <w:b w:val="0"/>
      <w:kern w:val="10"/>
      <w:sz w:val="30"/>
      <w:szCs w:val="30"/>
      <w:lang w:val="zh-CN"/>
    </w:rPr>
  </w:style>
  <w:style w:type="paragraph" w:customStyle="1" w:styleId="3439">
    <w:name w:val="样式 正文 +"/>
    <w:basedOn w:val="1"/>
    <w:autoRedefine/>
    <w:qFormat/>
    <w:uiPriority w:val="0"/>
    <w:pPr>
      <w:adjustRightInd w:val="0"/>
      <w:snapToGrid w:val="0"/>
      <w:spacing w:line="360" w:lineRule="auto"/>
      <w:ind w:firstLine="200" w:firstLineChars="200"/>
    </w:pPr>
    <w:rPr>
      <w:rFonts w:ascii="Arial" w:hAnsi="Arial" w:eastAsia="仿宋_GB2312" w:cs="Arial"/>
      <w:sz w:val="28"/>
      <w:szCs w:val="28"/>
    </w:rPr>
  </w:style>
  <w:style w:type="paragraph" w:customStyle="1" w:styleId="3440">
    <w:name w:val="样式 样式 标题 4 + 黑色 左侧:  -0.01 厘米 首行缩进:  0.01 厘米 + 左侧:  0 厘米 首行缩进: ..."/>
    <w:basedOn w:val="3400"/>
    <w:autoRedefine/>
    <w:qFormat/>
    <w:uiPriority w:val="0"/>
  </w:style>
  <w:style w:type="paragraph" w:customStyle="1" w:styleId="3441">
    <w:name w:val="blue18"/>
    <w:basedOn w:val="1"/>
    <w:autoRedefine/>
    <w:qFormat/>
    <w:uiPriority w:val="0"/>
    <w:pPr>
      <w:widowControl/>
      <w:spacing w:before="100" w:beforeAutospacing="1" w:after="100" w:afterAutospacing="1"/>
      <w:jc w:val="left"/>
    </w:pPr>
    <w:rPr>
      <w:rFonts w:eastAsia="仿宋_GB2312" w:cs="宋体"/>
      <w:b/>
      <w:bCs/>
      <w:color w:val="0000FF"/>
      <w:kern w:val="0"/>
      <w:sz w:val="18"/>
      <w:szCs w:val="18"/>
    </w:rPr>
  </w:style>
  <w:style w:type="paragraph" w:customStyle="1" w:styleId="3442">
    <w:name w:val="样式 样式 正文缩进正文（首行缩进两字） Char Char Char Char Char Char Char表格标题标题4文...."/>
    <w:basedOn w:val="3429"/>
    <w:autoRedefine/>
    <w:qFormat/>
    <w:uiPriority w:val="0"/>
  </w:style>
  <w:style w:type="paragraph" w:customStyle="1" w:styleId="3443">
    <w:name w:val="样式 报告书表格 + 小五 底端: (单实线 自动设置  0.75 磅 行宽)"/>
    <w:basedOn w:val="468"/>
    <w:autoRedefine/>
    <w:qFormat/>
    <w:uiPriority w:val="0"/>
    <w:pPr>
      <w:ind w:firstLine="0"/>
      <w:textAlignment w:val="auto"/>
    </w:pPr>
    <w:rPr>
      <w:rFonts w:ascii="Times New Roman" w:hAnsi="Times New Roman" w:cs="宋体"/>
      <w:spacing w:val="0"/>
      <w:kern w:val="0"/>
      <w:sz w:val="18"/>
      <w:szCs w:val="18"/>
    </w:rPr>
  </w:style>
  <w:style w:type="paragraph" w:customStyle="1" w:styleId="3444">
    <w:name w:val="样式 宋体 小四 段前: 0.5 磅"/>
    <w:basedOn w:val="1"/>
    <w:autoRedefine/>
    <w:qFormat/>
    <w:uiPriority w:val="0"/>
    <w:pPr>
      <w:spacing w:before="120" w:line="360" w:lineRule="auto"/>
      <w:ind w:firstLine="257" w:firstLineChars="257"/>
      <w:jc w:val="left"/>
    </w:pPr>
    <w:rPr>
      <w:rFonts w:eastAsia="仿宋_GB2312" w:cs="宋体"/>
      <w:szCs w:val="20"/>
    </w:rPr>
  </w:style>
  <w:style w:type="paragraph" w:customStyle="1" w:styleId="3445">
    <w:name w:val="普通(网站)2"/>
    <w:basedOn w:val="1"/>
    <w:autoRedefine/>
    <w:qFormat/>
    <w:uiPriority w:val="0"/>
    <w:pPr>
      <w:spacing w:line="500" w:lineRule="exact"/>
      <w:ind w:firstLine="200" w:firstLineChars="200"/>
    </w:pPr>
    <w:rPr>
      <w:rFonts w:ascii="Calibri" w:hAnsi="Calibri" w:eastAsia="仿宋_GB2312"/>
      <w:kern w:val="0"/>
      <w:szCs w:val="21"/>
    </w:rPr>
  </w:style>
  <w:style w:type="paragraph" w:customStyle="1" w:styleId="3446">
    <w:name w:val="正文51"/>
    <w:basedOn w:val="1"/>
    <w:next w:val="1"/>
    <w:autoRedefine/>
    <w:qFormat/>
    <w:uiPriority w:val="0"/>
    <w:rPr>
      <w:rFonts w:ascii="Calibri" w:hAnsi="Calibri" w:eastAsia="仿宋_GB2312"/>
      <w:kern w:val="0"/>
      <w:sz w:val="20"/>
      <w:szCs w:val="21"/>
    </w:rPr>
  </w:style>
  <w:style w:type="paragraph" w:customStyle="1" w:styleId="3447">
    <w:name w:val="正文首行缩进3"/>
    <w:basedOn w:val="34"/>
    <w:autoRedefine/>
    <w:qFormat/>
    <w:uiPriority w:val="0"/>
    <w:pPr>
      <w:ind w:firstLine="100" w:firstLineChars="100"/>
    </w:pPr>
    <w:rPr>
      <w:rFonts w:eastAsia="仿宋_GB2312" w:cstheme="minorBidi"/>
      <w:szCs w:val="21"/>
    </w:rPr>
  </w:style>
  <w:style w:type="paragraph" w:customStyle="1" w:styleId="3448">
    <w:name w:val="正文文本 31"/>
    <w:basedOn w:val="1"/>
    <w:autoRedefine/>
    <w:qFormat/>
    <w:uiPriority w:val="0"/>
    <w:pPr>
      <w:spacing w:after="120"/>
    </w:pPr>
    <w:rPr>
      <w:rFonts w:eastAsia="仿宋_GB2312"/>
      <w:kern w:val="0"/>
      <w:sz w:val="16"/>
      <w:szCs w:val="16"/>
    </w:rPr>
  </w:style>
  <w:style w:type="paragraph" w:customStyle="1" w:styleId="3449">
    <w:name w:val="正文首行缩进 21"/>
    <w:basedOn w:val="3139"/>
    <w:autoRedefine/>
    <w:qFormat/>
    <w:uiPriority w:val="0"/>
    <w:pPr>
      <w:spacing w:line="240" w:lineRule="auto"/>
    </w:pPr>
  </w:style>
  <w:style w:type="paragraph" w:customStyle="1" w:styleId="3450">
    <w:name w:val="注释标题1"/>
    <w:basedOn w:val="1"/>
    <w:next w:val="1"/>
    <w:autoRedefine/>
    <w:qFormat/>
    <w:uiPriority w:val="0"/>
    <w:pPr>
      <w:jc w:val="center"/>
    </w:pPr>
    <w:rPr>
      <w:rFonts w:eastAsia="仿宋_GB2312"/>
      <w:sz w:val="28"/>
      <w:szCs w:val="20"/>
    </w:rPr>
  </w:style>
  <w:style w:type="paragraph" w:customStyle="1" w:styleId="3451">
    <w:name w:val="样式 表格文字 + (西文) 宋体 (中文) 华文仿宋 小四 黑色1"/>
    <w:basedOn w:val="163"/>
    <w:autoRedefine/>
    <w:qFormat/>
    <w:uiPriority w:val="0"/>
    <w:pPr>
      <w:spacing w:line="280" w:lineRule="exact"/>
    </w:pPr>
    <w:rPr>
      <w:rFonts w:cs="宋体" w:asciiTheme="minorHAnsi" w:hAnsiTheme="minorHAnsi"/>
      <w:color w:val="000000"/>
      <w:sz w:val="21"/>
      <w:szCs w:val="21"/>
    </w:rPr>
  </w:style>
  <w:style w:type="paragraph" w:customStyle="1" w:styleId="3452">
    <w:name w:val="列表编号 31"/>
    <w:basedOn w:val="1"/>
    <w:autoRedefine/>
    <w:qFormat/>
    <w:uiPriority w:val="0"/>
    <w:pPr>
      <w:tabs>
        <w:tab w:val="left" w:pos="1200"/>
      </w:tabs>
      <w:spacing w:before="60"/>
      <w:ind w:left="1200" w:hanging="360"/>
    </w:pPr>
    <w:rPr>
      <w:rFonts w:ascii="Arial" w:hAnsi="Arial" w:eastAsia="仿宋_GB2312"/>
      <w:kern w:val="0"/>
      <w:szCs w:val="20"/>
    </w:rPr>
  </w:style>
  <w:style w:type="paragraph" w:customStyle="1" w:styleId="3453">
    <w:name w:val="CM32"/>
    <w:basedOn w:val="112"/>
    <w:next w:val="112"/>
    <w:autoRedefine/>
    <w:qFormat/>
    <w:uiPriority w:val="0"/>
    <w:pPr>
      <w:spacing w:after="230"/>
    </w:pPr>
    <w:rPr>
      <w:rFonts w:ascii="Li Super" w:hAnsi="Li Super" w:eastAsia="Li Super" w:cs="宋体"/>
      <w:color w:val="auto"/>
    </w:rPr>
  </w:style>
  <w:style w:type="paragraph" w:customStyle="1" w:styleId="3454">
    <w:name w:val="签名1"/>
    <w:basedOn w:val="1"/>
    <w:autoRedefine/>
    <w:qFormat/>
    <w:uiPriority w:val="0"/>
    <w:pPr>
      <w:spacing w:before="60"/>
      <w:ind w:left="4320" w:firstLine="482"/>
    </w:pPr>
    <w:rPr>
      <w:rFonts w:ascii="Arial" w:hAnsi="Arial" w:eastAsia="仿宋_GB2312"/>
      <w:kern w:val="0"/>
      <w:szCs w:val="20"/>
    </w:rPr>
  </w:style>
  <w:style w:type="paragraph" w:customStyle="1" w:styleId="3455">
    <w:name w:val="HTML 地址1"/>
    <w:basedOn w:val="1"/>
    <w:autoRedefine/>
    <w:qFormat/>
    <w:uiPriority w:val="0"/>
    <w:pPr>
      <w:spacing w:before="60"/>
      <w:ind w:firstLine="482"/>
    </w:pPr>
    <w:rPr>
      <w:rFonts w:ascii="Arial" w:hAnsi="Arial" w:eastAsia="仿宋_GB2312"/>
      <w:i/>
      <w:iCs/>
      <w:kern w:val="0"/>
      <w:szCs w:val="20"/>
    </w:rPr>
  </w:style>
  <w:style w:type="paragraph" w:customStyle="1" w:styleId="3456">
    <w:name w:val="默认段落字体 Para Char Char Char Char Char Char Char Char Char Char Char Char Char Char Char"/>
    <w:basedOn w:val="26"/>
    <w:autoRedefine/>
    <w:qFormat/>
    <w:uiPriority w:val="0"/>
    <w:rPr>
      <w:rFonts w:ascii="Tahoma" w:hAnsi="Tahoma" w:eastAsia="仿宋_GB2312" w:cstheme="minorBidi"/>
      <w:kern w:val="0"/>
      <w:sz w:val="24"/>
    </w:rPr>
  </w:style>
  <w:style w:type="paragraph" w:customStyle="1" w:styleId="3457">
    <w:name w:val="称呼1"/>
    <w:basedOn w:val="1"/>
    <w:next w:val="1"/>
    <w:autoRedefine/>
    <w:qFormat/>
    <w:uiPriority w:val="0"/>
    <w:pPr>
      <w:spacing w:before="60"/>
      <w:ind w:firstLine="482"/>
    </w:pPr>
    <w:rPr>
      <w:rFonts w:ascii="Arial" w:hAnsi="Arial" w:eastAsia="仿宋_GB2312"/>
      <w:kern w:val="0"/>
      <w:szCs w:val="20"/>
    </w:rPr>
  </w:style>
  <w:style w:type="paragraph" w:customStyle="1" w:styleId="3458">
    <w:name w:val="列表 41"/>
    <w:basedOn w:val="1"/>
    <w:autoRedefine/>
    <w:qFormat/>
    <w:uiPriority w:val="0"/>
    <w:pPr>
      <w:spacing w:before="60"/>
      <w:ind w:left="1680" w:hanging="420"/>
    </w:pPr>
    <w:rPr>
      <w:rFonts w:ascii="Arial" w:hAnsi="Arial" w:eastAsia="仿宋_GB2312"/>
      <w:kern w:val="0"/>
      <w:szCs w:val="20"/>
    </w:rPr>
  </w:style>
  <w:style w:type="paragraph" w:customStyle="1" w:styleId="3459">
    <w:name w:val="正文格式 Char Char Char2"/>
    <w:basedOn w:val="1"/>
    <w:autoRedefine/>
    <w:qFormat/>
    <w:uiPriority w:val="0"/>
    <w:pPr>
      <w:spacing w:line="360" w:lineRule="auto"/>
      <w:ind w:firstLine="482"/>
    </w:pPr>
    <w:rPr>
      <w:rFonts w:eastAsia="仿宋_GB2312" w:cs="宋体"/>
      <w:szCs w:val="21"/>
    </w:rPr>
  </w:style>
  <w:style w:type="paragraph" w:customStyle="1" w:styleId="3460">
    <w:name w:val="电子邮件签名1"/>
    <w:basedOn w:val="1"/>
    <w:autoRedefine/>
    <w:qFormat/>
    <w:uiPriority w:val="0"/>
    <w:pPr>
      <w:spacing w:before="60"/>
      <w:ind w:firstLine="482"/>
    </w:pPr>
    <w:rPr>
      <w:rFonts w:ascii="Arial" w:hAnsi="Arial" w:eastAsia="仿宋_GB2312"/>
      <w:kern w:val="0"/>
      <w:szCs w:val="20"/>
    </w:rPr>
  </w:style>
  <w:style w:type="paragraph" w:customStyle="1" w:styleId="3461">
    <w:name w:val="Char Char Char1 Char Char Char Char Char Char Char Char Char Char Char Char"/>
    <w:basedOn w:val="1"/>
    <w:autoRedefine/>
    <w:qFormat/>
    <w:uiPriority w:val="0"/>
    <w:rPr>
      <w:rFonts w:eastAsia="仿宋_GB2312"/>
      <w:sz w:val="28"/>
      <w:szCs w:val="21"/>
    </w:rPr>
  </w:style>
  <w:style w:type="paragraph" w:customStyle="1" w:styleId="3462">
    <w:name w:val="列表编号 21"/>
    <w:basedOn w:val="1"/>
    <w:autoRedefine/>
    <w:qFormat/>
    <w:uiPriority w:val="0"/>
    <w:pPr>
      <w:tabs>
        <w:tab w:val="left" w:pos="780"/>
      </w:tabs>
      <w:spacing w:before="60"/>
      <w:ind w:left="780" w:hanging="360"/>
    </w:pPr>
    <w:rPr>
      <w:rFonts w:ascii="Arial" w:hAnsi="Arial" w:eastAsia="仿宋_GB2312"/>
      <w:kern w:val="0"/>
      <w:szCs w:val="20"/>
    </w:rPr>
  </w:style>
  <w:style w:type="paragraph" w:customStyle="1" w:styleId="3463">
    <w:name w:val="表格头"/>
    <w:basedOn w:val="10"/>
    <w:autoRedefine/>
    <w:qFormat/>
    <w:uiPriority w:val="0"/>
    <w:pPr>
      <w:keepNext w:val="0"/>
      <w:keepLines w:val="0"/>
      <w:tabs>
        <w:tab w:val="clear" w:pos="6378"/>
      </w:tabs>
      <w:adjustRightInd w:val="0"/>
      <w:snapToGrid w:val="0"/>
      <w:spacing w:beforeLines="20" w:after="0" w:line="300" w:lineRule="auto"/>
      <w:ind w:left="0" w:firstLine="200" w:firstLineChars="200"/>
      <w:jc w:val="center"/>
      <w:textAlignment w:val="baseline"/>
      <w:outlineLvl w:val="9"/>
    </w:pPr>
    <w:rPr>
      <w:rFonts w:ascii="Times New Roman" w:hAnsi="Times New Roman" w:eastAsia="仿宋_GB2312"/>
      <w:b/>
      <w:bCs/>
      <w:spacing w:val="-10"/>
      <w:kern w:val="0"/>
      <w:sz w:val="28"/>
      <w:szCs w:val="28"/>
      <w:lang w:val="zh-CN"/>
    </w:rPr>
  </w:style>
  <w:style w:type="paragraph" w:customStyle="1" w:styleId="3464">
    <w:name w:val="结束语1"/>
    <w:basedOn w:val="1"/>
    <w:autoRedefine/>
    <w:qFormat/>
    <w:uiPriority w:val="0"/>
    <w:pPr>
      <w:ind w:left="2100" w:leftChars="2100"/>
    </w:pPr>
    <w:rPr>
      <w:rFonts w:ascii="Arial" w:hAnsi="Arial" w:eastAsia="黑体"/>
      <w:kern w:val="0"/>
      <w:sz w:val="32"/>
      <w:szCs w:val="20"/>
    </w:rPr>
  </w:style>
  <w:style w:type="paragraph" w:customStyle="1" w:styleId="3465">
    <w:name w:val="批注主题1"/>
    <w:basedOn w:val="28"/>
    <w:next w:val="28"/>
    <w:autoRedefine/>
    <w:qFormat/>
    <w:uiPriority w:val="0"/>
    <w:rPr>
      <w:rFonts w:eastAsia="仿宋_GB2312" w:asciiTheme="minorHAnsi" w:cstheme="minorBidi"/>
      <w:b/>
      <w:bCs/>
      <w:sz w:val="28"/>
      <w:szCs w:val="21"/>
    </w:rPr>
  </w:style>
  <w:style w:type="paragraph" w:customStyle="1" w:styleId="3466">
    <w:name w:val="列表接续1"/>
    <w:basedOn w:val="1"/>
    <w:autoRedefine/>
    <w:qFormat/>
    <w:uiPriority w:val="0"/>
    <w:pPr>
      <w:spacing w:before="60" w:after="120"/>
      <w:ind w:left="420" w:firstLine="482"/>
    </w:pPr>
    <w:rPr>
      <w:rFonts w:ascii="Arial" w:hAnsi="Arial" w:eastAsia="仿宋_GB2312"/>
      <w:kern w:val="0"/>
      <w:szCs w:val="20"/>
    </w:rPr>
  </w:style>
  <w:style w:type="paragraph" w:customStyle="1" w:styleId="3467">
    <w:name w:val="题2"/>
    <w:basedOn w:val="4"/>
    <w:autoRedefine/>
    <w:qFormat/>
    <w:uiPriority w:val="0"/>
    <w:pPr>
      <w:tabs>
        <w:tab w:val="clear" w:pos="1276"/>
      </w:tabs>
      <w:snapToGrid w:val="0"/>
      <w:spacing w:before="0" w:beforeLines="50" w:after="0" w:afterLines="50"/>
      <w:ind w:left="0"/>
      <w:contextualSpacing/>
      <w:jc w:val="both"/>
      <w:textAlignment w:val="auto"/>
    </w:pPr>
    <w:rPr>
      <w:rFonts w:ascii="Times New Roman" w:hAnsi="Times New Roman" w:eastAsia="仿宋_GB2312"/>
      <w:kern w:val="0"/>
      <w:sz w:val="30"/>
      <w:szCs w:val="30"/>
      <w:lang w:val="zh-CN"/>
    </w:rPr>
  </w:style>
  <w:style w:type="paragraph" w:customStyle="1" w:styleId="3468">
    <w:name w:val="信息标题1"/>
    <w:basedOn w:val="1"/>
    <w:autoRedefine/>
    <w:qFormat/>
    <w:uiPriority w:val="0"/>
    <w:pPr>
      <w:pBdr>
        <w:top w:val="single" w:color="auto" w:sz="6" w:space="1"/>
        <w:left w:val="single" w:color="auto" w:sz="6" w:space="1"/>
        <w:bottom w:val="single" w:color="auto" w:sz="6" w:space="1"/>
        <w:right w:val="single" w:color="auto" w:sz="6" w:space="1"/>
      </w:pBdr>
      <w:shd w:val="pct20" w:color="auto" w:fill="auto"/>
      <w:spacing w:before="60"/>
      <w:ind w:left="1080" w:hanging="1080"/>
    </w:pPr>
    <w:rPr>
      <w:rFonts w:ascii="Arial" w:hAnsi="Arial" w:eastAsia="仿宋_GB2312"/>
      <w:kern w:val="0"/>
      <w:szCs w:val="20"/>
      <w:shd w:val="pct20" w:color="auto" w:fill="auto"/>
    </w:rPr>
  </w:style>
  <w:style w:type="paragraph" w:customStyle="1" w:styleId="3469">
    <w:name w:val="样式 题1 + 段前: 0.5 行 段后: 0.5 行"/>
    <w:basedOn w:val="3470"/>
    <w:autoRedefine/>
    <w:qFormat/>
    <w:uiPriority w:val="0"/>
    <w:pPr>
      <w:spacing w:beforeLines="0" w:afterLines="0"/>
    </w:pPr>
    <w:rPr>
      <w:rFonts w:cs="宋体"/>
      <w:b w:val="0"/>
      <w:szCs w:val="20"/>
    </w:rPr>
  </w:style>
  <w:style w:type="paragraph" w:customStyle="1" w:styleId="3470">
    <w:name w:val="题1"/>
    <w:basedOn w:val="3"/>
    <w:autoRedefine/>
    <w:qFormat/>
    <w:uiPriority w:val="0"/>
    <w:pPr>
      <w:adjustRightInd w:val="0"/>
      <w:snapToGrid w:val="0"/>
      <w:spacing w:before="0" w:beforeLines="50" w:after="120" w:afterLines="50" w:line="360" w:lineRule="auto"/>
    </w:pPr>
    <w:rPr>
      <w:rFonts w:eastAsia="仿宋_GB2312"/>
      <w:sz w:val="32"/>
      <w:szCs w:val="32"/>
      <w:lang w:val="zh-CN"/>
    </w:rPr>
  </w:style>
  <w:style w:type="paragraph" w:customStyle="1" w:styleId="3471">
    <w:name w:val="文本块1"/>
    <w:basedOn w:val="1"/>
    <w:autoRedefine/>
    <w:qFormat/>
    <w:uiPriority w:val="0"/>
    <w:pPr>
      <w:tabs>
        <w:tab w:val="left" w:pos="1200"/>
      </w:tabs>
      <w:spacing w:after="120"/>
      <w:ind w:left="1420" w:leftChars="700" w:right="700" w:rightChars="700" w:hanging="720"/>
    </w:pPr>
    <w:rPr>
      <w:rFonts w:eastAsia="仿宋_GB2312"/>
      <w:sz w:val="28"/>
      <w:szCs w:val="21"/>
    </w:rPr>
  </w:style>
  <w:style w:type="paragraph" w:customStyle="1" w:styleId="3472">
    <w:name w:val="修订11"/>
    <w:autoRedefine/>
    <w:qFormat/>
    <w:uiPriority w:val="99"/>
    <w:rPr>
      <w:rFonts w:ascii="Times New Roman" w:hAnsi="Times New Roman" w:eastAsia="仿宋_GB2312" w:cs="宋体"/>
      <w:sz w:val="28"/>
      <w:szCs w:val="24"/>
      <w:lang w:val="en-US" w:eastAsia="zh-CN" w:bidi="ar-SA"/>
    </w:rPr>
  </w:style>
  <w:style w:type="paragraph" w:customStyle="1" w:styleId="3473">
    <w:name w:val="列表接续 51"/>
    <w:basedOn w:val="1"/>
    <w:autoRedefine/>
    <w:qFormat/>
    <w:uiPriority w:val="0"/>
    <w:pPr>
      <w:spacing w:before="60" w:after="120"/>
      <w:ind w:left="2100" w:firstLine="482"/>
    </w:pPr>
    <w:rPr>
      <w:rFonts w:ascii="Arial" w:hAnsi="Arial" w:eastAsia="仿宋_GB2312"/>
      <w:kern w:val="0"/>
      <w:szCs w:val="20"/>
    </w:rPr>
  </w:style>
  <w:style w:type="paragraph" w:customStyle="1" w:styleId="3474">
    <w:name w:val="索引 21"/>
    <w:basedOn w:val="1"/>
    <w:next w:val="1"/>
    <w:autoRedefine/>
    <w:qFormat/>
    <w:uiPriority w:val="0"/>
    <w:pPr>
      <w:adjustRightInd w:val="0"/>
      <w:spacing w:line="312" w:lineRule="atLeast"/>
      <w:ind w:left="200" w:leftChars="200"/>
      <w:textAlignment w:val="baseline"/>
    </w:pPr>
    <w:rPr>
      <w:rFonts w:ascii="仿宋_GB2312" w:eastAsia="仿宋_GB2312"/>
      <w:kern w:val="0"/>
      <w:sz w:val="28"/>
      <w:szCs w:val="20"/>
    </w:rPr>
  </w:style>
  <w:style w:type="paragraph" w:customStyle="1" w:styleId="3475">
    <w:name w:val="小五居左"/>
    <w:basedOn w:val="1"/>
    <w:autoRedefine/>
    <w:qFormat/>
    <w:uiPriority w:val="0"/>
    <w:pPr>
      <w:adjustRightInd w:val="0"/>
      <w:snapToGrid w:val="0"/>
    </w:pPr>
    <w:rPr>
      <w:rFonts w:eastAsia="仿宋_GB2312"/>
      <w:bCs/>
      <w:snapToGrid w:val="0"/>
      <w:kern w:val="0"/>
      <w:sz w:val="20"/>
      <w:szCs w:val="21"/>
      <w:lang w:val="zh-CN"/>
    </w:rPr>
  </w:style>
  <w:style w:type="paragraph" w:customStyle="1" w:styleId="3476">
    <w:name w:val="列表 21"/>
    <w:basedOn w:val="1"/>
    <w:autoRedefine/>
    <w:qFormat/>
    <w:uiPriority w:val="0"/>
    <w:pPr>
      <w:spacing w:line="500" w:lineRule="exact"/>
      <w:ind w:left="400" w:leftChars="200" w:hanging="200" w:hangingChars="200"/>
    </w:pPr>
    <w:rPr>
      <w:rFonts w:eastAsia="仿宋_GB2312"/>
      <w:sz w:val="28"/>
      <w:szCs w:val="20"/>
    </w:rPr>
  </w:style>
  <w:style w:type="paragraph" w:customStyle="1" w:styleId="3477">
    <w:name w:val="小四左齐"/>
    <w:basedOn w:val="1"/>
    <w:autoRedefine/>
    <w:qFormat/>
    <w:uiPriority w:val="0"/>
    <w:pPr>
      <w:widowControl/>
      <w:tabs>
        <w:tab w:val="left" w:pos="1440"/>
      </w:tabs>
      <w:kinsoku w:val="0"/>
      <w:overflowPunct w:val="0"/>
      <w:autoSpaceDE w:val="0"/>
      <w:autoSpaceDN w:val="0"/>
      <w:adjustRightInd w:val="0"/>
      <w:snapToGrid w:val="0"/>
      <w:ind w:left="2"/>
      <w:jc w:val="left"/>
    </w:pPr>
    <w:rPr>
      <w:rFonts w:eastAsia="仿宋_GB2312"/>
      <w:snapToGrid w:val="0"/>
      <w:kern w:val="0"/>
      <w:szCs w:val="21"/>
      <w:lang w:val="zh-CN"/>
    </w:rPr>
  </w:style>
  <w:style w:type="paragraph" w:customStyle="1" w:styleId="3478">
    <w:name w:val="图表目录1"/>
    <w:basedOn w:val="1"/>
    <w:next w:val="1"/>
    <w:autoRedefine/>
    <w:qFormat/>
    <w:uiPriority w:val="0"/>
    <w:pPr>
      <w:spacing w:line="500" w:lineRule="exact"/>
      <w:ind w:firstLine="200" w:firstLineChars="200"/>
      <w:jc w:val="center"/>
    </w:pPr>
    <w:rPr>
      <w:rFonts w:ascii="仿宋_GB2312" w:eastAsia="仿宋_GB2312"/>
      <w:sz w:val="28"/>
      <w:szCs w:val="20"/>
    </w:rPr>
  </w:style>
  <w:style w:type="paragraph" w:customStyle="1" w:styleId="3479">
    <w:name w:val="列表2"/>
    <w:basedOn w:val="1"/>
    <w:autoRedefine/>
    <w:qFormat/>
    <w:uiPriority w:val="0"/>
    <w:pPr>
      <w:spacing w:line="400" w:lineRule="exact"/>
      <w:jc w:val="center"/>
    </w:pPr>
    <w:rPr>
      <w:rFonts w:eastAsia="仿宋_GB2312"/>
      <w:szCs w:val="20"/>
    </w:rPr>
  </w:style>
  <w:style w:type="paragraph" w:customStyle="1" w:styleId="3480">
    <w:name w:val="维度"/>
    <w:basedOn w:val="1"/>
    <w:autoRedefine/>
    <w:qFormat/>
    <w:uiPriority w:val="0"/>
    <w:pPr>
      <w:topLinePunct/>
      <w:spacing w:line="360" w:lineRule="auto"/>
      <w:ind w:firstLine="200" w:firstLineChars="200"/>
      <w:jc w:val="left"/>
    </w:pPr>
    <w:rPr>
      <w:rFonts w:eastAsia="仿宋_GB2312"/>
      <w:snapToGrid w:val="0"/>
      <w:kern w:val="0"/>
      <w:szCs w:val="21"/>
    </w:rPr>
  </w:style>
  <w:style w:type="paragraph" w:customStyle="1" w:styleId="3481">
    <w:name w:val="索引标题1"/>
    <w:basedOn w:val="1"/>
    <w:next w:val="3482"/>
    <w:autoRedefine/>
    <w:qFormat/>
    <w:uiPriority w:val="0"/>
    <w:pPr>
      <w:adjustRightInd w:val="0"/>
      <w:spacing w:line="312" w:lineRule="atLeast"/>
      <w:textAlignment w:val="baseline"/>
    </w:pPr>
    <w:rPr>
      <w:rFonts w:ascii="仿宋_GB2312" w:eastAsia="仿宋_GB2312"/>
      <w:kern w:val="0"/>
      <w:sz w:val="28"/>
      <w:szCs w:val="20"/>
    </w:rPr>
  </w:style>
  <w:style w:type="paragraph" w:customStyle="1" w:styleId="3482">
    <w:name w:val="索引 11"/>
    <w:basedOn w:val="1"/>
    <w:next w:val="1"/>
    <w:autoRedefine/>
    <w:qFormat/>
    <w:uiPriority w:val="0"/>
    <w:rPr>
      <w:rFonts w:eastAsia="仿宋_GB2312"/>
      <w:sz w:val="28"/>
      <w:szCs w:val="21"/>
    </w:rPr>
  </w:style>
  <w:style w:type="paragraph" w:customStyle="1" w:styleId="3483">
    <w:name w:val="目录 3 Char Char"/>
    <w:basedOn w:val="1"/>
    <w:next w:val="1"/>
    <w:autoRedefine/>
    <w:qFormat/>
    <w:uiPriority w:val="0"/>
    <w:pPr>
      <w:spacing w:line="351" w:lineRule="atLeast"/>
      <w:ind w:left="419" w:firstLine="419"/>
      <w:jc w:val="left"/>
    </w:pPr>
    <w:rPr>
      <w:rFonts w:eastAsia="仿宋_GB2312"/>
      <w:i/>
      <w:sz w:val="28"/>
      <w:szCs w:val="20"/>
    </w:rPr>
  </w:style>
  <w:style w:type="paragraph" w:customStyle="1" w:styleId="3484">
    <w:name w:val="目录 4 Char Char"/>
    <w:basedOn w:val="1"/>
    <w:next w:val="1"/>
    <w:autoRedefine/>
    <w:qFormat/>
    <w:uiPriority w:val="0"/>
    <w:pPr>
      <w:spacing w:line="351" w:lineRule="atLeast"/>
      <w:ind w:left="629" w:firstLine="419"/>
      <w:jc w:val="left"/>
    </w:pPr>
    <w:rPr>
      <w:rFonts w:eastAsia="仿宋_GB2312"/>
      <w:sz w:val="28"/>
      <w:szCs w:val="20"/>
    </w:rPr>
  </w:style>
  <w:style w:type="paragraph" w:customStyle="1" w:styleId="3485">
    <w:name w:val="列表编号 51"/>
    <w:basedOn w:val="1"/>
    <w:autoRedefine/>
    <w:qFormat/>
    <w:uiPriority w:val="0"/>
    <w:pPr>
      <w:tabs>
        <w:tab w:val="left" w:pos="420"/>
      </w:tabs>
      <w:spacing w:before="60"/>
      <w:ind w:left="420" w:hanging="420"/>
    </w:pPr>
    <w:rPr>
      <w:rFonts w:ascii="Arial" w:hAnsi="Arial" w:eastAsia="仿宋_GB2312"/>
      <w:kern w:val="0"/>
      <w:szCs w:val="20"/>
    </w:rPr>
  </w:style>
  <w:style w:type="paragraph" w:customStyle="1" w:styleId="3486">
    <w:name w:val="列表接续 41"/>
    <w:basedOn w:val="1"/>
    <w:autoRedefine/>
    <w:qFormat/>
    <w:uiPriority w:val="0"/>
    <w:pPr>
      <w:spacing w:before="60" w:after="120"/>
      <w:ind w:left="1680" w:firstLine="482"/>
    </w:pPr>
    <w:rPr>
      <w:rFonts w:ascii="Arial" w:hAnsi="Arial" w:eastAsia="仿宋_GB2312"/>
      <w:kern w:val="0"/>
      <w:szCs w:val="20"/>
    </w:rPr>
  </w:style>
  <w:style w:type="paragraph" w:customStyle="1" w:styleId="3487">
    <w:name w:val="目录 9 Char Char"/>
    <w:basedOn w:val="1"/>
    <w:next w:val="1"/>
    <w:autoRedefine/>
    <w:qFormat/>
    <w:uiPriority w:val="0"/>
    <w:pPr>
      <w:spacing w:line="351" w:lineRule="atLeast"/>
      <w:ind w:left="1678" w:firstLine="419"/>
      <w:jc w:val="left"/>
    </w:pPr>
    <w:rPr>
      <w:rFonts w:eastAsia="仿宋_GB2312"/>
      <w:sz w:val="28"/>
      <w:szCs w:val="20"/>
    </w:rPr>
  </w:style>
  <w:style w:type="paragraph" w:customStyle="1" w:styleId="3488">
    <w:name w:val="列表接续 21"/>
    <w:basedOn w:val="1"/>
    <w:autoRedefine/>
    <w:qFormat/>
    <w:uiPriority w:val="0"/>
    <w:pPr>
      <w:spacing w:before="60" w:after="120"/>
      <w:ind w:left="840" w:firstLine="482"/>
    </w:pPr>
    <w:rPr>
      <w:rFonts w:ascii="Arial" w:hAnsi="Arial" w:eastAsia="仿宋_GB2312"/>
      <w:kern w:val="0"/>
      <w:szCs w:val="20"/>
    </w:rPr>
  </w:style>
  <w:style w:type="paragraph" w:customStyle="1" w:styleId="3489">
    <w:name w:val="无间隔11"/>
    <w:autoRedefine/>
    <w:qFormat/>
    <w:uiPriority w:val="0"/>
    <w:pPr>
      <w:widowControl w:val="0"/>
      <w:jc w:val="both"/>
    </w:pPr>
    <w:rPr>
      <w:rFonts w:ascii="Times New Roman" w:hAnsi="Times New Roman" w:eastAsia="仿宋_GB2312" w:cs="宋体"/>
      <w:sz w:val="21"/>
      <w:szCs w:val="24"/>
      <w:lang w:val="en-US" w:eastAsia="zh-CN" w:bidi="ar-SA"/>
    </w:rPr>
  </w:style>
  <w:style w:type="paragraph" w:customStyle="1" w:styleId="3490">
    <w:name w:val="引文目录标题1"/>
    <w:basedOn w:val="1"/>
    <w:next w:val="1"/>
    <w:autoRedefine/>
    <w:qFormat/>
    <w:uiPriority w:val="0"/>
    <w:pPr>
      <w:spacing w:before="120"/>
    </w:pPr>
    <w:rPr>
      <w:rFonts w:ascii="Arial" w:hAnsi="Arial" w:eastAsia="仿宋_GB2312" w:cs="Arial"/>
      <w:szCs w:val="21"/>
    </w:rPr>
  </w:style>
  <w:style w:type="paragraph" w:customStyle="1" w:styleId="3491">
    <w:name w:val="Char Char3 Char Char Char Char1"/>
    <w:basedOn w:val="1"/>
    <w:autoRedefine/>
    <w:qFormat/>
    <w:uiPriority w:val="0"/>
    <w:pPr>
      <w:widowControl/>
      <w:spacing w:after="160" w:line="240" w:lineRule="exact"/>
      <w:jc w:val="left"/>
    </w:pPr>
    <w:rPr>
      <w:rFonts w:ascii="Verdana" w:hAnsi="Verdana" w:eastAsia="仿宋_GB2312"/>
      <w:kern w:val="0"/>
      <w:sz w:val="20"/>
      <w:szCs w:val="20"/>
      <w:lang w:eastAsia="en-US"/>
    </w:rPr>
  </w:style>
  <w:style w:type="paragraph" w:customStyle="1" w:styleId="3492">
    <w:name w:val="列表 51"/>
    <w:basedOn w:val="1"/>
    <w:autoRedefine/>
    <w:qFormat/>
    <w:uiPriority w:val="0"/>
    <w:pPr>
      <w:spacing w:before="60"/>
      <w:ind w:left="2100" w:hanging="420"/>
    </w:pPr>
    <w:rPr>
      <w:rFonts w:ascii="Arial" w:hAnsi="Arial" w:eastAsia="仿宋_GB2312"/>
      <w:kern w:val="0"/>
      <w:szCs w:val="20"/>
    </w:rPr>
  </w:style>
  <w:style w:type="paragraph" w:customStyle="1" w:styleId="3493">
    <w:name w:val="列表 31"/>
    <w:basedOn w:val="1"/>
    <w:autoRedefine/>
    <w:qFormat/>
    <w:uiPriority w:val="0"/>
    <w:pPr>
      <w:ind w:left="600" w:leftChars="400" w:hanging="200" w:hangingChars="200"/>
    </w:pPr>
    <w:rPr>
      <w:rFonts w:ascii="仿宋_GB2312" w:eastAsia="仿宋_GB2312"/>
      <w:sz w:val="28"/>
      <w:szCs w:val="21"/>
    </w:rPr>
  </w:style>
  <w:style w:type="paragraph" w:customStyle="1" w:styleId="3494">
    <w:name w:val="寄信人地址1"/>
    <w:basedOn w:val="1"/>
    <w:autoRedefine/>
    <w:qFormat/>
    <w:uiPriority w:val="0"/>
    <w:pPr>
      <w:snapToGrid w:val="0"/>
      <w:spacing w:before="60"/>
      <w:ind w:firstLine="482"/>
    </w:pPr>
    <w:rPr>
      <w:rFonts w:ascii="Arial" w:hAnsi="Arial" w:eastAsia="仿宋_GB2312" w:cs="Arial"/>
      <w:kern w:val="0"/>
      <w:szCs w:val="20"/>
    </w:rPr>
  </w:style>
  <w:style w:type="paragraph" w:customStyle="1" w:styleId="3495">
    <w:name w:val="_Style 38"/>
    <w:basedOn w:val="1"/>
    <w:next w:val="21"/>
    <w:autoRedefine/>
    <w:qFormat/>
    <w:uiPriority w:val="0"/>
    <w:pPr>
      <w:ind w:firstLine="200" w:firstLineChars="200"/>
    </w:pPr>
    <w:rPr>
      <w:rFonts w:eastAsia="仿宋_GB2312"/>
      <w:sz w:val="28"/>
      <w:szCs w:val="20"/>
    </w:rPr>
  </w:style>
  <w:style w:type="paragraph" w:customStyle="1" w:styleId="3496">
    <w:name w:val="列表接续 31"/>
    <w:basedOn w:val="1"/>
    <w:autoRedefine/>
    <w:qFormat/>
    <w:uiPriority w:val="0"/>
    <w:pPr>
      <w:spacing w:before="60" w:after="120"/>
      <w:ind w:left="1260" w:firstLine="482"/>
    </w:pPr>
    <w:rPr>
      <w:rFonts w:ascii="Arial" w:hAnsi="Arial" w:eastAsia="仿宋_GB2312"/>
      <w:kern w:val="0"/>
      <w:szCs w:val="20"/>
    </w:rPr>
  </w:style>
  <w:style w:type="paragraph" w:customStyle="1" w:styleId="3497">
    <w:name w:val="列表编号 41"/>
    <w:basedOn w:val="1"/>
    <w:autoRedefine/>
    <w:qFormat/>
    <w:uiPriority w:val="0"/>
    <w:pPr>
      <w:tabs>
        <w:tab w:val="left" w:pos="1620"/>
      </w:tabs>
      <w:spacing w:before="60"/>
      <w:ind w:left="1620" w:hanging="360"/>
    </w:pPr>
    <w:rPr>
      <w:rFonts w:ascii="Arial" w:hAnsi="Arial" w:eastAsia="仿宋_GB2312"/>
      <w:kern w:val="0"/>
      <w:szCs w:val="20"/>
    </w:rPr>
  </w:style>
  <w:style w:type="paragraph" w:customStyle="1" w:styleId="3498">
    <w:name w:val="收信人地址1"/>
    <w:basedOn w:val="1"/>
    <w:autoRedefine/>
    <w:qFormat/>
    <w:uiPriority w:val="0"/>
    <w:pPr>
      <w:snapToGrid w:val="0"/>
      <w:spacing w:before="60"/>
      <w:ind w:left="2880" w:firstLine="482"/>
    </w:pPr>
    <w:rPr>
      <w:rFonts w:ascii="Arial" w:hAnsi="Arial" w:eastAsia="仿宋_GB2312" w:cs="Arial"/>
      <w:kern w:val="0"/>
      <w:szCs w:val="20"/>
    </w:rPr>
  </w:style>
  <w:style w:type="paragraph" w:customStyle="1" w:styleId="3499">
    <w:name w:val="引文目录1"/>
    <w:basedOn w:val="1"/>
    <w:next w:val="1"/>
    <w:autoRedefine/>
    <w:qFormat/>
    <w:uiPriority w:val="0"/>
    <w:pPr>
      <w:ind w:left="200" w:leftChars="200"/>
    </w:pPr>
    <w:rPr>
      <w:rFonts w:eastAsia="仿宋_GB2312"/>
      <w:sz w:val="28"/>
      <w:szCs w:val="21"/>
    </w:rPr>
  </w:style>
  <w:style w:type="paragraph" w:customStyle="1" w:styleId="3500">
    <w:name w:val="_Style 48"/>
    <w:basedOn w:val="1"/>
    <w:next w:val="82"/>
    <w:autoRedefine/>
    <w:qFormat/>
    <w:uiPriority w:val="0"/>
    <w:pPr>
      <w:widowControl/>
      <w:spacing w:before="100" w:beforeAutospacing="1" w:after="100" w:afterAutospacing="1"/>
      <w:jc w:val="left"/>
    </w:pPr>
    <w:rPr>
      <w:rFonts w:eastAsia="仿宋_GB2312"/>
      <w:color w:val="000000"/>
      <w:kern w:val="0"/>
      <w:szCs w:val="20"/>
    </w:rPr>
  </w:style>
  <w:style w:type="paragraph" w:customStyle="1" w:styleId="3501">
    <w:name w:val="TOC 标题11"/>
    <w:basedOn w:val="3"/>
    <w:next w:val="1"/>
    <w:autoRedefine/>
    <w:qFormat/>
    <w:uiPriority w:val="39"/>
    <w:pPr>
      <w:widowControl/>
      <w:tabs>
        <w:tab w:val="left" w:pos="574"/>
      </w:tabs>
      <w:spacing w:before="0" w:after="0" w:line="276" w:lineRule="auto"/>
      <w:ind w:left="574" w:hanging="432"/>
      <w:jc w:val="left"/>
      <w:outlineLvl w:val="9"/>
    </w:pPr>
    <w:rPr>
      <w:rFonts w:ascii="Cambria" w:hAnsi="Cambria" w:eastAsia="仿宋_GB2312"/>
      <w:bCs/>
      <w:color w:val="365F91"/>
      <w:kern w:val="0"/>
      <w:sz w:val="28"/>
      <w:szCs w:val="28"/>
      <w:lang w:val="zh-CN"/>
    </w:rPr>
  </w:style>
  <w:style w:type="paragraph" w:customStyle="1" w:styleId="3502">
    <w:name w:val="Char Char Char1 Char Char Char Char Char Char Char Char Char Char Char Char Char Char Char Char1"/>
    <w:basedOn w:val="1"/>
    <w:autoRedefine/>
    <w:qFormat/>
    <w:uiPriority w:val="0"/>
    <w:pPr>
      <w:spacing w:line="360" w:lineRule="auto"/>
      <w:ind w:firstLine="200" w:firstLineChars="200"/>
    </w:pPr>
    <w:rPr>
      <w:rFonts w:eastAsia="仿宋_GB2312" w:cs="宋体"/>
      <w:szCs w:val="21"/>
    </w:rPr>
  </w:style>
  <w:style w:type="paragraph" w:customStyle="1" w:styleId="3503">
    <w:name w:val="z-窗体顶端11"/>
    <w:basedOn w:val="1"/>
    <w:next w:val="1"/>
    <w:autoRedefine/>
    <w:qFormat/>
    <w:uiPriority w:val="0"/>
    <w:pPr>
      <w:widowControl/>
      <w:pBdr>
        <w:bottom w:val="single" w:color="auto" w:sz="6" w:space="1"/>
      </w:pBdr>
      <w:jc w:val="center"/>
    </w:pPr>
    <w:rPr>
      <w:rFonts w:ascii="Arial" w:hAnsi="Arial" w:eastAsia="仿宋_GB2312"/>
      <w:vanish/>
      <w:kern w:val="0"/>
      <w:sz w:val="16"/>
      <w:szCs w:val="16"/>
    </w:rPr>
  </w:style>
  <w:style w:type="paragraph" w:customStyle="1" w:styleId="3504">
    <w:name w:val="标题0"/>
    <w:basedOn w:val="1"/>
    <w:next w:val="1"/>
    <w:autoRedefine/>
    <w:qFormat/>
    <w:uiPriority w:val="0"/>
    <w:pPr>
      <w:spacing w:beforeLines="200" w:afterLines="200" w:line="240" w:lineRule="atLeast"/>
      <w:jc w:val="center"/>
    </w:pPr>
    <w:rPr>
      <w:rFonts w:eastAsia="黑体"/>
      <w:sz w:val="36"/>
      <w:szCs w:val="21"/>
    </w:rPr>
  </w:style>
  <w:style w:type="paragraph" w:customStyle="1" w:styleId="3505">
    <w:name w:val="z-窗体底端11"/>
    <w:basedOn w:val="1"/>
    <w:next w:val="1"/>
    <w:autoRedefine/>
    <w:qFormat/>
    <w:uiPriority w:val="0"/>
    <w:pPr>
      <w:widowControl/>
      <w:pBdr>
        <w:top w:val="single" w:color="auto" w:sz="6" w:space="1"/>
      </w:pBdr>
      <w:jc w:val="center"/>
    </w:pPr>
    <w:rPr>
      <w:rFonts w:ascii="Arial" w:hAnsi="Arial" w:eastAsia="仿宋_GB2312"/>
      <w:vanish/>
      <w:kern w:val="0"/>
      <w:sz w:val="16"/>
      <w:szCs w:val="16"/>
    </w:rPr>
  </w:style>
  <w:style w:type="paragraph" w:customStyle="1" w:styleId="3506">
    <w:name w:val="样式 样式4 + 首行缩进:  0.75 字符"/>
    <w:basedOn w:val="1190"/>
    <w:autoRedefine/>
    <w:qFormat/>
    <w:uiPriority w:val="0"/>
    <w:pPr>
      <w:spacing w:line="480" w:lineRule="exact"/>
      <w:ind w:left="0" w:leftChars="0" w:firstLine="200"/>
    </w:pPr>
    <w:rPr>
      <w:rFonts w:eastAsia="新宋体" w:asciiTheme="minorHAnsi" w:hAnsiTheme="minorHAnsi" w:cstheme="minorBidi"/>
      <w:sz w:val="24"/>
      <w:szCs w:val="21"/>
    </w:rPr>
  </w:style>
  <w:style w:type="paragraph" w:customStyle="1" w:styleId="3507">
    <w:name w:val="Char1 Char Char Char Char Char1 Char11"/>
    <w:basedOn w:val="1"/>
    <w:autoRedefine/>
    <w:qFormat/>
    <w:uiPriority w:val="0"/>
    <w:rPr>
      <w:rFonts w:eastAsia="仿宋_GB2312"/>
      <w:sz w:val="28"/>
      <w:szCs w:val="21"/>
    </w:rPr>
  </w:style>
  <w:style w:type="paragraph" w:customStyle="1" w:styleId="3508">
    <w:name w:val="b_rr_memo1"/>
    <w:basedOn w:val="1"/>
    <w:autoRedefine/>
    <w:qFormat/>
    <w:uiPriority w:val="0"/>
    <w:pPr>
      <w:widowControl/>
      <w:spacing w:before="120"/>
      <w:ind w:left="15"/>
      <w:jc w:val="left"/>
    </w:pPr>
    <w:rPr>
      <w:rFonts w:eastAsia="仿宋_GB2312" w:cs="宋体"/>
      <w:color w:val="666666"/>
      <w:kern w:val="0"/>
      <w:szCs w:val="21"/>
    </w:rPr>
  </w:style>
  <w:style w:type="paragraph" w:customStyle="1" w:styleId="3509">
    <w:name w:val="纯文本21"/>
    <w:basedOn w:val="1"/>
    <w:autoRedefine/>
    <w:qFormat/>
    <w:uiPriority w:val="0"/>
    <w:pPr>
      <w:adjustRightInd w:val="0"/>
      <w:textAlignment w:val="baseline"/>
    </w:pPr>
    <w:rPr>
      <w:rFonts w:eastAsia="仿宋_GB2312"/>
      <w:sz w:val="28"/>
      <w:szCs w:val="20"/>
    </w:rPr>
  </w:style>
  <w:style w:type="paragraph" w:customStyle="1" w:styleId="3510">
    <w:name w:val="Char Char Char Char Char Char Char15"/>
    <w:basedOn w:val="1"/>
    <w:autoRedefine/>
    <w:qFormat/>
    <w:uiPriority w:val="0"/>
    <w:rPr>
      <w:rFonts w:eastAsia="仿宋_GB2312"/>
      <w:sz w:val="28"/>
      <w:szCs w:val="21"/>
    </w:rPr>
  </w:style>
  <w:style w:type="paragraph" w:customStyle="1" w:styleId="3511">
    <w:name w:val="正文图标题"/>
    <w:next w:val="1"/>
    <w:autoRedefine/>
    <w:qFormat/>
    <w:uiPriority w:val="0"/>
    <w:pPr>
      <w:tabs>
        <w:tab w:val="left" w:pos="270"/>
      </w:tabs>
      <w:ind w:left="270" w:hanging="270"/>
      <w:jc w:val="center"/>
    </w:pPr>
    <w:rPr>
      <w:rFonts w:ascii="黑体" w:hAnsi="Times New Roman" w:eastAsia="黑体" w:cs="宋体"/>
      <w:sz w:val="21"/>
      <w:szCs w:val="21"/>
      <w:lang w:val="en-US" w:eastAsia="zh-CN" w:bidi="ar-SA"/>
    </w:rPr>
  </w:style>
  <w:style w:type="paragraph" w:customStyle="1" w:styleId="3512">
    <w:name w:val="Char34"/>
    <w:basedOn w:val="1"/>
    <w:autoRedefine/>
    <w:qFormat/>
    <w:uiPriority w:val="0"/>
    <w:pPr>
      <w:spacing w:line="240" w:lineRule="exact"/>
      <w:ind w:firstLine="200" w:firstLineChars="200"/>
    </w:pPr>
    <w:rPr>
      <w:rFonts w:eastAsia="仿宋_GB2312"/>
      <w:sz w:val="28"/>
      <w:szCs w:val="28"/>
    </w:rPr>
  </w:style>
  <w:style w:type="paragraph" w:customStyle="1" w:styleId="3513">
    <w:name w:val="Char Char Char Char Char Char Char19"/>
    <w:basedOn w:val="1"/>
    <w:autoRedefine/>
    <w:qFormat/>
    <w:uiPriority w:val="0"/>
    <w:rPr>
      <w:rFonts w:eastAsia="仿宋_GB2312"/>
      <w:sz w:val="28"/>
      <w:szCs w:val="21"/>
    </w:rPr>
  </w:style>
  <w:style w:type="paragraph" w:customStyle="1" w:styleId="3514">
    <w:name w:val="标题1 Char Char Char"/>
    <w:basedOn w:val="1"/>
    <w:next w:val="1"/>
    <w:autoRedefine/>
    <w:qFormat/>
    <w:uiPriority w:val="0"/>
    <w:pPr>
      <w:spacing w:beforeLines="50" w:afterLines="50"/>
      <w:jc w:val="center"/>
    </w:pPr>
    <w:rPr>
      <w:rFonts w:eastAsia="仿宋_GB2312"/>
      <w:sz w:val="28"/>
      <w:szCs w:val="20"/>
    </w:rPr>
  </w:style>
  <w:style w:type="paragraph" w:customStyle="1" w:styleId="3515">
    <w:name w:val="Char Char Char Char Char Char Char18"/>
    <w:basedOn w:val="1"/>
    <w:autoRedefine/>
    <w:qFormat/>
    <w:uiPriority w:val="0"/>
    <w:rPr>
      <w:rFonts w:eastAsia="仿宋_GB2312"/>
      <w:sz w:val="28"/>
      <w:szCs w:val="21"/>
    </w:rPr>
  </w:style>
  <w:style w:type="paragraph" w:customStyle="1" w:styleId="3516">
    <w:name w:val="Char Char Char Char Char Char Char17"/>
    <w:basedOn w:val="1"/>
    <w:autoRedefine/>
    <w:qFormat/>
    <w:uiPriority w:val="0"/>
    <w:rPr>
      <w:rFonts w:eastAsia="仿宋_GB2312"/>
      <w:sz w:val="28"/>
      <w:szCs w:val="21"/>
    </w:rPr>
  </w:style>
  <w:style w:type="paragraph" w:customStyle="1" w:styleId="3517">
    <w:name w:val="图"/>
    <w:basedOn w:val="1"/>
    <w:autoRedefine/>
    <w:qFormat/>
    <w:uiPriority w:val="0"/>
    <w:pPr>
      <w:adjustRightInd w:val="0"/>
      <w:snapToGrid w:val="0"/>
      <w:jc w:val="center"/>
    </w:pPr>
    <w:rPr>
      <w:rFonts w:eastAsia="仿宋_GB2312" w:cs="宋体"/>
      <w:sz w:val="28"/>
      <w:szCs w:val="20"/>
    </w:rPr>
  </w:style>
  <w:style w:type="paragraph" w:customStyle="1" w:styleId="3518">
    <w:name w:val="Char35"/>
    <w:basedOn w:val="1"/>
    <w:autoRedefine/>
    <w:qFormat/>
    <w:uiPriority w:val="0"/>
    <w:pPr>
      <w:spacing w:line="240" w:lineRule="exact"/>
      <w:ind w:firstLine="200" w:firstLineChars="200"/>
    </w:pPr>
    <w:rPr>
      <w:rFonts w:eastAsia="仿宋_GB2312"/>
      <w:sz w:val="28"/>
      <w:szCs w:val="28"/>
    </w:rPr>
  </w:style>
  <w:style w:type="paragraph" w:customStyle="1" w:styleId="3519">
    <w:name w:val="Char Char Char Char Char Char Char16"/>
    <w:basedOn w:val="1"/>
    <w:autoRedefine/>
    <w:qFormat/>
    <w:uiPriority w:val="0"/>
    <w:rPr>
      <w:rFonts w:eastAsia="仿宋_GB2312"/>
      <w:sz w:val="28"/>
      <w:szCs w:val="21"/>
    </w:rPr>
  </w:style>
  <w:style w:type="paragraph" w:customStyle="1" w:styleId="3520">
    <w:name w:val="式中："/>
    <w:basedOn w:val="934"/>
    <w:autoRedefine/>
    <w:qFormat/>
    <w:uiPriority w:val="0"/>
    <w:pPr>
      <w:tabs>
        <w:tab w:val="clear" w:pos="315"/>
        <w:tab w:val="clear" w:pos="360"/>
      </w:tabs>
      <w:spacing w:line="440" w:lineRule="exact"/>
      <w:ind w:left="500" w:leftChars="500"/>
    </w:pPr>
    <w:rPr>
      <w:rFonts w:ascii="Times New Roman"/>
      <w:kern w:val="0"/>
      <w:szCs w:val="28"/>
    </w:rPr>
  </w:style>
  <w:style w:type="paragraph" w:customStyle="1" w:styleId="3521">
    <w:name w:val="主要条文"/>
    <w:basedOn w:val="1"/>
    <w:autoRedefine/>
    <w:qFormat/>
    <w:uiPriority w:val="0"/>
    <w:pPr>
      <w:tabs>
        <w:tab w:val="left" w:pos="1260"/>
      </w:tabs>
      <w:ind w:left="1260" w:hanging="420"/>
    </w:pPr>
    <w:rPr>
      <w:rFonts w:eastAsia="仿宋_GB2312"/>
      <w:szCs w:val="21"/>
    </w:rPr>
  </w:style>
  <w:style w:type="paragraph" w:customStyle="1" w:styleId="3522">
    <w:name w:val="报告正文1"/>
    <w:basedOn w:val="88"/>
    <w:autoRedefine/>
    <w:qFormat/>
    <w:uiPriority w:val="0"/>
    <w:pPr>
      <w:spacing w:after="0" w:line="360" w:lineRule="auto"/>
      <w:ind w:left="0" w:leftChars="0" w:firstLine="200"/>
    </w:pPr>
    <w:rPr>
      <w:rFonts w:eastAsia="仿宋_GB2312" w:cstheme="minorBidi"/>
      <w:color w:val="000000"/>
      <w:kern w:val="0"/>
      <w:sz w:val="24"/>
    </w:rPr>
  </w:style>
  <w:style w:type="paragraph" w:customStyle="1" w:styleId="3523">
    <w:name w:val="正文zz"/>
    <w:autoRedefine/>
    <w:qFormat/>
    <w:uiPriority w:val="0"/>
    <w:pPr>
      <w:spacing w:line="360" w:lineRule="auto"/>
      <w:ind w:firstLine="200" w:firstLineChars="200"/>
    </w:pPr>
    <w:rPr>
      <w:rFonts w:ascii="Times New Roman" w:hAnsi="Times New Roman" w:eastAsia="仿宋_GB2312" w:cs="宋体"/>
      <w:sz w:val="24"/>
      <w:szCs w:val="24"/>
      <w:lang w:val="en-US" w:eastAsia="zh-CN" w:bidi="ar-SA"/>
    </w:rPr>
  </w:style>
  <w:style w:type="paragraph" w:customStyle="1" w:styleId="3524">
    <w:name w:val="Char Char1 Char Char Char"/>
    <w:basedOn w:val="1"/>
    <w:autoRedefine/>
    <w:qFormat/>
    <w:uiPriority w:val="0"/>
    <w:rPr>
      <w:rFonts w:eastAsia="仿宋_GB2312"/>
      <w:szCs w:val="21"/>
    </w:rPr>
  </w:style>
  <w:style w:type="paragraph" w:customStyle="1" w:styleId="3525">
    <w:name w:val="样式 宋体 红色 行距: 1.5 倍行距"/>
    <w:basedOn w:val="1"/>
    <w:autoRedefine/>
    <w:qFormat/>
    <w:uiPriority w:val="0"/>
    <w:pPr>
      <w:adjustRightInd w:val="0"/>
      <w:snapToGrid w:val="0"/>
      <w:spacing w:line="360" w:lineRule="auto"/>
      <w:ind w:firstLine="200" w:firstLineChars="200"/>
    </w:pPr>
    <w:rPr>
      <w:rFonts w:eastAsia="仿宋_GB2312" w:cs="宋体"/>
      <w:color w:val="FF0000"/>
      <w:szCs w:val="20"/>
    </w:rPr>
  </w:style>
  <w:style w:type="paragraph" w:customStyle="1" w:styleId="3526">
    <w:name w:val="a2"/>
    <w:basedOn w:val="1"/>
    <w:autoRedefine/>
    <w:qFormat/>
    <w:uiPriority w:val="0"/>
    <w:pPr>
      <w:widowControl/>
      <w:spacing w:before="100" w:beforeAutospacing="1" w:after="100" w:afterAutospacing="1"/>
      <w:jc w:val="left"/>
    </w:pPr>
    <w:rPr>
      <w:rFonts w:eastAsia="仿宋_GB2312"/>
      <w:snapToGrid w:val="0"/>
      <w:color w:val="000000"/>
      <w:kern w:val="0"/>
      <w:szCs w:val="21"/>
    </w:rPr>
  </w:style>
  <w:style w:type="paragraph" w:customStyle="1" w:styleId="3527">
    <w:name w:val="样式 正文首行缩进 + 段后: 0 磅 行距: 固定值 26 磅"/>
    <w:basedOn w:val="87"/>
    <w:autoRedefine/>
    <w:qFormat/>
    <w:uiPriority w:val="0"/>
    <w:pPr>
      <w:spacing w:after="0" w:line="520" w:lineRule="exact"/>
      <w:ind w:firstLine="200" w:firstLineChars="200"/>
    </w:pPr>
    <w:rPr>
      <w:rFonts w:eastAsia="仿宋_GB2312" w:cs="宋体" w:hAnsiTheme="minorHAnsi"/>
      <w:sz w:val="24"/>
      <w:szCs w:val="21"/>
    </w:rPr>
  </w:style>
  <w:style w:type="paragraph" w:customStyle="1" w:styleId="3528">
    <w:name w:val="报告书表格2"/>
    <w:basedOn w:val="1"/>
    <w:autoRedefine/>
    <w:qFormat/>
    <w:uiPriority w:val="0"/>
    <w:pPr>
      <w:adjustRightInd w:val="0"/>
      <w:spacing w:after="120" w:line="240" w:lineRule="atLeast"/>
      <w:ind w:firstLine="567"/>
      <w:jc w:val="center"/>
      <w:textAlignment w:val="baseline"/>
    </w:pPr>
    <w:rPr>
      <w:rFonts w:eastAsia="仿宋_GB2312"/>
      <w:sz w:val="28"/>
      <w:szCs w:val="20"/>
    </w:rPr>
  </w:style>
  <w:style w:type="paragraph" w:customStyle="1" w:styleId="3529">
    <w:name w:val="表后空行"/>
    <w:basedOn w:val="1"/>
    <w:next w:val="1"/>
    <w:autoRedefine/>
    <w:qFormat/>
    <w:uiPriority w:val="0"/>
    <w:rPr>
      <w:rFonts w:eastAsia="仿宋_GB2312"/>
      <w:kern w:val="18"/>
      <w:sz w:val="18"/>
      <w:szCs w:val="21"/>
    </w:rPr>
  </w:style>
  <w:style w:type="paragraph" w:customStyle="1" w:styleId="3530">
    <w:name w:val="表格内容自定"/>
    <w:basedOn w:val="1"/>
    <w:autoRedefine/>
    <w:qFormat/>
    <w:uiPriority w:val="0"/>
    <w:pPr>
      <w:tabs>
        <w:tab w:val="left" w:pos="795"/>
      </w:tabs>
      <w:spacing w:line="280" w:lineRule="exact"/>
      <w:jc w:val="center"/>
    </w:pPr>
    <w:rPr>
      <w:rFonts w:eastAsia="仿宋_GB2312"/>
      <w:kern w:val="0"/>
      <w:sz w:val="18"/>
      <w:szCs w:val="21"/>
    </w:rPr>
  </w:style>
  <w:style w:type="paragraph" w:customStyle="1" w:styleId="3531">
    <w:name w:val="AZ"/>
    <w:basedOn w:val="1"/>
    <w:autoRedefine/>
    <w:qFormat/>
    <w:uiPriority w:val="0"/>
    <w:pPr>
      <w:widowControl/>
      <w:tabs>
        <w:tab w:val="left" w:pos="851"/>
        <w:tab w:val="left" w:pos="1637"/>
      </w:tabs>
      <w:spacing w:before="60" w:after="120"/>
      <w:ind w:left="1637" w:hanging="737"/>
      <w:jc w:val="left"/>
    </w:pPr>
    <w:rPr>
      <w:rFonts w:ascii="Arial" w:hAnsi="Arial" w:eastAsia="仿宋_GB2312"/>
      <w:color w:val="000000"/>
      <w:kern w:val="0"/>
      <w:sz w:val="22"/>
      <w:szCs w:val="22"/>
      <w:lang w:val="de-DE" w:eastAsia="de-DE"/>
    </w:rPr>
  </w:style>
  <w:style w:type="paragraph" w:customStyle="1" w:styleId="3532">
    <w:name w:val="注1"/>
    <w:basedOn w:val="1"/>
    <w:autoRedefine/>
    <w:qFormat/>
    <w:uiPriority w:val="0"/>
    <w:pPr>
      <w:overflowPunct w:val="0"/>
      <w:topLinePunct/>
      <w:jc w:val="center"/>
    </w:pPr>
    <w:rPr>
      <w:rFonts w:eastAsia="仿宋_GB2312"/>
      <w:b/>
      <w:sz w:val="28"/>
      <w:szCs w:val="21"/>
    </w:rPr>
  </w:style>
  <w:style w:type="paragraph" w:customStyle="1" w:styleId="3533">
    <w:name w:val="Qzy样式2"/>
    <w:basedOn w:val="4"/>
    <w:autoRedefine/>
    <w:qFormat/>
    <w:uiPriority w:val="0"/>
    <w:pPr>
      <w:keepNext w:val="0"/>
      <w:tabs>
        <w:tab w:val="clear" w:pos="1276"/>
      </w:tabs>
      <w:adjustRightInd/>
      <w:spacing w:before="0" w:after="0" w:line="240" w:lineRule="auto"/>
      <w:ind w:left="0"/>
      <w:contextualSpacing/>
      <w:jc w:val="center"/>
      <w:textAlignment w:val="auto"/>
    </w:pPr>
    <w:rPr>
      <w:rFonts w:ascii="仿宋_GB2312" w:hAnsi="Times New Roman" w:eastAsia="仿宋_GB2312"/>
      <w:b w:val="0"/>
      <w:kern w:val="0"/>
      <w:sz w:val="21"/>
      <w:szCs w:val="24"/>
      <w:lang w:val="zh-CN"/>
    </w:rPr>
  </w:style>
  <w:style w:type="paragraph" w:customStyle="1" w:styleId="3534">
    <w:name w:val="Char2 Char Char1"/>
    <w:basedOn w:val="1"/>
    <w:autoRedefine/>
    <w:qFormat/>
    <w:uiPriority w:val="0"/>
    <w:rPr>
      <w:rFonts w:eastAsia="仿宋_GB2312"/>
      <w:szCs w:val="21"/>
    </w:rPr>
  </w:style>
  <w:style w:type="paragraph" w:customStyle="1" w:styleId="3535">
    <w:name w:val="样式 报告书表格 +"/>
    <w:basedOn w:val="468"/>
    <w:autoRedefine/>
    <w:qFormat/>
    <w:uiPriority w:val="0"/>
    <w:pPr>
      <w:widowControl/>
      <w:tabs>
        <w:tab w:val="center" w:pos="4540"/>
        <w:tab w:val="right" w:pos="8505"/>
      </w:tabs>
      <w:snapToGrid w:val="0"/>
      <w:spacing w:line="240" w:lineRule="auto"/>
      <w:ind w:firstLine="0"/>
    </w:pPr>
    <w:rPr>
      <w:rFonts w:ascii="Times New Roman" w:hAnsi="Times New Roman" w:eastAsia="宋体" w:cs="Times New Roman"/>
      <w:spacing w:val="0"/>
      <w:kern w:val="0"/>
      <w:sz w:val="20"/>
      <w:szCs w:val="21"/>
    </w:rPr>
  </w:style>
  <w:style w:type="paragraph" w:customStyle="1" w:styleId="3536">
    <w:name w:val="Char2 Char Char"/>
    <w:basedOn w:val="1"/>
    <w:autoRedefine/>
    <w:qFormat/>
    <w:uiPriority w:val="0"/>
    <w:rPr>
      <w:rFonts w:eastAsia="仿宋_GB2312"/>
      <w:szCs w:val="21"/>
    </w:rPr>
  </w:style>
  <w:style w:type="paragraph" w:customStyle="1" w:styleId="3537">
    <w:name w:val="文本框1"/>
    <w:basedOn w:val="1521"/>
    <w:autoRedefine/>
    <w:qFormat/>
    <w:uiPriority w:val="0"/>
    <w:pPr>
      <w:widowControl w:val="0"/>
      <w:shd w:val="clear" w:color="auto" w:fill="auto"/>
      <w:adjustRightInd/>
      <w:spacing w:before="0" w:beforeAutospacing="0" w:afterLines="50" w:afterAutospacing="0" w:line="260" w:lineRule="exact"/>
      <w:ind w:firstLine="0"/>
      <w:jc w:val="center"/>
      <w:textAlignment w:val="auto"/>
    </w:pPr>
    <w:rPr>
      <w:rFonts w:ascii="Times New Roman" w:hAnsi="Times New Roman" w:eastAsia="仿宋_GB2312"/>
      <w:spacing w:val="0"/>
      <w:kern w:val="2"/>
      <w:sz w:val="21"/>
    </w:rPr>
  </w:style>
  <w:style w:type="paragraph" w:customStyle="1" w:styleId="3538">
    <w:name w:val="第1级"/>
    <w:basedOn w:val="1"/>
    <w:autoRedefine/>
    <w:qFormat/>
    <w:uiPriority w:val="0"/>
    <w:pPr>
      <w:keepNext/>
      <w:keepLines/>
      <w:tabs>
        <w:tab w:val="left" w:pos="567"/>
      </w:tabs>
      <w:spacing w:beforeLines="100" w:line="360" w:lineRule="auto"/>
      <w:jc w:val="center"/>
      <w:outlineLvl w:val="0"/>
    </w:pPr>
    <w:rPr>
      <w:rFonts w:eastAsia="仿宋_GB2312" w:cs="宋体"/>
      <w:b/>
      <w:bCs/>
      <w:snapToGrid w:val="0"/>
      <w:kern w:val="0"/>
      <w:sz w:val="36"/>
      <w:szCs w:val="36"/>
    </w:rPr>
  </w:style>
  <w:style w:type="paragraph" w:customStyle="1" w:styleId="3539">
    <w:name w:val="晓丹"/>
    <w:basedOn w:val="87"/>
    <w:autoRedefine/>
    <w:qFormat/>
    <w:uiPriority w:val="0"/>
    <w:pPr>
      <w:adjustRightInd w:val="0"/>
      <w:snapToGrid w:val="0"/>
      <w:spacing w:after="0" w:line="360" w:lineRule="auto"/>
      <w:ind w:firstLine="200" w:firstLineChars="200"/>
      <w:textAlignment w:val="baseline"/>
    </w:pPr>
    <w:rPr>
      <w:rFonts w:ascii="宋体" w:eastAsia="仿宋_GB2312" w:cs="宋体" w:hAnsiTheme="minorHAnsi"/>
      <w:color w:val="000000"/>
      <w:spacing w:val="6"/>
      <w:sz w:val="24"/>
      <w:szCs w:val="21"/>
    </w:rPr>
  </w:style>
  <w:style w:type="paragraph" w:customStyle="1" w:styleId="3540">
    <w:name w:val="样式 报告书正文 + 首行缩进:  2 字符 段前: 0.3 行 段后: 0.3 行"/>
    <w:basedOn w:val="1"/>
    <w:autoRedefine/>
    <w:qFormat/>
    <w:uiPriority w:val="0"/>
    <w:pPr>
      <w:spacing w:beforeLines="30" w:afterLines="30" w:line="360" w:lineRule="auto"/>
      <w:ind w:firstLine="200" w:firstLineChars="200"/>
    </w:pPr>
    <w:rPr>
      <w:rFonts w:eastAsia="仿宋_GB2312"/>
      <w:szCs w:val="21"/>
    </w:rPr>
  </w:style>
  <w:style w:type="paragraph" w:customStyle="1" w:styleId="3541">
    <w:name w:val="Char Char Char Char Char Char Char Char Char Char Char Char Char Char Char Char Char Char Char Char Char Char Char Char Char Char Char Char Char Char Char Char Char Char Char Char Char"/>
    <w:basedOn w:val="1"/>
    <w:autoRedefine/>
    <w:qFormat/>
    <w:uiPriority w:val="0"/>
    <w:pPr>
      <w:spacing w:line="240" w:lineRule="exact"/>
      <w:ind w:firstLine="200" w:firstLineChars="200"/>
    </w:pPr>
    <w:rPr>
      <w:rFonts w:eastAsia="仿宋_GB2312"/>
      <w:sz w:val="28"/>
      <w:szCs w:val="28"/>
    </w:rPr>
  </w:style>
  <w:style w:type="paragraph" w:customStyle="1" w:styleId="3542">
    <w:name w:val="bg2"/>
    <w:basedOn w:val="1"/>
    <w:autoRedefine/>
    <w:qFormat/>
    <w:uiPriority w:val="0"/>
    <w:pPr>
      <w:jc w:val="left"/>
    </w:pPr>
    <w:rPr>
      <w:rFonts w:eastAsia="仿宋_GB2312" w:cs="宋体"/>
      <w:spacing w:val="-4"/>
      <w:sz w:val="28"/>
      <w:szCs w:val="21"/>
    </w:rPr>
  </w:style>
  <w:style w:type="paragraph" w:customStyle="1" w:styleId="3543">
    <w:name w:val="Char Char1 Char Char Char Char Char Char Char1"/>
    <w:basedOn w:val="1"/>
    <w:autoRedefine/>
    <w:qFormat/>
    <w:uiPriority w:val="0"/>
    <w:pPr>
      <w:widowControl/>
      <w:spacing w:after="160" w:line="240" w:lineRule="exact"/>
      <w:jc w:val="left"/>
    </w:pPr>
    <w:rPr>
      <w:rFonts w:ascii="Arial" w:hAnsi="Arial" w:eastAsia="Times New Roman" w:cs="Verdana"/>
      <w:b/>
      <w:kern w:val="0"/>
      <w:szCs w:val="21"/>
      <w:lang w:eastAsia="en-US"/>
    </w:rPr>
  </w:style>
  <w:style w:type="paragraph" w:customStyle="1" w:styleId="3544">
    <w:name w:val="Char Char Char Char Char Char Char Char Char Char Char Char Char Char Char Char Char Char Char Char Char Char Char Char Char Char Char Char Char Char Char Char Char Char Char Char Char Char Char Char"/>
    <w:basedOn w:val="1"/>
    <w:autoRedefine/>
    <w:qFormat/>
    <w:uiPriority w:val="0"/>
    <w:rPr>
      <w:rFonts w:eastAsia="仿宋_GB2312"/>
      <w:szCs w:val="21"/>
    </w:rPr>
  </w:style>
  <w:style w:type="paragraph" w:customStyle="1" w:styleId="3545">
    <w:name w:val="环评"/>
    <w:basedOn w:val="1"/>
    <w:autoRedefine/>
    <w:qFormat/>
    <w:uiPriority w:val="0"/>
    <w:pPr>
      <w:adjustRightInd w:val="0"/>
      <w:snapToGrid w:val="0"/>
      <w:spacing w:line="360" w:lineRule="auto"/>
    </w:pPr>
    <w:rPr>
      <w:rFonts w:ascii="仿宋_GB2312" w:eastAsia="仿宋_GB2312"/>
      <w:sz w:val="30"/>
      <w:szCs w:val="20"/>
    </w:rPr>
  </w:style>
  <w:style w:type="paragraph" w:customStyle="1" w:styleId="3546">
    <w:name w:val="Char Char Char Char Char Char Char Char Char Char Char Char Char Char Char Char Char Char Char Char Char Char Char Char Char Char Char Char Char Char Char Char Char Char Char Char Char Char Char Char Char Char Char Char Char Char Char Char"/>
    <w:basedOn w:val="1"/>
    <w:autoRedefine/>
    <w:qFormat/>
    <w:uiPriority w:val="0"/>
    <w:rPr>
      <w:rFonts w:eastAsia="仿宋_GB2312"/>
      <w:sz w:val="28"/>
      <w:szCs w:val="21"/>
    </w:rPr>
  </w:style>
  <w:style w:type="paragraph" w:customStyle="1" w:styleId="3547">
    <w:name w:val="Char Char1 Char Char Char Char Char Char Char Char Char Char Char Char Char Char Char Char Char Char"/>
    <w:basedOn w:val="1"/>
    <w:autoRedefine/>
    <w:qFormat/>
    <w:uiPriority w:val="0"/>
    <w:pPr>
      <w:spacing w:line="360" w:lineRule="auto"/>
      <w:ind w:firstLine="200" w:firstLineChars="200"/>
    </w:pPr>
    <w:rPr>
      <w:rFonts w:eastAsia="仿宋_GB2312" w:cs="宋体"/>
      <w:szCs w:val="21"/>
    </w:rPr>
  </w:style>
  <w:style w:type="paragraph" w:customStyle="1" w:styleId="3548">
    <w:name w:val="CM17"/>
    <w:basedOn w:val="112"/>
    <w:next w:val="112"/>
    <w:autoRedefine/>
    <w:qFormat/>
    <w:uiPriority w:val="0"/>
    <w:pPr>
      <w:spacing w:line="500" w:lineRule="atLeast"/>
    </w:pPr>
    <w:rPr>
      <w:rFonts w:ascii="宋体" w:cs="宋体"/>
      <w:color w:val="auto"/>
    </w:rPr>
  </w:style>
  <w:style w:type="paragraph" w:customStyle="1" w:styleId="3549">
    <w:name w:val="7表格(治)"/>
    <w:autoRedefine/>
    <w:qFormat/>
    <w:uiPriority w:val="0"/>
    <w:pPr>
      <w:spacing w:line="400" w:lineRule="atLeast"/>
      <w:jc w:val="center"/>
    </w:pPr>
    <w:rPr>
      <w:rFonts w:ascii="宋体" w:hAnsi="Times New Roman" w:eastAsia="仿宋_GB2312" w:cs="宋体"/>
      <w:sz w:val="21"/>
      <w:szCs w:val="21"/>
      <w:lang w:val="en-US" w:eastAsia="zh-CN" w:bidi="ar-SA"/>
    </w:rPr>
  </w:style>
  <w:style w:type="paragraph" w:customStyle="1" w:styleId="3550">
    <w:name w:val="图表标题"/>
    <w:basedOn w:val="1"/>
    <w:autoRedefine/>
    <w:qFormat/>
    <w:uiPriority w:val="0"/>
    <w:pPr>
      <w:spacing w:line="520" w:lineRule="exact"/>
      <w:jc w:val="center"/>
    </w:pPr>
    <w:rPr>
      <w:rFonts w:ascii="黑体" w:eastAsia="黑体"/>
      <w:b/>
      <w:kern w:val="0"/>
      <w:szCs w:val="21"/>
    </w:rPr>
  </w:style>
  <w:style w:type="paragraph" w:customStyle="1" w:styleId="3551">
    <w:name w:val="表格内容-居中"/>
    <w:basedOn w:val="1"/>
    <w:autoRedefine/>
    <w:qFormat/>
    <w:uiPriority w:val="0"/>
    <w:pPr>
      <w:spacing w:before="120" w:after="120"/>
      <w:jc w:val="center"/>
    </w:pPr>
    <w:rPr>
      <w:rFonts w:eastAsia="仿宋_GB2312"/>
      <w:kern w:val="0"/>
      <w:sz w:val="20"/>
      <w:szCs w:val="21"/>
    </w:rPr>
  </w:style>
  <w:style w:type="paragraph" w:customStyle="1" w:styleId="3552">
    <w:name w:val="样式 样式 样式 正文首行缩进 2 Char + 首行缩进:  2 字符 段后: 0.5 行 + 首行缩进:  2 字符 段后..."/>
    <w:basedOn w:val="1"/>
    <w:autoRedefine/>
    <w:qFormat/>
    <w:uiPriority w:val="0"/>
    <w:pPr>
      <w:widowControl/>
      <w:spacing w:afterLines="50" w:line="440" w:lineRule="exact"/>
      <w:ind w:firstLine="200" w:firstLineChars="200"/>
      <w:jc w:val="left"/>
    </w:pPr>
    <w:rPr>
      <w:rFonts w:eastAsia="仿宋_GB2312"/>
      <w:kern w:val="0"/>
      <w:szCs w:val="20"/>
    </w:rPr>
  </w:style>
  <w:style w:type="paragraph" w:customStyle="1" w:styleId="3553">
    <w:name w:val="样式 报告书表格 + 五号"/>
    <w:basedOn w:val="468"/>
    <w:autoRedefine/>
    <w:qFormat/>
    <w:uiPriority w:val="0"/>
    <w:pPr>
      <w:widowControl/>
      <w:tabs>
        <w:tab w:val="center" w:pos="4540"/>
        <w:tab w:val="right" w:pos="8505"/>
      </w:tabs>
      <w:snapToGrid w:val="0"/>
      <w:spacing w:line="240" w:lineRule="auto"/>
      <w:ind w:firstLine="0"/>
      <w:jc w:val="both"/>
    </w:pPr>
    <w:rPr>
      <w:rFonts w:ascii="Times New Roman" w:hAnsi="Times New Roman" w:eastAsia="宋体" w:cs="Times New Roman"/>
      <w:spacing w:val="0"/>
      <w:kern w:val="0"/>
      <w:sz w:val="20"/>
      <w:szCs w:val="21"/>
    </w:rPr>
  </w:style>
  <w:style w:type="paragraph" w:customStyle="1" w:styleId="3554">
    <w:name w:val="样式 正文首行缩进 + 首行缩进:  2 字符"/>
    <w:basedOn w:val="87"/>
    <w:autoRedefine/>
    <w:qFormat/>
    <w:uiPriority w:val="0"/>
    <w:pPr>
      <w:adjustRightInd w:val="0"/>
      <w:snapToGrid w:val="0"/>
      <w:spacing w:after="0" w:line="520" w:lineRule="atLeast"/>
      <w:ind w:firstLine="200" w:firstLineChars="200"/>
    </w:pPr>
    <w:rPr>
      <w:rFonts w:eastAsia="仿宋_GB2312" w:cs="宋体" w:hAnsiTheme="minorHAnsi"/>
      <w:bCs/>
      <w:sz w:val="28"/>
      <w:szCs w:val="20"/>
    </w:rPr>
  </w:style>
  <w:style w:type="paragraph" w:customStyle="1" w:styleId="3555">
    <w:name w:val="表格 Char Char Char Char"/>
    <w:basedOn w:val="1"/>
    <w:autoRedefine/>
    <w:qFormat/>
    <w:uiPriority w:val="0"/>
    <w:pPr>
      <w:jc w:val="center"/>
    </w:pPr>
    <w:rPr>
      <w:rFonts w:ascii="仿宋_GB2312" w:eastAsia="仿宋_GB2312"/>
      <w:snapToGrid w:val="0"/>
      <w:kern w:val="0"/>
      <w:sz w:val="20"/>
      <w:szCs w:val="20"/>
    </w:rPr>
  </w:style>
  <w:style w:type="paragraph" w:customStyle="1" w:styleId="3556">
    <w:name w:val="小3仿"/>
    <w:basedOn w:val="34"/>
    <w:autoRedefine/>
    <w:qFormat/>
    <w:uiPriority w:val="0"/>
    <w:pPr>
      <w:spacing w:after="0" w:line="480" w:lineRule="exact"/>
      <w:ind w:firstLine="200" w:firstLineChars="200"/>
    </w:pPr>
    <w:rPr>
      <w:rFonts w:eastAsia="仿宋_GB2312" w:cstheme="minorBidi"/>
      <w:kern w:val="0"/>
      <w:szCs w:val="20"/>
    </w:rPr>
  </w:style>
  <w:style w:type="paragraph" w:customStyle="1" w:styleId="3557">
    <w:name w:val="表格下方正文"/>
    <w:basedOn w:val="1"/>
    <w:autoRedefine/>
    <w:qFormat/>
    <w:uiPriority w:val="0"/>
    <w:pPr>
      <w:spacing w:before="300" w:line="460" w:lineRule="exact"/>
      <w:ind w:firstLine="482"/>
    </w:pPr>
    <w:rPr>
      <w:rFonts w:eastAsia="仿宋_GB2312"/>
      <w:szCs w:val="21"/>
    </w:rPr>
  </w:style>
  <w:style w:type="paragraph" w:customStyle="1" w:styleId="3558">
    <w:name w:val="可研样式2"/>
    <w:basedOn w:val="1"/>
    <w:autoRedefine/>
    <w:qFormat/>
    <w:uiPriority w:val="0"/>
    <w:rPr>
      <w:rFonts w:eastAsia="楷体_GB2312"/>
      <w:b/>
      <w:sz w:val="28"/>
      <w:szCs w:val="28"/>
    </w:rPr>
  </w:style>
  <w:style w:type="paragraph" w:customStyle="1" w:styleId="3559">
    <w:name w:val="报告书正文段落"/>
    <w:basedOn w:val="1"/>
    <w:autoRedefine/>
    <w:qFormat/>
    <w:uiPriority w:val="0"/>
    <w:pPr>
      <w:spacing w:line="520" w:lineRule="exact"/>
      <w:ind w:firstLine="200" w:firstLineChars="200"/>
      <w:jc w:val="left"/>
    </w:pPr>
    <w:rPr>
      <w:rFonts w:eastAsia="仿宋_GB2312"/>
      <w:kern w:val="0"/>
      <w:szCs w:val="20"/>
      <w:lang w:val="zh-CN"/>
    </w:rPr>
  </w:style>
  <w:style w:type="paragraph" w:customStyle="1" w:styleId="3560">
    <w:name w:val="1正文"/>
    <w:basedOn w:val="45"/>
    <w:autoRedefine/>
    <w:qFormat/>
    <w:uiPriority w:val="0"/>
    <w:pPr>
      <w:adjustRightInd/>
      <w:spacing w:before="0" w:line="560" w:lineRule="exact"/>
      <w:ind w:firstLine="200" w:firstLineChars="200"/>
      <w:textAlignment w:val="auto"/>
    </w:pPr>
    <w:rPr>
      <w:rFonts w:ascii="Times New Roman" w:hAnsi="Times New Roman" w:eastAsia="仿宋_GB2312" w:cstheme="minorBidi"/>
      <w:spacing w:val="0"/>
      <w:kern w:val="0"/>
      <w:szCs w:val="22"/>
    </w:rPr>
  </w:style>
  <w:style w:type="paragraph" w:customStyle="1" w:styleId="3561">
    <w:name w:val="Char Char Char Char Char Char Char23"/>
    <w:basedOn w:val="1"/>
    <w:autoRedefine/>
    <w:qFormat/>
    <w:uiPriority w:val="0"/>
    <w:rPr>
      <w:rFonts w:eastAsia="仿宋_GB2312"/>
      <w:szCs w:val="21"/>
    </w:rPr>
  </w:style>
  <w:style w:type="paragraph" w:customStyle="1" w:styleId="3562">
    <w:name w:val="可研样式3"/>
    <w:basedOn w:val="1"/>
    <w:autoRedefine/>
    <w:qFormat/>
    <w:uiPriority w:val="0"/>
    <w:pPr>
      <w:ind w:firstLine="200" w:firstLineChars="200"/>
    </w:pPr>
    <w:rPr>
      <w:rFonts w:eastAsia="楷体_GB2312"/>
      <w:b/>
      <w:sz w:val="28"/>
      <w:szCs w:val="28"/>
    </w:rPr>
  </w:style>
  <w:style w:type="paragraph" w:customStyle="1" w:styleId="3563">
    <w:name w:val="小五居中表文"/>
    <w:autoRedefine/>
    <w:qFormat/>
    <w:uiPriority w:val="0"/>
    <w:pPr>
      <w:widowControl w:val="0"/>
      <w:adjustRightInd w:val="0"/>
      <w:snapToGrid w:val="0"/>
      <w:jc w:val="center"/>
    </w:pPr>
    <w:rPr>
      <w:rFonts w:ascii="宋体" w:hAnsi="Times New Roman" w:eastAsia="仿宋_GB2312" w:cs="宋体"/>
      <w:color w:val="000000"/>
      <w:kern w:val="2"/>
      <w:sz w:val="21"/>
      <w:szCs w:val="22"/>
      <w:lang w:val="en-US" w:eastAsia="zh-CN" w:bidi="ar-SA"/>
    </w:rPr>
  </w:style>
  <w:style w:type="paragraph" w:customStyle="1" w:styleId="3564">
    <w:name w:val="黑体标题 Char"/>
    <w:basedOn w:val="1"/>
    <w:autoRedefine/>
    <w:qFormat/>
    <w:uiPriority w:val="0"/>
    <w:pPr>
      <w:spacing w:line="500" w:lineRule="exact"/>
      <w:ind w:firstLine="200" w:firstLineChars="200"/>
    </w:pPr>
    <w:rPr>
      <w:rFonts w:eastAsia="仿宋_GB2312"/>
      <w:kern w:val="0"/>
      <w:sz w:val="28"/>
      <w:szCs w:val="20"/>
    </w:rPr>
  </w:style>
  <w:style w:type="paragraph" w:customStyle="1" w:styleId="3565">
    <w:name w:val="Char1 Char Char Char Char Char1 Char"/>
    <w:basedOn w:val="1"/>
    <w:autoRedefine/>
    <w:qFormat/>
    <w:uiPriority w:val="0"/>
    <w:rPr>
      <w:rFonts w:eastAsia="仿宋_GB2312"/>
      <w:sz w:val="28"/>
      <w:szCs w:val="21"/>
    </w:rPr>
  </w:style>
  <w:style w:type="paragraph" w:customStyle="1" w:styleId="3566">
    <w:name w:val="样式 五号 居中"/>
    <w:basedOn w:val="1"/>
    <w:autoRedefine/>
    <w:qFormat/>
    <w:uiPriority w:val="0"/>
    <w:pPr>
      <w:jc w:val="center"/>
    </w:pPr>
    <w:rPr>
      <w:rFonts w:eastAsia="仿宋_GB2312" w:cs="宋体"/>
      <w:snapToGrid w:val="0"/>
      <w:kern w:val="0"/>
      <w:sz w:val="28"/>
      <w:szCs w:val="21"/>
    </w:rPr>
  </w:style>
  <w:style w:type="paragraph" w:customStyle="1" w:styleId="3567">
    <w:name w:val="引言"/>
    <w:basedOn w:val="1"/>
    <w:next w:val="1"/>
    <w:autoRedefine/>
    <w:qFormat/>
    <w:uiPriority w:val="0"/>
    <w:pPr>
      <w:snapToGrid w:val="0"/>
      <w:jc w:val="center"/>
    </w:pPr>
    <w:rPr>
      <w:rFonts w:ascii="仿宋_GB2312" w:eastAsia="仿宋_GB2312"/>
      <w:color w:val="000000"/>
      <w:szCs w:val="21"/>
    </w:rPr>
  </w:style>
  <w:style w:type="paragraph" w:customStyle="1" w:styleId="3568">
    <w:name w:val="Char Char Char Char Char Char Char Char Char Char Char Char Char Char Char Char Char Char Char Char Char Char Char Char Char Char Char Char Char Char Char Char Char Char"/>
    <w:basedOn w:val="1"/>
    <w:autoRedefine/>
    <w:qFormat/>
    <w:uiPriority w:val="0"/>
    <w:rPr>
      <w:rFonts w:eastAsia="仿宋_GB2312"/>
      <w:szCs w:val="21"/>
    </w:rPr>
  </w:style>
  <w:style w:type="paragraph" w:customStyle="1" w:styleId="3569">
    <w:name w:val="表题2113"/>
    <w:basedOn w:val="1"/>
    <w:autoRedefine/>
    <w:qFormat/>
    <w:uiPriority w:val="0"/>
    <w:pPr>
      <w:widowControl/>
      <w:adjustRightInd w:val="0"/>
      <w:snapToGrid w:val="0"/>
      <w:jc w:val="center"/>
    </w:pPr>
    <w:rPr>
      <w:rFonts w:ascii="黑体" w:eastAsia="黑体" w:cs="宋体"/>
      <w:kern w:val="0"/>
      <w:szCs w:val="21"/>
    </w:rPr>
  </w:style>
  <w:style w:type="paragraph" w:customStyle="1" w:styleId="3570">
    <w:name w:val="正文格式42"/>
    <w:basedOn w:val="1"/>
    <w:autoRedefine/>
    <w:qFormat/>
    <w:uiPriority w:val="0"/>
    <w:pPr>
      <w:spacing w:line="360" w:lineRule="auto"/>
      <w:ind w:firstLine="482"/>
    </w:pPr>
    <w:rPr>
      <w:rFonts w:eastAsia="仿宋_GB2312"/>
      <w:szCs w:val="21"/>
    </w:rPr>
  </w:style>
  <w:style w:type="paragraph" w:customStyle="1" w:styleId="3571">
    <w:name w:val="正文1 Char Char Char"/>
    <w:basedOn w:val="1"/>
    <w:autoRedefine/>
    <w:qFormat/>
    <w:uiPriority w:val="0"/>
    <w:pPr>
      <w:adjustRightInd w:val="0"/>
      <w:snapToGrid w:val="0"/>
      <w:spacing w:line="560" w:lineRule="exact"/>
      <w:ind w:firstLine="200" w:firstLineChars="200"/>
    </w:pPr>
    <w:rPr>
      <w:rFonts w:eastAsia="仿宋_GB2312"/>
      <w:sz w:val="28"/>
      <w:szCs w:val="20"/>
    </w:rPr>
  </w:style>
  <w:style w:type="paragraph" w:customStyle="1" w:styleId="3572">
    <w:name w:val="样式 左侧:  2 字符"/>
    <w:basedOn w:val="1"/>
    <w:autoRedefine/>
    <w:qFormat/>
    <w:uiPriority w:val="0"/>
    <w:pPr>
      <w:spacing w:line="500" w:lineRule="exact"/>
    </w:pPr>
    <w:rPr>
      <w:rFonts w:eastAsia="仿宋_GB2312" w:cs="宋体"/>
      <w:sz w:val="28"/>
      <w:szCs w:val="20"/>
    </w:rPr>
  </w:style>
  <w:style w:type="paragraph" w:customStyle="1" w:styleId="3573">
    <w:name w:val="5级有标题"/>
    <w:basedOn w:val="1"/>
    <w:autoRedefine/>
    <w:qFormat/>
    <w:uiPriority w:val="0"/>
    <w:pPr>
      <w:adjustRightInd w:val="0"/>
      <w:snapToGrid w:val="0"/>
      <w:spacing w:beforeLines="50" w:line="360" w:lineRule="auto"/>
      <w:ind w:firstLine="200" w:firstLineChars="200"/>
    </w:pPr>
    <w:rPr>
      <w:rFonts w:ascii="仿宋_GB2312" w:eastAsia="仿宋_GB2312"/>
      <w:color w:val="000000"/>
      <w:kern w:val="0"/>
      <w:sz w:val="30"/>
      <w:szCs w:val="30"/>
    </w:rPr>
  </w:style>
  <w:style w:type="paragraph" w:customStyle="1" w:styleId="3574">
    <w:name w:val="正文（文章）"/>
    <w:basedOn w:val="1"/>
    <w:autoRedefine/>
    <w:qFormat/>
    <w:uiPriority w:val="0"/>
    <w:pPr>
      <w:ind w:firstLine="200" w:firstLineChars="200"/>
    </w:pPr>
    <w:rPr>
      <w:rFonts w:eastAsia="仿宋_GB2312"/>
      <w:kern w:val="0"/>
      <w:sz w:val="28"/>
      <w:szCs w:val="20"/>
    </w:rPr>
  </w:style>
  <w:style w:type="paragraph" w:customStyle="1" w:styleId="3575">
    <w:name w:val="Char2 Char Char Char Char Char Char1"/>
    <w:basedOn w:val="1"/>
    <w:autoRedefine/>
    <w:qFormat/>
    <w:uiPriority w:val="0"/>
    <w:rPr>
      <w:rFonts w:eastAsia="仿宋_GB2312"/>
      <w:szCs w:val="21"/>
    </w:rPr>
  </w:style>
  <w:style w:type="paragraph" w:customStyle="1" w:styleId="3576">
    <w:name w:val="Char Char Char Char1 Char Char Char Char Char Char Char1"/>
    <w:basedOn w:val="1"/>
    <w:autoRedefine/>
    <w:qFormat/>
    <w:uiPriority w:val="0"/>
    <w:pPr>
      <w:tabs>
        <w:tab w:val="left" w:pos="360"/>
      </w:tabs>
      <w:snapToGrid w:val="0"/>
      <w:spacing w:line="360" w:lineRule="auto"/>
    </w:pPr>
    <w:rPr>
      <w:rFonts w:eastAsia="仿宋_GB2312" w:cs="宋体"/>
      <w:szCs w:val="21"/>
    </w:rPr>
  </w:style>
  <w:style w:type="paragraph" w:customStyle="1" w:styleId="3577">
    <w:name w:val="Char Char Char1 Char Char Char Char Char Char1"/>
    <w:basedOn w:val="1"/>
    <w:autoRedefine/>
    <w:qFormat/>
    <w:uiPriority w:val="0"/>
    <w:rPr>
      <w:rFonts w:ascii="黑体" w:eastAsia="黑体"/>
      <w:b/>
      <w:spacing w:val="10"/>
      <w:sz w:val="28"/>
      <w:szCs w:val="20"/>
    </w:rPr>
  </w:style>
  <w:style w:type="paragraph" w:customStyle="1" w:styleId="3578">
    <w:name w:val="Char Char Char Char Char Char Char Char Char1 Char Char Char Char Char Char11"/>
    <w:basedOn w:val="1"/>
    <w:autoRedefine/>
    <w:qFormat/>
    <w:uiPriority w:val="0"/>
    <w:rPr>
      <w:rFonts w:eastAsia="仿宋_GB2312"/>
      <w:sz w:val="28"/>
      <w:szCs w:val="21"/>
    </w:rPr>
  </w:style>
  <w:style w:type="paragraph" w:customStyle="1" w:styleId="3579">
    <w:name w:val="Char Char2 Char Char Char21"/>
    <w:basedOn w:val="1"/>
    <w:autoRedefine/>
    <w:qFormat/>
    <w:uiPriority w:val="0"/>
    <w:pPr>
      <w:tabs>
        <w:tab w:val="left" w:pos="360"/>
      </w:tabs>
      <w:snapToGrid w:val="0"/>
      <w:spacing w:line="360" w:lineRule="auto"/>
    </w:pPr>
    <w:rPr>
      <w:rFonts w:eastAsia="仿宋_GB2312" w:cs="宋体"/>
      <w:szCs w:val="21"/>
    </w:rPr>
  </w:style>
  <w:style w:type="paragraph" w:customStyle="1" w:styleId="3580">
    <w:name w:val="Char Char Char Char Char Char Char Char Char Char Char Char Char Char Char Char Char Char Char Char Char Char1"/>
    <w:basedOn w:val="1"/>
    <w:autoRedefine/>
    <w:qFormat/>
    <w:uiPriority w:val="0"/>
    <w:rPr>
      <w:rFonts w:eastAsia="仿宋_GB2312"/>
      <w:szCs w:val="21"/>
    </w:rPr>
  </w:style>
  <w:style w:type="paragraph" w:customStyle="1" w:styleId="3581">
    <w:name w:val="Char Char Char Char Char Char Char Char Char Char Char Char Char Char Char Char Char Char Char Char Char Char Char Char Char Char Char Char1"/>
    <w:basedOn w:val="1"/>
    <w:autoRedefine/>
    <w:qFormat/>
    <w:uiPriority w:val="0"/>
    <w:rPr>
      <w:rFonts w:eastAsia="仿宋_GB2312"/>
      <w:szCs w:val="21"/>
    </w:rPr>
  </w:style>
  <w:style w:type="paragraph" w:customStyle="1" w:styleId="3582">
    <w:name w:val="Char Char Char Char Char Char Char Char Char Char Char Char Char Char Char Char Char Char Char Char Char Char Char Char Char Char Char Char Char Char Char Char Char Char1"/>
    <w:basedOn w:val="1"/>
    <w:autoRedefine/>
    <w:qFormat/>
    <w:uiPriority w:val="0"/>
    <w:rPr>
      <w:rFonts w:eastAsia="仿宋_GB2312"/>
      <w:szCs w:val="21"/>
    </w:rPr>
  </w:style>
  <w:style w:type="paragraph" w:customStyle="1" w:styleId="3583">
    <w:name w:val="Char Char2 Char Char Char Char1"/>
    <w:basedOn w:val="1"/>
    <w:autoRedefine/>
    <w:qFormat/>
    <w:uiPriority w:val="0"/>
    <w:rPr>
      <w:rFonts w:eastAsia="仿宋_GB2312"/>
      <w:sz w:val="30"/>
      <w:szCs w:val="30"/>
    </w:rPr>
  </w:style>
  <w:style w:type="paragraph" w:customStyle="1" w:styleId="3584">
    <w:name w:val="Char Char2 Char Char Char1"/>
    <w:basedOn w:val="1"/>
    <w:autoRedefine/>
    <w:qFormat/>
    <w:uiPriority w:val="0"/>
    <w:pPr>
      <w:snapToGrid w:val="0"/>
      <w:spacing w:line="360" w:lineRule="auto"/>
      <w:ind w:firstLine="200" w:firstLineChars="200"/>
    </w:pPr>
    <w:rPr>
      <w:rFonts w:eastAsia="仿宋_GB2312"/>
      <w:szCs w:val="21"/>
    </w:rPr>
  </w:style>
  <w:style w:type="paragraph" w:customStyle="1" w:styleId="3585">
    <w:name w:val="样式 标题 1 + (符号) 宋体 五号"/>
    <w:basedOn w:val="3"/>
    <w:autoRedefine/>
    <w:qFormat/>
    <w:uiPriority w:val="0"/>
    <w:pPr>
      <w:spacing w:before="0" w:after="0" w:line="240" w:lineRule="auto"/>
    </w:pPr>
    <w:rPr>
      <w:rFonts w:eastAsia="仿宋_GB2312"/>
      <w:bCs/>
      <w:sz w:val="21"/>
      <w:szCs w:val="44"/>
      <w:lang w:val="zh-CN"/>
    </w:rPr>
  </w:style>
  <w:style w:type="paragraph" w:customStyle="1" w:styleId="3586">
    <w:name w:val="样式 仿宋_GB2312 四号 黑色 行距: 固定值 25 磅"/>
    <w:basedOn w:val="1"/>
    <w:autoRedefine/>
    <w:qFormat/>
    <w:uiPriority w:val="0"/>
    <w:pPr>
      <w:spacing w:line="500" w:lineRule="exact"/>
      <w:ind w:firstLine="200" w:firstLineChars="200"/>
    </w:pPr>
    <w:rPr>
      <w:rFonts w:ascii="仿宋_GB2312" w:eastAsia="仿宋_GB2312" w:cs="宋体"/>
      <w:color w:val="000000"/>
      <w:sz w:val="28"/>
      <w:szCs w:val="20"/>
    </w:rPr>
  </w:style>
  <w:style w:type="paragraph" w:customStyle="1" w:styleId="3587">
    <w:name w:val="标题44"/>
    <w:basedOn w:val="6"/>
    <w:next w:val="1"/>
    <w:autoRedefine/>
    <w:qFormat/>
    <w:uiPriority w:val="0"/>
    <w:pPr>
      <w:tabs>
        <w:tab w:val="clear" w:pos="2976"/>
      </w:tabs>
      <w:spacing w:before="60" w:after="60" w:line="240" w:lineRule="auto"/>
      <w:ind w:left="0"/>
    </w:pPr>
    <w:rPr>
      <w:rFonts w:ascii="Times New Roman" w:hAnsi="Times New Roman" w:eastAsia="楷体_GB2312"/>
      <w:bCs w:val="0"/>
      <w:snapToGrid w:val="0"/>
      <w:sz w:val="21"/>
      <w:szCs w:val="21"/>
      <w:lang w:val="zh-CN"/>
    </w:rPr>
  </w:style>
  <w:style w:type="paragraph" w:customStyle="1" w:styleId="3588">
    <w:name w:val="样式 首行缩进:  0.85 厘米 行距: 多倍行距 1.4 字行"/>
    <w:basedOn w:val="1"/>
    <w:autoRedefine/>
    <w:qFormat/>
    <w:uiPriority w:val="0"/>
    <w:pPr>
      <w:adjustRightInd w:val="0"/>
      <w:snapToGrid w:val="0"/>
      <w:spacing w:line="360" w:lineRule="auto"/>
      <w:ind w:firstLine="482"/>
    </w:pPr>
    <w:rPr>
      <w:rFonts w:eastAsia="仿宋_GB2312"/>
      <w:kern w:val="0"/>
      <w:szCs w:val="20"/>
    </w:rPr>
  </w:style>
  <w:style w:type="paragraph" w:customStyle="1" w:styleId="3589">
    <w:name w:val="标准文本 首行缩进:2 字符 行距1倍"/>
    <w:basedOn w:val="1"/>
    <w:autoRedefine/>
    <w:qFormat/>
    <w:uiPriority w:val="0"/>
    <w:pPr>
      <w:adjustRightInd w:val="0"/>
      <w:snapToGrid w:val="0"/>
      <w:spacing w:line="480" w:lineRule="exact"/>
      <w:ind w:firstLine="225" w:firstLineChars="225"/>
      <w:textAlignment w:val="center"/>
    </w:pPr>
    <w:rPr>
      <w:rFonts w:eastAsia="仿宋_GB2312" w:cs="宋体"/>
      <w:szCs w:val="20"/>
    </w:rPr>
  </w:style>
  <w:style w:type="paragraph" w:customStyle="1" w:styleId="3590">
    <w:name w:val="表wei"/>
    <w:basedOn w:val="1"/>
    <w:autoRedefine/>
    <w:qFormat/>
    <w:uiPriority w:val="0"/>
    <w:pPr>
      <w:ind w:firstLine="200" w:firstLineChars="200"/>
    </w:pPr>
    <w:rPr>
      <w:rFonts w:eastAsia="仿宋_GB2312"/>
      <w:szCs w:val="21"/>
    </w:rPr>
  </w:style>
  <w:style w:type="paragraph" w:customStyle="1" w:styleId="3591">
    <w:name w:val="chen表头"/>
    <w:basedOn w:val="1"/>
    <w:autoRedefine/>
    <w:qFormat/>
    <w:uiPriority w:val="0"/>
    <w:pPr>
      <w:adjustRightInd w:val="0"/>
      <w:snapToGrid w:val="0"/>
      <w:spacing w:line="360" w:lineRule="auto"/>
      <w:jc w:val="center"/>
    </w:pPr>
    <w:rPr>
      <w:rFonts w:ascii="楷体_GB2312" w:eastAsia="楷体_GB2312"/>
      <w:b/>
      <w:bCs/>
      <w:szCs w:val="21"/>
    </w:rPr>
  </w:style>
  <w:style w:type="paragraph" w:customStyle="1" w:styleId="3592">
    <w:name w:val="标题4（chen）"/>
    <w:basedOn w:val="3587"/>
    <w:autoRedefine/>
    <w:qFormat/>
    <w:uiPriority w:val="0"/>
    <w:pPr/>
    <w:rPr>
      <w:rFonts w:eastAsia="宋体"/>
      <w:b w:val="0"/>
    </w:rPr>
  </w:style>
  <w:style w:type="paragraph" w:customStyle="1" w:styleId="3593">
    <w:name w:val="标题2tt"/>
    <w:basedOn w:val="1"/>
    <w:autoRedefine/>
    <w:qFormat/>
    <w:uiPriority w:val="0"/>
    <w:pPr>
      <w:spacing w:line="360" w:lineRule="auto"/>
      <w:jc w:val="left"/>
    </w:pPr>
    <w:rPr>
      <w:rFonts w:eastAsia="仿宋_GB2312"/>
      <w:b/>
      <w:sz w:val="30"/>
      <w:szCs w:val="28"/>
    </w:rPr>
  </w:style>
  <w:style w:type="paragraph" w:customStyle="1" w:styleId="3594">
    <w:name w:val="Char1 Char Char"/>
    <w:basedOn w:val="1"/>
    <w:autoRedefine/>
    <w:qFormat/>
    <w:uiPriority w:val="0"/>
    <w:pPr>
      <w:tabs>
        <w:tab w:val="left" w:pos="360"/>
      </w:tabs>
      <w:snapToGrid w:val="0"/>
      <w:spacing w:line="360" w:lineRule="auto"/>
    </w:pPr>
    <w:rPr>
      <w:rFonts w:eastAsia="仿宋_GB2312" w:cs="宋体"/>
      <w:szCs w:val="21"/>
    </w:rPr>
  </w:style>
  <w:style w:type="paragraph" w:customStyle="1" w:styleId="3595">
    <w:name w:val="Char2 Char Char Char Char Char Char Char Char Char Char Char Char Char Char Char Char Char Char Char Char Char Char Char Char Char Char Char Char Char Char Char Char Char Char Char"/>
    <w:basedOn w:val="1"/>
    <w:autoRedefine/>
    <w:qFormat/>
    <w:uiPriority w:val="0"/>
    <w:pPr>
      <w:tabs>
        <w:tab w:val="left" w:pos="360"/>
      </w:tabs>
      <w:snapToGrid w:val="0"/>
      <w:spacing w:line="360" w:lineRule="auto"/>
    </w:pPr>
    <w:rPr>
      <w:rFonts w:eastAsia="仿宋_GB2312" w:cs="宋体"/>
      <w:szCs w:val="21"/>
    </w:rPr>
  </w:style>
  <w:style w:type="paragraph" w:customStyle="1" w:styleId="3596">
    <w:name w:val="Char4 Char Char Char 字元 字元"/>
    <w:basedOn w:val="1"/>
    <w:autoRedefine/>
    <w:qFormat/>
    <w:uiPriority w:val="0"/>
    <w:rPr>
      <w:rFonts w:eastAsia="仿宋_GB2312"/>
      <w:szCs w:val="21"/>
    </w:rPr>
  </w:style>
  <w:style w:type="paragraph" w:customStyle="1" w:styleId="3597">
    <w:name w:val="样式 标题 1H1Section HeadHeader1h11st levell1Heading 0Fab-1..."/>
    <w:basedOn w:val="3"/>
    <w:autoRedefine/>
    <w:qFormat/>
    <w:uiPriority w:val="0"/>
    <w:pPr>
      <w:spacing w:before="0" w:after="0" w:line="498" w:lineRule="exact"/>
    </w:pPr>
    <w:rPr>
      <w:rFonts w:ascii="黑体" w:eastAsia="黑体" w:cs="宋体"/>
      <w:bCs/>
      <w:sz w:val="32"/>
      <w:lang w:val="zh-CN"/>
    </w:rPr>
  </w:style>
  <w:style w:type="paragraph" w:customStyle="1" w:styleId="3598">
    <w:name w:val="样式 表格文字 + (西文) 宋体 (中文) 华文仿宋 小四 黑色"/>
    <w:basedOn w:val="163"/>
    <w:autoRedefine/>
    <w:qFormat/>
    <w:uiPriority w:val="0"/>
    <w:pPr>
      <w:spacing w:line="280" w:lineRule="exact"/>
    </w:pPr>
    <w:rPr>
      <w:rFonts w:cs="宋体" w:asciiTheme="minorHAnsi" w:hAnsiTheme="minorHAnsi"/>
      <w:color w:val="000000"/>
      <w:sz w:val="21"/>
      <w:szCs w:val="20"/>
    </w:rPr>
  </w:style>
  <w:style w:type="paragraph" w:customStyle="1" w:styleId="3599">
    <w:name w:val="样式 标题 3标题 3 Char Char + (西文) Times New Roman (中文) 仿宋_GB2312 加..."/>
    <w:basedOn w:val="5"/>
    <w:autoRedefine/>
    <w:qFormat/>
    <w:uiPriority w:val="0"/>
    <w:pPr>
      <w:tabs>
        <w:tab w:val="left" w:pos="7088"/>
      </w:tabs>
      <w:adjustRightInd w:val="0"/>
      <w:spacing w:beforeLines="50" w:after="0" w:line="498" w:lineRule="exact"/>
    </w:pPr>
    <w:rPr>
      <w:rFonts w:ascii="Times New Roman" w:hAnsi="Times New Roman" w:eastAsia="仿宋_GB2312" w:cs="宋体"/>
      <w:kern w:val="0"/>
      <w:sz w:val="30"/>
      <w:szCs w:val="20"/>
      <w:lang w:val="zh-CN"/>
    </w:rPr>
  </w:style>
  <w:style w:type="paragraph" w:customStyle="1" w:styleId="3600">
    <w:name w:val="样式 标题 2节第一章 标题 2Heading 2 HiddenHeading 2 CCBSheading 2H2...1"/>
    <w:basedOn w:val="4"/>
    <w:autoRedefine/>
    <w:qFormat/>
    <w:uiPriority w:val="0"/>
    <w:pPr>
      <w:tabs>
        <w:tab w:val="clear" w:pos="1276"/>
      </w:tabs>
      <w:adjustRightInd/>
      <w:spacing w:before="0" w:after="0" w:line="500" w:lineRule="exact"/>
      <w:ind w:left="0"/>
      <w:contextualSpacing/>
      <w:jc w:val="both"/>
      <w:textAlignment w:val="auto"/>
    </w:pPr>
    <w:rPr>
      <w:rFonts w:ascii="Times New Roman" w:hAnsi="Times New Roman" w:eastAsia="仿宋_GB2312"/>
      <w:kern w:val="0"/>
      <w:szCs w:val="28"/>
      <w:lang w:val="zh-CN"/>
    </w:rPr>
  </w:style>
  <w:style w:type="paragraph" w:customStyle="1" w:styleId="3601">
    <w:name w:val="my样式"/>
    <w:basedOn w:val="1"/>
    <w:autoRedefine/>
    <w:qFormat/>
    <w:uiPriority w:val="0"/>
    <w:pPr>
      <w:spacing w:beforeLines="50" w:afterLines="50" w:line="360" w:lineRule="auto"/>
      <w:ind w:firstLine="200" w:firstLineChars="200"/>
    </w:pPr>
    <w:rPr>
      <w:rFonts w:eastAsia="仿宋_GB2312"/>
      <w:sz w:val="22"/>
      <w:szCs w:val="22"/>
    </w:rPr>
  </w:style>
  <w:style w:type="paragraph" w:customStyle="1" w:styleId="3602">
    <w:name w:val="小五"/>
    <w:basedOn w:val="1"/>
    <w:autoRedefine/>
    <w:qFormat/>
    <w:uiPriority w:val="0"/>
    <w:pPr>
      <w:autoSpaceDE w:val="0"/>
      <w:autoSpaceDN w:val="0"/>
      <w:adjustRightInd w:val="0"/>
      <w:snapToGrid w:val="0"/>
      <w:jc w:val="left"/>
    </w:pPr>
    <w:rPr>
      <w:rFonts w:ascii="仿宋_GB2312" w:eastAsia="仿宋_GB2312"/>
      <w:bCs/>
      <w:snapToGrid w:val="0"/>
      <w:kern w:val="0"/>
      <w:sz w:val="18"/>
      <w:szCs w:val="21"/>
    </w:rPr>
  </w:style>
  <w:style w:type="paragraph" w:customStyle="1" w:styleId="3603">
    <w:name w:val="目录 8 Char Char"/>
    <w:basedOn w:val="1"/>
    <w:next w:val="1"/>
    <w:autoRedefine/>
    <w:qFormat/>
    <w:uiPriority w:val="0"/>
    <w:pPr>
      <w:spacing w:line="351" w:lineRule="atLeast"/>
      <w:ind w:left="1468" w:firstLine="419"/>
      <w:jc w:val="left"/>
    </w:pPr>
    <w:rPr>
      <w:rFonts w:eastAsia="仿宋_GB2312"/>
      <w:sz w:val="28"/>
      <w:szCs w:val="20"/>
    </w:rPr>
  </w:style>
  <w:style w:type="paragraph" w:customStyle="1" w:styleId="3604">
    <w:name w:val="样式 表头 + 段前: 0.5 行2"/>
    <w:basedOn w:val="10"/>
    <w:autoRedefine/>
    <w:qFormat/>
    <w:uiPriority w:val="0"/>
    <w:pPr>
      <w:keepNext w:val="0"/>
      <w:keepLines w:val="0"/>
      <w:tabs>
        <w:tab w:val="left" w:pos="1440"/>
        <w:tab w:val="clear" w:pos="6378"/>
      </w:tabs>
      <w:autoSpaceDE w:val="0"/>
      <w:autoSpaceDN w:val="0"/>
      <w:adjustRightInd w:val="0"/>
      <w:snapToGrid w:val="0"/>
      <w:spacing w:before="0" w:after="0" w:line="360" w:lineRule="auto"/>
      <w:ind w:left="1440" w:hanging="1440"/>
      <w:jc w:val="center"/>
      <w:textAlignment w:val="baseline"/>
      <w:outlineLvl w:val="9"/>
    </w:pPr>
    <w:rPr>
      <w:rFonts w:ascii="Times New Roman" w:hAnsi="Times New Roman" w:eastAsia="宋体" w:cs="宋体"/>
      <w:b/>
      <w:bCs/>
      <w:kern w:val="0"/>
      <w:sz w:val="21"/>
      <w:szCs w:val="20"/>
      <w:lang w:val="zh-CN"/>
    </w:rPr>
  </w:style>
  <w:style w:type="paragraph" w:customStyle="1" w:styleId="3605">
    <w:name w:val="表格格式"/>
    <w:basedOn w:val="373"/>
    <w:autoRedefine/>
    <w:qFormat/>
    <w:uiPriority w:val="0"/>
    <w:pPr>
      <w:widowControl/>
      <w:autoSpaceDE w:val="0"/>
      <w:autoSpaceDN w:val="0"/>
      <w:adjustRightInd w:val="0"/>
      <w:snapToGrid w:val="0"/>
      <w:ind w:left="288"/>
      <w:textAlignment w:val="baseline"/>
    </w:pPr>
    <w:rPr>
      <w:rFonts w:ascii="Times New Roman" w:hAnsi="Times New Roman" w:cs="宋体"/>
      <w:sz w:val="21"/>
      <w:szCs w:val="21"/>
    </w:rPr>
  </w:style>
  <w:style w:type="paragraph" w:customStyle="1" w:styleId="3606">
    <w:name w:val="目录fuxi"/>
    <w:basedOn w:val="1"/>
    <w:autoRedefine/>
    <w:qFormat/>
    <w:uiPriority w:val="0"/>
    <w:pPr>
      <w:snapToGrid w:val="0"/>
      <w:spacing w:before="60" w:after="60"/>
      <w:jc w:val="center"/>
    </w:pPr>
    <w:rPr>
      <w:rFonts w:eastAsia="仿宋_GB2312"/>
      <w:outline/>
      <w:color w:val="000000"/>
      <w:sz w:val="28"/>
      <w:szCs w:val="20"/>
      <w14:textOutline w14:w="9525" w14:cap="flat" w14:cmpd="sng" w14:algn="ctr">
        <w14:solidFill>
          <w14:srgbClr w14:val="000000"/>
        </w14:solidFill>
        <w14:prstDash w14:val="solid"/>
        <w14:round/>
      </w14:textOutline>
      <w14:textFill>
        <w14:noFill/>
      </w14:textFill>
    </w:rPr>
  </w:style>
  <w:style w:type="paragraph" w:customStyle="1" w:styleId="3607">
    <w:name w:val="_Style 51"/>
    <w:basedOn w:val="1"/>
    <w:next w:val="21"/>
    <w:autoRedefine/>
    <w:qFormat/>
    <w:uiPriority w:val="0"/>
    <w:pPr>
      <w:ind w:firstLine="200" w:firstLineChars="200"/>
    </w:pPr>
    <w:rPr>
      <w:rFonts w:eastAsia="仿宋_GB2312"/>
      <w:sz w:val="28"/>
      <w:szCs w:val="20"/>
    </w:rPr>
  </w:style>
  <w:style w:type="paragraph" w:customStyle="1" w:styleId="3608">
    <w:name w:val="_Style 20"/>
    <w:basedOn w:val="1"/>
    <w:next w:val="35"/>
    <w:autoRedefine/>
    <w:qFormat/>
    <w:uiPriority w:val="0"/>
    <w:pPr>
      <w:ind w:firstLine="200" w:firstLineChars="200"/>
    </w:pPr>
    <w:rPr>
      <w:rFonts w:eastAsia="仿宋_GB2312"/>
      <w:sz w:val="28"/>
      <w:szCs w:val="20"/>
    </w:rPr>
  </w:style>
  <w:style w:type="paragraph" w:customStyle="1" w:styleId="3609">
    <w:name w:val="日期 Char Char"/>
    <w:basedOn w:val="1"/>
    <w:next w:val="1"/>
    <w:autoRedefine/>
    <w:qFormat/>
    <w:uiPriority w:val="0"/>
    <w:pPr>
      <w:spacing w:line="351" w:lineRule="atLeast"/>
      <w:ind w:firstLine="419"/>
    </w:pPr>
    <w:rPr>
      <w:rFonts w:eastAsia="仿宋_GB2312"/>
      <w:sz w:val="31"/>
      <w:szCs w:val="20"/>
    </w:rPr>
  </w:style>
  <w:style w:type="paragraph" w:customStyle="1" w:styleId="3610">
    <w:name w:val="目录 2 Char Char"/>
    <w:basedOn w:val="1"/>
    <w:next w:val="1"/>
    <w:autoRedefine/>
    <w:qFormat/>
    <w:uiPriority w:val="0"/>
    <w:pPr>
      <w:spacing w:line="351" w:lineRule="atLeast"/>
      <w:ind w:left="209" w:firstLine="419"/>
      <w:jc w:val="left"/>
    </w:pPr>
    <w:rPr>
      <w:rFonts w:eastAsia="仿宋_GB2312"/>
      <w:sz w:val="28"/>
      <w:szCs w:val="20"/>
    </w:rPr>
  </w:style>
  <w:style w:type="paragraph" w:customStyle="1" w:styleId="3611">
    <w:name w:val="目录 6 Char Char"/>
    <w:basedOn w:val="1"/>
    <w:next w:val="1"/>
    <w:autoRedefine/>
    <w:qFormat/>
    <w:uiPriority w:val="0"/>
    <w:pPr>
      <w:spacing w:line="351" w:lineRule="atLeast"/>
      <w:ind w:left="1048" w:firstLine="419"/>
      <w:jc w:val="left"/>
    </w:pPr>
    <w:rPr>
      <w:rFonts w:eastAsia="仿宋_GB2312"/>
      <w:sz w:val="28"/>
      <w:szCs w:val="20"/>
    </w:rPr>
  </w:style>
  <w:style w:type="paragraph" w:customStyle="1" w:styleId="3612">
    <w:name w:val="_Style 27"/>
    <w:basedOn w:val="1"/>
    <w:next w:val="21"/>
    <w:autoRedefine/>
    <w:qFormat/>
    <w:uiPriority w:val="0"/>
    <w:pPr>
      <w:ind w:firstLine="420"/>
    </w:pPr>
    <w:rPr>
      <w:rFonts w:eastAsia="仿宋_GB2312"/>
      <w:sz w:val="28"/>
      <w:szCs w:val="20"/>
    </w:rPr>
  </w:style>
  <w:style w:type="paragraph" w:customStyle="1" w:styleId="3613">
    <w:name w:val="目录 7 Char Char"/>
    <w:basedOn w:val="1"/>
    <w:next w:val="1"/>
    <w:autoRedefine/>
    <w:qFormat/>
    <w:uiPriority w:val="0"/>
    <w:pPr>
      <w:spacing w:line="351" w:lineRule="atLeast"/>
      <w:ind w:left="1258" w:firstLine="419"/>
      <w:jc w:val="left"/>
    </w:pPr>
    <w:rPr>
      <w:rFonts w:eastAsia="仿宋_GB2312"/>
      <w:sz w:val="28"/>
      <w:szCs w:val="20"/>
    </w:rPr>
  </w:style>
  <w:style w:type="paragraph" w:customStyle="1" w:styleId="3614">
    <w:name w:val="_Style 46"/>
    <w:basedOn w:val="1"/>
    <w:next w:val="21"/>
    <w:autoRedefine/>
    <w:qFormat/>
    <w:uiPriority w:val="0"/>
    <w:pPr>
      <w:ind w:firstLine="200" w:firstLineChars="200"/>
    </w:pPr>
    <w:rPr>
      <w:rFonts w:eastAsia="仿宋_GB2312"/>
      <w:sz w:val="28"/>
      <w:szCs w:val="20"/>
    </w:rPr>
  </w:style>
  <w:style w:type="paragraph" w:customStyle="1" w:styleId="3615">
    <w:name w:val="目录 5 Char Char"/>
    <w:basedOn w:val="1"/>
    <w:next w:val="1"/>
    <w:autoRedefine/>
    <w:qFormat/>
    <w:uiPriority w:val="0"/>
    <w:pPr>
      <w:spacing w:line="351" w:lineRule="atLeast"/>
      <w:ind w:left="839" w:firstLine="419"/>
      <w:jc w:val="left"/>
    </w:pPr>
    <w:rPr>
      <w:rFonts w:eastAsia="仿宋_GB2312"/>
      <w:sz w:val="28"/>
      <w:szCs w:val="20"/>
    </w:rPr>
  </w:style>
  <w:style w:type="paragraph" w:customStyle="1" w:styleId="3616">
    <w:name w:val="bgt"/>
    <w:basedOn w:val="1"/>
    <w:next w:val="1"/>
    <w:autoRedefine/>
    <w:qFormat/>
    <w:uiPriority w:val="0"/>
    <w:pPr>
      <w:spacing w:line="360" w:lineRule="auto"/>
      <w:ind w:right="480"/>
      <w:jc w:val="center"/>
    </w:pPr>
    <w:rPr>
      <w:rFonts w:eastAsia="仿宋_GB2312"/>
      <w:b/>
      <w:color w:val="000000"/>
      <w:szCs w:val="21"/>
    </w:rPr>
  </w:style>
  <w:style w:type="paragraph" w:customStyle="1" w:styleId="3617">
    <w:name w:val="正文 + 宋体 小四"/>
    <w:basedOn w:val="1"/>
    <w:autoRedefine/>
    <w:qFormat/>
    <w:uiPriority w:val="0"/>
    <w:pPr>
      <w:adjustRightInd w:val="0"/>
      <w:snapToGrid w:val="0"/>
      <w:spacing w:line="360" w:lineRule="auto"/>
      <w:textAlignment w:val="baseline"/>
    </w:pPr>
    <w:rPr>
      <w:rFonts w:eastAsia="仿宋_GB2312" w:cs="华文行楷"/>
      <w:snapToGrid w:val="0"/>
      <w:kern w:val="0"/>
      <w:szCs w:val="20"/>
    </w:rPr>
  </w:style>
  <w:style w:type="paragraph" w:customStyle="1" w:styleId="3618">
    <w:name w:val="Char Char Char1 Char Char Char Char Char Char Char Char Char Char Char Char Char Char Char Char Char Char Char Char Char Char Char Char Char Char Char"/>
    <w:basedOn w:val="1"/>
    <w:autoRedefine/>
    <w:qFormat/>
    <w:uiPriority w:val="0"/>
    <w:pPr>
      <w:spacing w:line="360" w:lineRule="auto"/>
      <w:jc w:val="left"/>
    </w:pPr>
    <w:rPr>
      <w:rFonts w:eastAsia="仿宋_GB2312"/>
      <w:szCs w:val="21"/>
    </w:rPr>
  </w:style>
  <w:style w:type="paragraph" w:customStyle="1" w:styleId="3619">
    <w:name w:val="样式 样式 样式 样式 样式4 + 首行缩进:  0.75 字符 + 首行缩进:  2 字符 + 首行缩进:  2 字符 + 首..."/>
    <w:basedOn w:val="1"/>
    <w:autoRedefine/>
    <w:qFormat/>
    <w:uiPriority w:val="0"/>
    <w:pPr>
      <w:adjustRightInd w:val="0"/>
      <w:snapToGrid w:val="0"/>
      <w:spacing w:line="480" w:lineRule="exact"/>
      <w:ind w:firstLine="200" w:firstLineChars="200"/>
    </w:pPr>
    <w:rPr>
      <w:rFonts w:ascii="华文中宋" w:eastAsia="华文中宋"/>
      <w:szCs w:val="21"/>
    </w:rPr>
  </w:style>
  <w:style w:type="paragraph" w:customStyle="1" w:styleId="3620">
    <w:name w:val="xxq"/>
    <w:basedOn w:val="21"/>
    <w:autoRedefine/>
    <w:qFormat/>
    <w:uiPriority w:val="0"/>
    <w:pPr>
      <w:adjustRightInd w:val="0"/>
      <w:snapToGrid w:val="0"/>
      <w:spacing w:beforeLines="50" w:line="360" w:lineRule="auto"/>
      <w:ind w:firstLine="200"/>
    </w:pPr>
    <w:rPr>
      <w:rFonts w:eastAsia="仿宋_GB2312" w:asciiTheme="minorHAnsi" w:cstheme="minorBidi"/>
      <w:snapToGrid w:val="0"/>
      <w:szCs w:val="21"/>
    </w:rPr>
  </w:style>
  <w:style w:type="paragraph" w:customStyle="1" w:styleId="3621">
    <w:name w:val="A标题三"/>
    <w:basedOn w:val="1"/>
    <w:autoRedefine/>
    <w:qFormat/>
    <w:uiPriority w:val="0"/>
    <w:pPr>
      <w:widowControl/>
      <w:adjustRightInd w:val="0"/>
      <w:snapToGrid w:val="0"/>
      <w:spacing w:beforeLines="50" w:line="360" w:lineRule="auto"/>
      <w:jc w:val="left"/>
      <w:outlineLvl w:val="2"/>
    </w:pPr>
    <w:rPr>
      <w:rFonts w:eastAsia="仿宋_GB2312"/>
      <w:kern w:val="0"/>
      <w:szCs w:val="21"/>
    </w:rPr>
  </w:style>
  <w:style w:type="paragraph" w:customStyle="1" w:styleId="3622">
    <w:name w:val="样式 样式 正文首行缩进正文首行缩进 Char + 首行缩进:  2 字符 + 首行缩进:  2 字符"/>
    <w:basedOn w:val="1"/>
    <w:autoRedefine/>
    <w:qFormat/>
    <w:uiPriority w:val="0"/>
    <w:pPr>
      <w:adjustRightInd w:val="0"/>
      <w:snapToGrid w:val="0"/>
      <w:spacing w:line="360" w:lineRule="auto"/>
      <w:ind w:firstLine="200" w:firstLineChars="200"/>
      <w:textAlignment w:val="baseline"/>
    </w:pPr>
    <w:rPr>
      <w:rFonts w:eastAsia="仿宋_GB2312" w:cs="宋体"/>
      <w:szCs w:val="20"/>
      <w:lang w:val="zh-CN"/>
    </w:rPr>
  </w:style>
  <w:style w:type="paragraph" w:customStyle="1" w:styleId="3623">
    <w:name w:val="Char Char Char2 Char"/>
    <w:basedOn w:val="1"/>
    <w:autoRedefine/>
    <w:qFormat/>
    <w:uiPriority w:val="0"/>
    <w:pPr>
      <w:tabs>
        <w:tab w:val="left" w:pos="360"/>
      </w:tabs>
    </w:pPr>
    <w:rPr>
      <w:rFonts w:eastAsia="仿宋_GB2312"/>
      <w:sz w:val="28"/>
      <w:szCs w:val="21"/>
    </w:rPr>
  </w:style>
  <w:style w:type="paragraph" w:customStyle="1" w:styleId="3624">
    <w:name w:val="样式 标题 2"/>
    <w:basedOn w:val="5"/>
    <w:autoRedefine/>
    <w:qFormat/>
    <w:uiPriority w:val="0"/>
    <w:pPr>
      <w:tabs>
        <w:tab w:val="left" w:pos="0"/>
        <w:tab w:val="left" w:pos="7088"/>
      </w:tabs>
      <w:adjustRightInd w:val="0"/>
      <w:spacing w:beforeLines="50" w:after="0" w:line="360" w:lineRule="auto"/>
    </w:pPr>
    <w:rPr>
      <w:rFonts w:ascii="仿宋_GB2312" w:hAnsi="Times New Roman" w:eastAsia="仿宋_GB2312" w:cs="Times New Roman"/>
      <w:b w:val="0"/>
      <w:bCs w:val="0"/>
      <w:kern w:val="21"/>
      <w:sz w:val="30"/>
      <w:szCs w:val="20"/>
      <w:lang w:val="zh-CN"/>
    </w:rPr>
  </w:style>
  <w:style w:type="paragraph" w:customStyle="1" w:styleId="3625">
    <w:name w:val="样式 标题 2节 + (符号) Arial Black 小四"/>
    <w:basedOn w:val="5"/>
    <w:autoRedefine/>
    <w:qFormat/>
    <w:uiPriority w:val="0"/>
    <w:pPr>
      <w:tabs>
        <w:tab w:val="left" w:pos="0"/>
        <w:tab w:val="left" w:pos="7088"/>
      </w:tabs>
      <w:adjustRightInd w:val="0"/>
      <w:spacing w:beforeLines="50" w:after="0" w:line="360" w:lineRule="auto"/>
    </w:pPr>
    <w:rPr>
      <w:rFonts w:ascii="宋体" w:hAnsi="Times New Roman" w:eastAsia="仿宋_GB2312" w:cs="Times New Roman"/>
      <w:b w:val="0"/>
      <w:bCs w:val="0"/>
      <w:kern w:val="21"/>
      <w:sz w:val="30"/>
      <w:szCs w:val="20"/>
      <w:lang w:val="zh-CN"/>
    </w:rPr>
  </w:style>
  <w:style w:type="paragraph" w:customStyle="1" w:styleId="3626">
    <w:name w:val="p2"/>
    <w:basedOn w:val="1"/>
    <w:autoRedefine/>
    <w:qFormat/>
    <w:uiPriority w:val="0"/>
    <w:pPr>
      <w:widowControl/>
      <w:autoSpaceDE w:val="0"/>
      <w:autoSpaceDN w:val="0"/>
      <w:spacing w:line="540" w:lineRule="atLeast"/>
      <w:ind w:firstLine="596"/>
    </w:pPr>
    <w:rPr>
      <w:rFonts w:ascii="華康中楷體" w:eastAsia="華康中楷體"/>
      <w:spacing w:val="20"/>
      <w:kern w:val="0"/>
      <w:sz w:val="28"/>
      <w:szCs w:val="28"/>
      <w:lang w:eastAsia="zh-TW"/>
    </w:rPr>
  </w:style>
  <w:style w:type="paragraph" w:customStyle="1" w:styleId="3627">
    <w:name w:val="样式 标题 3 + (中文) 仿宋_GB2312 四号"/>
    <w:basedOn w:val="5"/>
    <w:autoRedefine/>
    <w:qFormat/>
    <w:uiPriority w:val="0"/>
    <w:pPr>
      <w:keepLines w:val="0"/>
      <w:tabs>
        <w:tab w:val="left" w:pos="1260"/>
        <w:tab w:val="left" w:pos="7088"/>
      </w:tabs>
      <w:adjustRightInd w:val="0"/>
      <w:spacing w:beforeLines="50" w:line="560" w:lineRule="exact"/>
    </w:pPr>
    <w:rPr>
      <w:rFonts w:ascii="Times New Roman" w:hAnsi="Times New Roman" w:eastAsia="仿宋_GB2312" w:cs="Times New Roman"/>
      <w:b w:val="0"/>
      <w:kern w:val="0"/>
      <w:sz w:val="30"/>
      <w:lang w:val="zh-CN"/>
    </w:rPr>
  </w:style>
  <w:style w:type="paragraph" w:customStyle="1" w:styleId="3628">
    <w:name w:val="金源"/>
    <w:basedOn w:val="1"/>
    <w:autoRedefine/>
    <w:qFormat/>
    <w:uiPriority w:val="0"/>
    <w:pPr>
      <w:spacing w:line="480" w:lineRule="exact"/>
      <w:ind w:firstLine="200" w:firstLineChars="200"/>
      <w:jc w:val="left"/>
    </w:pPr>
    <w:rPr>
      <w:rFonts w:eastAsia="仿宋_GB2312"/>
      <w:kern w:val="0"/>
      <w:szCs w:val="20"/>
    </w:rPr>
  </w:style>
  <w:style w:type="paragraph" w:customStyle="1" w:styleId="3629">
    <w:name w:val="Char Char Char1 Char Char Char Char Char Char Char Char Char Char Char Char Char"/>
    <w:basedOn w:val="1"/>
    <w:autoRedefine/>
    <w:qFormat/>
    <w:uiPriority w:val="0"/>
    <w:rPr>
      <w:rFonts w:eastAsia="仿宋_GB2312"/>
      <w:sz w:val="28"/>
      <w:szCs w:val="21"/>
    </w:rPr>
  </w:style>
  <w:style w:type="paragraph" w:customStyle="1" w:styleId="3630">
    <w:name w:val="正文首行缩近"/>
    <w:autoRedefine/>
    <w:qFormat/>
    <w:uiPriority w:val="0"/>
    <w:pPr>
      <w:adjustRightInd w:val="0"/>
      <w:snapToGrid w:val="0"/>
      <w:spacing w:line="360" w:lineRule="auto"/>
      <w:ind w:firstLine="200" w:firstLineChars="200"/>
      <w:jc w:val="both"/>
    </w:pPr>
    <w:rPr>
      <w:rFonts w:ascii="Times New Roman" w:hAnsi="Times New Roman" w:eastAsia="仿宋_GB2312" w:cs="宋体"/>
      <w:sz w:val="24"/>
      <w:szCs w:val="21"/>
      <w:lang w:val="en-US" w:eastAsia="zh-CN" w:bidi="ar-SA"/>
    </w:rPr>
  </w:style>
  <w:style w:type="paragraph" w:customStyle="1" w:styleId="3631">
    <w:name w:val="甲乙酮正文"/>
    <w:basedOn w:val="87"/>
    <w:autoRedefine/>
    <w:qFormat/>
    <w:uiPriority w:val="0"/>
    <w:pPr>
      <w:spacing w:after="0" w:line="360" w:lineRule="auto"/>
      <w:ind w:firstLine="200" w:firstLineChars="200"/>
      <w:jc w:val="left"/>
    </w:pPr>
    <w:rPr>
      <w:rFonts w:eastAsia="仿宋_GB2312" w:cs="宋体" w:hAnsiTheme="minorHAnsi"/>
      <w:color w:val="000000"/>
      <w:sz w:val="24"/>
      <w:szCs w:val="21"/>
    </w:rPr>
  </w:style>
  <w:style w:type="paragraph" w:customStyle="1" w:styleId="3632">
    <w:name w:val="样式 样式 标题 1 + 段前: 1.5 行 段后: 1.5 行 行距: 多倍行距 1.25 字行 + 段前: 0.5 行 段..."/>
    <w:basedOn w:val="1"/>
    <w:autoRedefine/>
    <w:qFormat/>
    <w:uiPriority w:val="0"/>
    <w:pPr>
      <w:keepNext/>
      <w:keepLines/>
      <w:tabs>
        <w:tab w:val="left" w:pos="990"/>
      </w:tabs>
      <w:snapToGrid w:val="0"/>
      <w:spacing w:beforeLines="50" w:afterLines="50" w:line="360" w:lineRule="auto"/>
      <w:ind w:left="431" w:hanging="431"/>
      <w:jc w:val="left"/>
      <w:outlineLvl w:val="0"/>
    </w:pPr>
    <w:rPr>
      <w:rFonts w:eastAsia="仿宋_GB2312"/>
      <w:b/>
      <w:bCs/>
      <w:kern w:val="44"/>
      <w:sz w:val="28"/>
      <w:szCs w:val="20"/>
    </w:rPr>
  </w:style>
  <w:style w:type="paragraph" w:customStyle="1" w:styleId="3633">
    <w:name w:val="Char Char Char Char Char Char1 Char Char Char Char Char Char Char Char Char"/>
    <w:basedOn w:val="1"/>
    <w:autoRedefine/>
    <w:qFormat/>
    <w:uiPriority w:val="0"/>
    <w:rPr>
      <w:rFonts w:eastAsia="仿宋_GB2312"/>
      <w:szCs w:val="21"/>
    </w:rPr>
  </w:style>
  <w:style w:type="paragraph" w:customStyle="1" w:styleId="3634">
    <w:name w:val="hi"/>
    <w:basedOn w:val="1"/>
    <w:autoRedefine/>
    <w:qFormat/>
    <w:uiPriority w:val="0"/>
    <w:pPr>
      <w:widowControl/>
      <w:spacing w:before="100" w:beforeAutospacing="1" w:after="100" w:afterAutospacing="1" w:line="300" w:lineRule="atLeast"/>
      <w:jc w:val="left"/>
    </w:pPr>
    <w:rPr>
      <w:rFonts w:eastAsia="仿宋_GB2312"/>
      <w:color w:val="000000"/>
      <w:kern w:val="0"/>
      <w:szCs w:val="21"/>
    </w:rPr>
  </w:style>
  <w:style w:type="paragraph" w:customStyle="1" w:styleId="3635">
    <w:name w:val="mytext1"/>
    <w:basedOn w:val="1"/>
    <w:autoRedefine/>
    <w:qFormat/>
    <w:uiPriority w:val="0"/>
    <w:pPr>
      <w:widowControl/>
      <w:spacing w:before="100" w:beforeAutospacing="1" w:after="100" w:afterAutospacing="1"/>
      <w:jc w:val="left"/>
    </w:pPr>
    <w:rPr>
      <w:rFonts w:eastAsia="仿宋_GB2312" w:cs="宋体"/>
      <w:color w:val="000000"/>
      <w:kern w:val="0"/>
      <w:szCs w:val="21"/>
    </w:rPr>
  </w:style>
  <w:style w:type="paragraph" w:customStyle="1" w:styleId="3636">
    <w:name w:val="表内序号"/>
    <w:basedOn w:val="1"/>
    <w:autoRedefine/>
    <w:qFormat/>
    <w:uiPriority w:val="0"/>
    <w:pPr>
      <w:ind w:left="-52" w:leftChars="-52" w:right="-55" w:rightChars="-55"/>
      <w:jc w:val="center"/>
    </w:pPr>
    <w:rPr>
      <w:rFonts w:eastAsia="仿宋_GB2312"/>
      <w:sz w:val="28"/>
      <w:szCs w:val="21"/>
    </w:rPr>
  </w:style>
  <w:style w:type="paragraph" w:customStyle="1" w:styleId="3637">
    <w:name w:val="表格文本 小五 居中"/>
    <w:basedOn w:val="1"/>
    <w:autoRedefine/>
    <w:qFormat/>
    <w:uiPriority w:val="0"/>
    <w:pPr>
      <w:adjustRightInd w:val="0"/>
      <w:snapToGrid w:val="0"/>
      <w:jc w:val="center"/>
    </w:pPr>
    <w:rPr>
      <w:rFonts w:eastAsia="仿宋_GB2312" w:cs="宋体"/>
      <w:sz w:val="28"/>
      <w:szCs w:val="21"/>
    </w:rPr>
  </w:style>
  <w:style w:type="paragraph" w:customStyle="1" w:styleId="3638">
    <w:name w:val="麦志勤标题五"/>
    <w:basedOn w:val="1"/>
    <w:autoRedefine/>
    <w:qFormat/>
    <w:uiPriority w:val="0"/>
    <w:pPr>
      <w:adjustRightInd w:val="0"/>
      <w:snapToGrid w:val="0"/>
      <w:spacing w:beforeLines="50" w:line="300" w:lineRule="auto"/>
      <w:ind w:firstLine="200" w:firstLineChars="200"/>
    </w:pPr>
    <w:rPr>
      <w:rFonts w:ascii="黑体" w:eastAsia="黑体"/>
      <w:bCs/>
      <w:sz w:val="28"/>
      <w:szCs w:val="21"/>
    </w:rPr>
  </w:style>
  <w:style w:type="paragraph" w:customStyle="1" w:styleId="3639">
    <w:name w:val="Char Char Char Char Char Char Char Char"/>
    <w:basedOn w:val="1"/>
    <w:autoRedefine/>
    <w:qFormat/>
    <w:uiPriority w:val="0"/>
    <w:pPr>
      <w:spacing w:line="240" w:lineRule="exact"/>
      <w:ind w:firstLine="200" w:firstLineChars="200"/>
    </w:pPr>
    <w:rPr>
      <w:rFonts w:eastAsia="仿宋_GB2312"/>
      <w:sz w:val="28"/>
      <w:szCs w:val="28"/>
    </w:rPr>
  </w:style>
  <w:style w:type="paragraph" w:customStyle="1" w:styleId="3640">
    <w:name w:val="样式 居中"/>
    <w:basedOn w:val="1"/>
    <w:autoRedefine/>
    <w:qFormat/>
    <w:uiPriority w:val="0"/>
    <w:pPr>
      <w:spacing w:line="520" w:lineRule="exact"/>
      <w:jc w:val="center"/>
    </w:pPr>
    <w:rPr>
      <w:rFonts w:eastAsia="仿宋_GB2312"/>
      <w:kern w:val="44"/>
      <w:szCs w:val="20"/>
    </w:rPr>
  </w:style>
  <w:style w:type="paragraph" w:customStyle="1" w:styleId="3641">
    <w:name w:val="样式 五号 居中1"/>
    <w:basedOn w:val="1"/>
    <w:autoRedefine/>
    <w:qFormat/>
    <w:uiPriority w:val="0"/>
    <w:pPr>
      <w:spacing w:line="360" w:lineRule="exact"/>
      <w:jc w:val="center"/>
    </w:pPr>
    <w:rPr>
      <w:rFonts w:eastAsia="仿宋_GB2312"/>
      <w:kern w:val="0"/>
      <w:sz w:val="28"/>
      <w:szCs w:val="20"/>
    </w:rPr>
  </w:style>
  <w:style w:type="paragraph" w:customStyle="1" w:styleId="3642">
    <w:name w:val="样式 黑体"/>
    <w:basedOn w:val="1"/>
    <w:autoRedefine/>
    <w:qFormat/>
    <w:uiPriority w:val="0"/>
    <w:pPr>
      <w:spacing w:line="520" w:lineRule="exact"/>
    </w:pPr>
    <w:rPr>
      <w:rFonts w:ascii="黑体" w:eastAsia="黑体"/>
      <w:kern w:val="0"/>
      <w:szCs w:val="48"/>
    </w:rPr>
  </w:style>
  <w:style w:type="paragraph" w:customStyle="1" w:styleId="3643">
    <w:name w:val="样式 第2级 + 段前: 1 行"/>
    <w:basedOn w:val="1"/>
    <w:autoRedefine/>
    <w:qFormat/>
    <w:uiPriority w:val="0"/>
    <w:pPr>
      <w:keepNext/>
      <w:keepLines/>
      <w:tabs>
        <w:tab w:val="left" w:pos="540"/>
      </w:tabs>
      <w:spacing w:line="360" w:lineRule="auto"/>
      <w:ind w:left="992" w:hanging="992"/>
      <w:outlineLvl w:val="1"/>
    </w:pPr>
    <w:rPr>
      <w:rFonts w:eastAsia="仿宋_GB2312"/>
      <w:b/>
      <w:sz w:val="28"/>
      <w:szCs w:val="28"/>
    </w:rPr>
  </w:style>
  <w:style w:type="paragraph" w:customStyle="1" w:styleId="3644">
    <w:name w:val="说明正文"/>
    <w:basedOn w:val="1"/>
    <w:autoRedefine/>
    <w:qFormat/>
    <w:uiPriority w:val="0"/>
    <w:pPr>
      <w:spacing w:line="360" w:lineRule="auto"/>
      <w:ind w:firstLine="200" w:firstLineChars="200"/>
    </w:pPr>
    <w:rPr>
      <w:rFonts w:eastAsia="仿宋_GB2312"/>
      <w:sz w:val="28"/>
      <w:szCs w:val="28"/>
    </w:rPr>
  </w:style>
  <w:style w:type="paragraph" w:customStyle="1" w:styleId="3645">
    <w:name w:val="报告无缩进"/>
    <w:basedOn w:val="3249"/>
    <w:autoRedefine/>
    <w:qFormat/>
    <w:uiPriority w:val="0"/>
    <w:pPr>
      <w:ind w:firstLine="0" w:firstLineChars="0"/>
    </w:pPr>
  </w:style>
  <w:style w:type="paragraph" w:customStyle="1" w:styleId="3646">
    <w:name w:val="图表头2"/>
    <w:basedOn w:val="3244"/>
    <w:autoRedefine/>
    <w:qFormat/>
    <w:uiPriority w:val="0"/>
    <w:pPr>
      <w:spacing w:line="240" w:lineRule="auto"/>
      <w:ind w:right="20" w:rightChars="20"/>
    </w:pPr>
    <w:rPr>
      <w:kern w:val="2"/>
      <w:szCs w:val="21"/>
    </w:rPr>
  </w:style>
  <w:style w:type="paragraph" w:customStyle="1" w:styleId="3647">
    <w:name w:val="XCHG论文正文"/>
    <w:basedOn w:val="1"/>
    <w:autoRedefine/>
    <w:qFormat/>
    <w:uiPriority w:val="0"/>
    <w:pPr>
      <w:spacing w:line="300" w:lineRule="auto"/>
      <w:ind w:firstLine="200" w:firstLineChars="200"/>
    </w:pPr>
    <w:rPr>
      <w:rFonts w:eastAsia="仿宋_GB2312"/>
      <w:color w:val="000000"/>
      <w:szCs w:val="21"/>
    </w:rPr>
  </w:style>
  <w:style w:type="paragraph" w:customStyle="1" w:styleId="3648">
    <w:name w:val="正文居中粗"/>
    <w:basedOn w:val="1"/>
    <w:autoRedefine/>
    <w:qFormat/>
    <w:uiPriority w:val="0"/>
    <w:pPr>
      <w:jc w:val="center"/>
    </w:pPr>
    <w:rPr>
      <w:rFonts w:eastAsia="仿宋_GB2312"/>
      <w:b/>
      <w:bCs/>
      <w:color w:val="000000"/>
      <w:spacing w:val="4"/>
      <w:sz w:val="28"/>
      <w:szCs w:val="21"/>
    </w:rPr>
  </w:style>
  <w:style w:type="paragraph" w:customStyle="1" w:styleId="3649">
    <w:name w:val="报告书正文 Char Char Char Char"/>
    <w:basedOn w:val="1"/>
    <w:autoRedefine/>
    <w:qFormat/>
    <w:uiPriority w:val="0"/>
    <w:pPr>
      <w:spacing w:line="300" w:lineRule="auto"/>
      <w:ind w:firstLine="200" w:firstLineChars="200"/>
    </w:pPr>
    <w:rPr>
      <w:rFonts w:eastAsia="仿宋_GB2312"/>
      <w:kern w:val="0"/>
      <w:szCs w:val="21"/>
    </w:rPr>
  </w:style>
  <w:style w:type="paragraph" w:customStyle="1" w:styleId="3650">
    <w:name w:val="报告书正文 Char Char Char"/>
    <w:basedOn w:val="1"/>
    <w:autoRedefine/>
    <w:qFormat/>
    <w:uiPriority w:val="0"/>
    <w:pPr>
      <w:spacing w:line="300" w:lineRule="auto"/>
      <w:ind w:firstLine="200" w:firstLineChars="200"/>
    </w:pPr>
    <w:rPr>
      <w:rFonts w:eastAsia="仿宋_GB2312"/>
      <w:szCs w:val="21"/>
    </w:rPr>
  </w:style>
  <w:style w:type="paragraph" w:customStyle="1" w:styleId="3651">
    <w:name w:val="征文"/>
    <w:basedOn w:val="1"/>
    <w:autoRedefine/>
    <w:qFormat/>
    <w:uiPriority w:val="0"/>
    <w:pPr>
      <w:adjustRightInd w:val="0"/>
      <w:snapToGrid w:val="0"/>
      <w:spacing w:line="312" w:lineRule="auto"/>
      <w:jc w:val="center"/>
    </w:pPr>
    <w:rPr>
      <w:rFonts w:eastAsia="仿宋_GB2312"/>
      <w:sz w:val="28"/>
      <w:szCs w:val="20"/>
    </w:rPr>
  </w:style>
  <w:style w:type="paragraph" w:customStyle="1" w:styleId="3652">
    <w:name w:val="关键词"/>
    <w:basedOn w:val="1"/>
    <w:autoRedefine/>
    <w:qFormat/>
    <w:uiPriority w:val="0"/>
    <w:rPr>
      <w:rFonts w:eastAsia="黑体"/>
      <w:sz w:val="18"/>
      <w:szCs w:val="21"/>
    </w:rPr>
  </w:style>
  <w:style w:type="paragraph" w:customStyle="1" w:styleId="3653">
    <w:name w:val="Char Char Char Char Char Char Char Char Char Char Char Char Char Char Char Char Char Char Char Char Char Char2"/>
    <w:basedOn w:val="1"/>
    <w:next w:val="1"/>
    <w:autoRedefine/>
    <w:qFormat/>
    <w:uiPriority w:val="0"/>
    <w:pPr>
      <w:pBdr>
        <w:right w:val="single" w:color="auto" w:sz="12" w:space="4"/>
      </w:pBdr>
      <w:spacing w:line="360" w:lineRule="auto"/>
      <w:ind w:firstLine="200" w:firstLineChars="200"/>
    </w:pPr>
    <w:rPr>
      <w:rFonts w:eastAsia="仿宋_GB2312" w:cs="宋体"/>
      <w:szCs w:val="21"/>
    </w:rPr>
  </w:style>
  <w:style w:type="paragraph" w:customStyle="1" w:styleId="3654">
    <w:name w:val="表格（小）"/>
    <w:basedOn w:val="1"/>
    <w:autoRedefine/>
    <w:qFormat/>
    <w:uiPriority w:val="0"/>
    <w:pPr>
      <w:adjustRightInd w:val="0"/>
      <w:snapToGrid w:val="0"/>
    </w:pPr>
    <w:rPr>
      <w:rFonts w:eastAsia="仿宋_GB2312"/>
      <w:snapToGrid w:val="0"/>
      <w:kern w:val="0"/>
      <w:sz w:val="28"/>
      <w:szCs w:val="20"/>
    </w:rPr>
  </w:style>
  <w:style w:type="paragraph" w:customStyle="1" w:styleId="3655">
    <w:name w:val="说明标题二级"/>
    <w:basedOn w:val="1"/>
    <w:autoRedefine/>
    <w:qFormat/>
    <w:uiPriority w:val="0"/>
    <w:rPr>
      <w:rFonts w:eastAsia="仿宋_GB2312"/>
      <w:sz w:val="28"/>
      <w:szCs w:val="21"/>
    </w:rPr>
  </w:style>
  <w:style w:type="paragraph" w:customStyle="1" w:styleId="3656">
    <w:name w:val="CM104"/>
    <w:basedOn w:val="112"/>
    <w:next w:val="112"/>
    <w:autoRedefine/>
    <w:qFormat/>
    <w:uiPriority w:val="0"/>
    <w:rPr>
      <w:rFonts w:ascii="宋体" w:cs="宋体"/>
      <w:color w:val="auto"/>
    </w:rPr>
  </w:style>
  <w:style w:type="paragraph" w:customStyle="1" w:styleId="3657">
    <w:name w:val="文件"/>
    <w:basedOn w:val="1"/>
    <w:autoRedefine/>
    <w:qFormat/>
    <w:uiPriority w:val="0"/>
    <w:pPr>
      <w:ind w:right="25" w:rightChars="25" w:firstLine="226" w:firstLineChars="226"/>
    </w:pPr>
    <w:rPr>
      <w:rFonts w:eastAsia="仿宋_GB2312"/>
      <w:sz w:val="28"/>
      <w:szCs w:val="20"/>
    </w:rPr>
  </w:style>
  <w:style w:type="paragraph" w:customStyle="1" w:styleId="3658">
    <w:name w:val="CM15"/>
    <w:basedOn w:val="112"/>
    <w:next w:val="112"/>
    <w:autoRedefine/>
    <w:qFormat/>
    <w:uiPriority w:val="0"/>
    <w:pPr>
      <w:spacing w:line="466" w:lineRule="atLeast"/>
    </w:pPr>
    <w:rPr>
      <w:rFonts w:ascii="宋体" w:cs="宋体"/>
      <w:color w:val="auto"/>
    </w:rPr>
  </w:style>
  <w:style w:type="paragraph" w:customStyle="1" w:styleId="3659">
    <w:name w:val="CM42"/>
    <w:basedOn w:val="112"/>
    <w:next w:val="112"/>
    <w:autoRedefine/>
    <w:qFormat/>
    <w:uiPriority w:val="0"/>
    <w:pPr>
      <w:spacing w:line="468" w:lineRule="atLeast"/>
    </w:pPr>
    <w:rPr>
      <w:rFonts w:ascii="宋体" w:cs="宋体"/>
      <w:color w:val="auto"/>
    </w:rPr>
  </w:style>
  <w:style w:type="paragraph" w:customStyle="1" w:styleId="3660">
    <w:name w:val="CM18"/>
    <w:basedOn w:val="112"/>
    <w:next w:val="112"/>
    <w:autoRedefine/>
    <w:qFormat/>
    <w:uiPriority w:val="0"/>
    <w:pPr>
      <w:spacing w:line="468" w:lineRule="atLeast"/>
    </w:pPr>
    <w:rPr>
      <w:rFonts w:ascii="宋体" w:cs="宋体"/>
      <w:color w:val="auto"/>
    </w:rPr>
  </w:style>
  <w:style w:type="paragraph" w:customStyle="1" w:styleId="3661">
    <w:name w:val="CM37"/>
    <w:basedOn w:val="112"/>
    <w:next w:val="112"/>
    <w:autoRedefine/>
    <w:qFormat/>
    <w:uiPriority w:val="0"/>
    <w:pPr>
      <w:spacing w:line="468" w:lineRule="atLeast"/>
    </w:pPr>
    <w:rPr>
      <w:rFonts w:ascii="宋体" w:cs="宋体"/>
      <w:color w:val="auto"/>
    </w:rPr>
  </w:style>
  <w:style w:type="paragraph" w:customStyle="1" w:styleId="3662">
    <w:name w:val="CM107"/>
    <w:basedOn w:val="112"/>
    <w:next w:val="112"/>
    <w:autoRedefine/>
    <w:qFormat/>
    <w:uiPriority w:val="0"/>
    <w:rPr>
      <w:rFonts w:ascii="宋体" w:cs="宋体"/>
      <w:color w:val="auto"/>
    </w:rPr>
  </w:style>
  <w:style w:type="paragraph" w:customStyle="1" w:styleId="3663">
    <w:name w:val="Char Char Char Char Char Char Char Char Char Char Char Char Char Char Char Char Char Char Char Char Char Char Char Char Char1"/>
    <w:basedOn w:val="1"/>
    <w:autoRedefine/>
    <w:qFormat/>
    <w:uiPriority w:val="0"/>
    <w:rPr>
      <w:rFonts w:eastAsia="仿宋_GB2312"/>
      <w:sz w:val="28"/>
      <w:szCs w:val="21"/>
    </w:rPr>
  </w:style>
  <w:style w:type="paragraph" w:customStyle="1" w:styleId="3664">
    <w:name w:val="Char Char Char2 Char1"/>
    <w:basedOn w:val="5"/>
    <w:autoRedefine/>
    <w:qFormat/>
    <w:uiPriority w:val="0"/>
    <w:pPr>
      <w:tabs>
        <w:tab w:val="left" w:pos="360"/>
        <w:tab w:val="left" w:pos="900"/>
        <w:tab w:val="left" w:pos="7088"/>
      </w:tabs>
      <w:adjustRightInd w:val="0"/>
      <w:snapToGrid w:val="0"/>
      <w:spacing w:beforeLines="50" w:after="0" w:line="360" w:lineRule="auto"/>
      <w:ind w:left="-12" w:leftChars="-12" w:firstLine="200" w:firstLineChars="200"/>
      <w:jc w:val="left"/>
    </w:pPr>
    <w:rPr>
      <w:rFonts w:ascii="Times New Roman" w:hAnsi="Times New Roman" w:eastAsia="黑体" w:cs="Times New Roman"/>
      <w:b w:val="0"/>
      <w:bCs w:val="0"/>
      <w:snapToGrid w:val="0"/>
      <w:kern w:val="0"/>
      <w:sz w:val="24"/>
      <w:szCs w:val="30"/>
      <w:lang w:val="zh-CN"/>
    </w:rPr>
  </w:style>
  <w:style w:type="paragraph" w:customStyle="1" w:styleId="3665">
    <w:name w:val="样式 样式 首行缩进:  2 字符 + 首行缩进:  2 字符"/>
    <w:basedOn w:val="1"/>
    <w:autoRedefine/>
    <w:qFormat/>
    <w:uiPriority w:val="0"/>
    <w:pPr>
      <w:spacing w:line="360" w:lineRule="auto"/>
      <w:ind w:firstLine="200" w:firstLineChars="200"/>
    </w:pPr>
    <w:rPr>
      <w:rFonts w:eastAsia="仿宋_GB2312"/>
      <w:kern w:val="0"/>
      <w:sz w:val="28"/>
      <w:szCs w:val="20"/>
    </w:rPr>
  </w:style>
  <w:style w:type="paragraph" w:customStyle="1" w:styleId="3666">
    <w:name w:val="封面-扉页文本"/>
    <w:autoRedefine/>
    <w:qFormat/>
    <w:uiPriority w:val="0"/>
    <w:pPr>
      <w:jc w:val="center"/>
    </w:pPr>
    <w:rPr>
      <w:rFonts w:ascii="宋体" w:hAnsi="Times New Roman" w:eastAsia="仿宋_GB2312" w:cs="宋体"/>
      <w:kern w:val="2"/>
      <w:sz w:val="32"/>
      <w:szCs w:val="28"/>
      <w:lang w:val="en-US" w:eastAsia="zh-CN" w:bidi="ar-SA"/>
    </w:rPr>
  </w:style>
  <w:style w:type="paragraph" w:customStyle="1" w:styleId="3667">
    <w:name w:val="CM10"/>
    <w:basedOn w:val="112"/>
    <w:next w:val="112"/>
    <w:autoRedefine/>
    <w:qFormat/>
    <w:uiPriority w:val="0"/>
    <w:pPr>
      <w:spacing w:line="426" w:lineRule="atLeast"/>
    </w:pPr>
    <w:rPr>
      <w:rFonts w:ascii="宋体" w:cs="宋体"/>
      <w:color w:val="auto"/>
    </w:rPr>
  </w:style>
  <w:style w:type="paragraph" w:customStyle="1" w:styleId="3668">
    <w:name w:val="CM68"/>
    <w:basedOn w:val="112"/>
    <w:next w:val="112"/>
    <w:autoRedefine/>
    <w:qFormat/>
    <w:uiPriority w:val="0"/>
    <w:rPr>
      <w:rFonts w:ascii="宋体" w:cs="宋体"/>
      <w:color w:val="auto"/>
    </w:rPr>
  </w:style>
  <w:style w:type="paragraph" w:customStyle="1" w:styleId="3669">
    <w:name w:val="CM69"/>
    <w:basedOn w:val="112"/>
    <w:next w:val="112"/>
    <w:autoRedefine/>
    <w:qFormat/>
    <w:uiPriority w:val="0"/>
    <w:rPr>
      <w:rFonts w:ascii="宋体" w:cs="宋体"/>
      <w:color w:val="auto"/>
    </w:rPr>
  </w:style>
  <w:style w:type="paragraph" w:customStyle="1" w:styleId="3670">
    <w:name w:val="CM79"/>
    <w:basedOn w:val="112"/>
    <w:next w:val="112"/>
    <w:autoRedefine/>
    <w:qFormat/>
    <w:uiPriority w:val="0"/>
    <w:rPr>
      <w:rFonts w:ascii="宋体" w:cs="宋体"/>
      <w:color w:val="auto"/>
    </w:rPr>
  </w:style>
  <w:style w:type="paragraph" w:customStyle="1" w:styleId="3671">
    <w:name w:val="Char Char Char Char Char Char Char Char Char Char Char Char1 Char Char Char Char Char Char Char Char Char Char Char Char Char Char Char Char Char Char Char"/>
    <w:basedOn w:val="1"/>
    <w:autoRedefine/>
    <w:qFormat/>
    <w:uiPriority w:val="0"/>
    <w:pPr>
      <w:spacing w:line="360" w:lineRule="auto"/>
      <w:ind w:firstLine="200" w:firstLineChars="200"/>
    </w:pPr>
    <w:rPr>
      <w:rFonts w:eastAsia="仿宋_GB2312"/>
      <w:sz w:val="28"/>
      <w:szCs w:val="20"/>
    </w:rPr>
  </w:style>
  <w:style w:type="paragraph" w:customStyle="1" w:styleId="3672">
    <w:name w:val="Char37"/>
    <w:basedOn w:val="1"/>
    <w:autoRedefine/>
    <w:qFormat/>
    <w:uiPriority w:val="0"/>
    <w:pPr>
      <w:spacing w:line="240" w:lineRule="exact"/>
      <w:ind w:firstLine="200" w:firstLineChars="200"/>
    </w:pPr>
    <w:rPr>
      <w:rFonts w:eastAsia="仿宋_GB2312"/>
      <w:sz w:val="28"/>
      <w:szCs w:val="28"/>
    </w:rPr>
  </w:style>
  <w:style w:type="paragraph" w:customStyle="1" w:styleId="3673">
    <w:name w:val="样式 宋体 小四 居中 段前: 5 磅 段后: 5 磅"/>
    <w:basedOn w:val="1"/>
    <w:autoRedefine/>
    <w:qFormat/>
    <w:uiPriority w:val="0"/>
    <w:pPr>
      <w:spacing w:before="100" w:after="100"/>
      <w:jc w:val="center"/>
    </w:pPr>
    <w:rPr>
      <w:rFonts w:eastAsia="仿宋_GB2312"/>
      <w:szCs w:val="20"/>
    </w:rPr>
  </w:style>
  <w:style w:type="paragraph" w:customStyle="1" w:styleId="3674">
    <w:name w:val="样式 标题 3 + 宋体"/>
    <w:basedOn w:val="5"/>
    <w:autoRedefine/>
    <w:qFormat/>
    <w:uiPriority w:val="0"/>
    <w:pPr>
      <w:keepNext w:val="0"/>
      <w:keepLines w:val="0"/>
      <w:spacing w:before="0" w:after="0" w:line="240" w:lineRule="auto"/>
      <w:ind w:firstLine="200" w:firstLineChars="200"/>
      <w:outlineLvl w:val="9"/>
    </w:pPr>
    <w:rPr>
      <w:rFonts w:ascii="Times New Roman" w:hAnsi="Times New Roman" w:eastAsia="仿宋_GB2312" w:cs="Times New Roman"/>
      <w:b w:val="0"/>
      <w:sz w:val="24"/>
      <w:szCs w:val="30"/>
      <w:lang w:val="zh-CN"/>
    </w:rPr>
  </w:style>
  <w:style w:type="paragraph" w:customStyle="1" w:styleId="3675">
    <w:name w:val="Char1 Char Char Char12"/>
    <w:basedOn w:val="1"/>
    <w:autoRedefine/>
    <w:qFormat/>
    <w:uiPriority w:val="0"/>
    <w:rPr>
      <w:rFonts w:eastAsia="仿宋_GB2312"/>
      <w:szCs w:val="21"/>
    </w:rPr>
  </w:style>
  <w:style w:type="paragraph" w:customStyle="1" w:styleId="3676">
    <w:name w:val="册除格式 Char"/>
    <w:autoRedefine/>
    <w:qFormat/>
    <w:uiPriority w:val="0"/>
    <w:pPr>
      <w:spacing w:line="360" w:lineRule="auto"/>
      <w:ind w:firstLine="482"/>
    </w:pPr>
    <w:rPr>
      <w:rFonts w:ascii="黑体" w:hAnsi="黑体" w:eastAsia="仿宋_GB2312" w:cs="Arial"/>
      <w:snapToGrid w:val="0"/>
      <w:spacing w:val="4"/>
      <w:kern w:val="18"/>
      <w:sz w:val="24"/>
      <w:szCs w:val="28"/>
      <w:lang w:val="en-US" w:eastAsia="zh-CN" w:bidi="ar-SA"/>
    </w:rPr>
  </w:style>
  <w:style w:type="paragraph" w:customStyle="1" w:styleId="3677">
    <w:name w:val="纯文本6"/>
    <w:basedOn w:val="1"/>
    <w:autoRedefine/>
    <w:qFormat/>
    <w:uiPriority w:val="0"/>
    <w:pPr>
      <w:autoSpaceDE w:val="0"/>
      <w:autoSpaceDN w:val="0"/>
      <w:adjustRightInd w:val="0"/>
      <w:snapToGrid w:val="0"/>
      <w:spacing w:line="360" w:lineRule="atLeast"/>
      <w:jc w:val="center"/>
      <w:textAlignment w:val="baseline"/>
    </w:pPr>
    <w:rPr>
      <w:rFonts w:eastAsia="仿宋_GB2312"/>
      <w:kern w:val="0"/>
      <w:sz w:val="28"/>
      <w:szCs w:val="21"/>
    </w:rPr>
  </w:style>
  <w:style w:type="paragraph" w:customStyle="1" w:styleId="3678">
    <w:name w:val="样式 居中1"/>
    <w:basedOn w:val="1"/>
    <w:autoRedefine/>
    <w:qFormat/>
    <w:uiPriority w:val="0"/>
    <w:pPr>
      <w:jc w:val="center"/>
    </w:pPr>
    <w:rPr>
      <w:rFonts w:eastAsia="仿宋_GB2312"/>
      <w:sz w:val="18"/>
      <w:szCs w:val="18"/>
    </w:rPr>
  </w:style>
  <w:style w:type="paragraph" w:customStyle="1" w:styleId="3679">
    <w:name w:val="封面标准文稿类别"/>
    <w:autoRedefine/>
    <w:qFormat/>
    <w:uiPriority w:val="0"/>
    <w:pPr>
      <w:spacing w:before="440" w:line="400" w:lineRule="exact"/>
      <w:jc w:val="center"/>
    </w:pPr>
    <w:rPr>
      <w:rFonts w:ascii="宋体" w:hAnsi="Times New Roman" w:eastAsia="仿宋_GB2312" w:cs="宋体"/>
      <w:sz w:val="24"/>
      <w:szCs w:val="21"/>
      <w:lang w:val="en-US" w:eastAsia="zh-CN" w:bidi="ar-SA"/>
    </w:rPr>
  </w:style>
  <w:style w:type="paragraph" w:customStyle="1" w:styleId="3680">
    <w:name w:val="普通(网站)4"/>
    <w:basedOn w:val="1"/>
    <w:autoRedefine/>
    <w:qFormat/>
    <w:uiPriority w:val="0"/>
    <w:pPr>
      <w:adjustRightInd w:val="0"/>
      <w:textAlignment w:val="baseline"/>
    </w:pPr>
    <w:rPr>
      <w:rFonts w:eastAsia="仿宋_GB2312"/>
      <w:szCs w:val="20"/>
    </w:rPr>
  </w:style>
  <w:style w:type="paragraph" w:customStyle="1" w:styleId="3681">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eastAsia="仿宋_GB2312" w:cs="宋体"/>
      <w:kern w:val="2"/>
      <w:sz w:val="24"/>
      <w:szCs w:val="21"/>
      <w:lang w:val="en-US" w:eastAsia="zh-CN" w:bidi="ar-SA"/>
    </w:rPr>
  </w:style>
  <w:style w:type="paragraph" w:customStyle="1" w:styleId="3682">
    <w:name w:val="正文中对齐"/>
    <w:basedOn w:val="1"/>
    <w:autoRedefine/>
    <w:qFormat/>
    <w:uiPriority w:val="0"/>
    <w:pPr>
      <w:adjustRightInd w:val="0"/>
      <w:snapToGrid w:val="0"/>
      <w:spacing w:before="60" w:after="60" w:line="60" w:lineRule="atLeast"/>
      <w:jc w:val="center"/>
      <w:textAlignment w:val="baseline"/>
    </w:pPr>
    <w:rPr>
      <w:rFonts w:eastAsia="仿宋_GB2312"/>
      <w:szCs w:val="20"/>
    </w:rPr>
  </w:style>
  <w:style w:type="paragraph" w:customStyle="1" w:styleId="3683">
    <w:name w:val="nw"/>
    <w:basedOn w:val="1"/>
    <w:autoRedefine/>
    <w:qFormat/>
    <w:uiPriority w:val="0"/>
    <w:pPr>
      <w:widowControl/>
      <w:adjustRightInd w:val="0"/>
      <w:spacing w:before="100" w:after="100"/>
      <w:jc w:val="left"/>
      <w:textAlignment w:val="baseline"/>
    </w:pPr>
    <w:rPr>
      <w:rFonts w:eastAsia="仿宋_GB2312"/>
      <w:color w:val="000000"/>
      <w:kern w:val="0"/>
      <w:sz w:val="28"/>
      <w:szCs w:val="20"/>
    </w:rPr>
  </w:style>
  <w:style w:type="paragraph" w:customStyle="1" w:styleId="3684">
    <w:name w:val="标题 32"/>
    <w:basedOn w:val="1"/>
    <w:next w:val="1"/>
    <w:autoRedefine/>
    <w:qFormat/>
    <w:uiPriority w:val="0"/>
    <w:pPr>
      <w:keepNext/>
      <w:keepLines/>
      <w:adjustRightInd w:val="0"/>
      <w:spacing w:before="120" w:after="120" w:line="500" w:lineRule="exact"/>
      <w:textAlignment w:val="baseline"/>
    </w:pPr>
    <w:rPr>
      <w:rFonts w:eastAsia="黑体"/>
      <w:sz w:val="30"/>
      <w:szCs w:val="20"/>
    </w:rPr>
  </w:style>
  <w:style w:type="paragraph" w:customStyle="1" w:styleId="3685">
    <w:name w:val="biao2"/>
    <w:basedOn w:val="1"/>
    <w:autoRedefine/>
    <w:qFormat/>
    <w:uiPriority w:val="0"/>
    <w:pPr>
      <w:widowControl/>
      <w:adjustRightInd w:val="0"/>
      <w:spacing w:before="100" w:after="100"/>
      <w:jc w:val="center"/>
      <w:textAlignment w:val="center"/>
    </w:pPr>
    <w:rPr>
      <w:rFonts w:ascii="??" w:hAnsi="??" w:eastAsia="仿宋_GB2312"/>
      <w:color w:val="000000"/>
      <w:kern w:val="0"/>
      <w:sz w:val="27"/>
      <w:szCs w:val="20"/>
    </w:rPr>
  </w:style>
  <w:style w:type="paragraph" w:customStyle="1" w:styleId="3686">
    <w:name w:val="文字段落10"/>
    <w:basedOn w:val="1"/>
    <w:autoRedefine/>
    <w:qFormat/>
    <w:uiPriority w:val="0"/>
    <w:pPr>
      <w:overflowPunct w:val="0"/>
      <w:autoSpaceDE w:val="0"/>
      <w:autoSpaceDN w:val="0"/>
      <w:adjustRightInd w:val="0"/>
      <w:snapToGrid w:val="0"/>
      <w:spacing w:beforeLines="50" w:afterLines="50" w:line="360" w:lineRule="auto"/>
      <w:ind w:firstLine="200" w:firstLineChars="200"/>
      <w:textAlignment w:val="baseline"/>
    </w:pPr>
    <w:rPr>
      <w:rFonts w:eastAsia="仿宋_GB2312" w:cs="宋体"/>
      <w:sz w:val="28"/>
      <w:szCs w:val="20"/>
    </w:rPr>
  </w:style>
  <w:style w:type="paragraph" w:customStyle="1" w:styleId="3687">
    <w:name w:val="Char Char Char Char6"/>
    <w:basedOn w:val="1"/>
    <w:autoRedefine/>
    <w:qFormat/>
    <w:uiPriority w:val="0"/>
    <w:rPr>
      <w:rFonts w:eastAsia="仿宋_GB2312"/>
      <w:szCs w:val="21"/>
    </w:rPr>
  </w:style>
  <w:style w:type="paragraph" w:customStyle="1" w:styleId="3688">
    <w:name w:val="Char2 Char Char Char2"/>
    <w:basedOn w:val="1"/>
    <w:autoRedefine/>
    <w:qFormat/>
    <w:uiPriority w:val="0"/>
    <w:rPr>
      <w:rFonts w:eastAsia="仿宋_GB2312"/>
      <w:szCs w:val="21"/>
    </w:rPr>
  </w:style>
  <w:style w:type="paragraph" w:customStyle="1" w:styleId="3689">
    <w:name w:val="Char4 Char Char Char Char Char Char2"/>
    <w:basedOn w:val="1"/>
    <w:autoRedefine/>
    <w:qFormat/>
    <w:uiPriority w:val="0"/>
    <w:rPr>
      <w:rFonts w:eastAsia="仿宋_GB2312"/>
      <w:szCs w:val="21"/>
    </w:rPr>
  </w:style>
  <w:style w:type="paragraph" w:customStyle="1" w:styleId="3690">
    <w:name w:val="Char Char Char4"/>
    <w:basedOn w:val="1"/>
    <w:autoRedefine/>
    <w:qFormat/>
    <w:uiPriority w:val="0"/>
    <w:rPr>
      <w:rFonts w:eastAsia="仿宋_GB2312"/>
      <w:szCs w:val="21"/>
    </w:rPr>
  </w:style>
  <w:style w:type="paragraph" w:customStyle="1" w:styleId="3691">
    <w:name w:val="Char1 Char Char Char4"/>
    <w:basedOn w:val="1"/>
    <w:autoRedefine/>
    <w:qFormat/>
    <w:uiPriority w:val="0"/>
    <w:rPr>
      <w:rFonts w:eastAsia="仿宋_GB2312"/>
      <w:szCs w:val="21"/>
    </w:rPr>
  </w:style>
  <w:style w:type="paragraph" w:customStyle="1" w:styleId="3692">
    <w:name w:val="標題3 (11pt+arial)"/>
    <w:basedOn w:val="1"/>
    <w:autoRedefine/>
    <w:qFormat/>
    <w:uiPriority w:val="0"/>
    <w:pPr>
      <w:keepNext/>
      <w:tabs>
        <w:tab w:val="left" w:pos="1701"/>
      </w:tabs>
      <w:ind w:left="1701" w:hanging="1701"/>
      <w:outlineLvl w:val="1"/>
    </w:pPr>
    <w:rPr>
      <w:rFonts w:ascii="Arial" w:hAnsi="Arial" w:eastAsia="Arial"/>
      <w:bCs/>
      <w:kern w:val="52"/>
      <w:sz w:val="22"/>
      <w:szCs w:val="48"/>
      <w:lang w:eastAsia="zh-TW"/>
    </w:rPr>
  </w:style>
  <w:style w:type="paragraph" w:customStyle="1" w:styleId="3693">
    <w:name w:val="內文1 (11pt+arial)"/>
    <w:basedOn w:val="1"/>
    <w:autoRedefine/>
    <w:qFormat/>
    <w:uiPriority w:val="0"/>
    <w:pPr>
      <w:tabs>
        <w:tab w:val="left" w:pos="2268"/>
      </w:tabs>
      <w:ind w:left="2268" w:hanging="1531"/>
      <w:jc w:val="left"/>
    </w:pPr>
    <w:rPr>
      <w:rFonts w:ascii="Arial" w:hAnsi="Arial" w:eastAsia="Arial"/>
      <w:sz w:val="22"/>
      <w:szCs w:val="22"/>
      <w:lang w:eastAsia="zh-TW"/>
    </w:rPr>
  </w:style>
  <w:style w:type="paragraph" w:customStyle="1" w:styleId="3694">
    <w:name w:val="Char Char1 Char Char Char Char Char Char Char Char Char Char Char Char Char Char Char Char Char Char Char Char1 Char3"/>
    <w:basedOn w:val="1"/>
    <w:autoRedefine/>
    <w:qFormat/>
    <w:uiPriority w:val="0"/>
    <w:pPr>
      <w:spacing w:line="360" w:lineRule="auto"/>
      <w:ind w:firstLine="200" w:firstLineChars="200"/>
    </w:pPr>
    <w:rPr>
      <w:rFonts w:eastAsia="仿宋_GB2312"/>
      <w:sz w:val="28"/>
      <w:szCs w:val="21"/>
    </w:rPr>
  </w:style>
  <w:style w:type="paragraph" w:customStyle="1" w:styleId="3695">
    <w:name w:val="样式 正文001 + Times New Roman"/>
    <w:basedOn w:val="1"/>
    <w:autoRedefine/>
    <w:qFormat/>
    <w:uiPriority w:val="0"/>
    <w:pPr>
      <w:spacing w:before="60" w:line="460" w:lineRule="exact"/>
      <w:ind w:firstLine="482"/>
    </w:pPr>
    <w:rPr>
      <w:rFonts w:eastAsia="仿宋_GB2312"/>
      <w:szCs w:val="20"/>
    </w:rPr>
  </w:style>
  <w:style w:type="paragraph" w:customStyle="1" w:styleId="3696">
    <w:name w:val="正文文本缩进6"/>
    <w:basedOn w:val="1"/>
    <w:autoRedefine/>
    <w:qFormat/>
    <w:uiPriority w:val="0"/>
    <w:pPr>
      <w:adjustRightInd w:val="0"/>
      <w:spacing w:after="120" w:line="360" w:lineRule="auto"/>
      <w:ind w:left="200" w:leftChars="200" w:firstLine="200" w:firstLineChars="200"/>
      <w:textAlignment w:val="baseline"/>
    </w:pPr>
    <w:rPr>
      <w:rFonts w:eastAsia="仿宋_GB2312"/>
      <w:szCs w:val="21"/>
    </w:rPr>
  </w:style>
  <w:style w:type="paragraph" w:customStyle="1" w:styleId="3697">
    <w:name w:val="正文缩进7"/>
    <w:basedOn w:val="1"/>
    <w:autoRedefine/>
    <w:qFormat/>
    <w:uiPriority w:val="0"/>
    <w:pPr>
      <w:adjustRightInd w:val="0"/>
      <w:ind w:firstLine="200" w:firstLineChars="200"/>
      <w:textAlignment w:val="baseline"/>
    </w:pPr>
    <w:rPr>
      <w:rFonts w:eastAsia="仿宋_GB2312"/>
      <w:szCs w:val="20"/>
    </w:rPr>
  </w:style>
  <w:style w:type="paragraph" w:customStyle="1" w:styleId="3698">
    <w:name w:val="Char Char Char Char Char3"/>
    <w:basedOn w:val="1"/>
    <w:autoRedefine/>
    <w:qFormat/>
    <w:uiPriority w:val="0"/>
    <w:pPr>
      <w:spacing w:line="240" w:lineRule="exact"/>
      <w:ind w:firstLine="200" w:firstLineChars="200"/>
    </w:pPr>
    <w:rPr>
      <w:rFonts w:eastAsia="仿宋_GB2312"/>
      <w:sz w:val="28"/>
      <w:szCs w:val="28"/>
    </w:rPr>
  </w:style>
  <w:style w:type="paragraph" w:customStyle="1" w:styleId="3699">
    <w:name w:val="Char14"/>
    <w:basedOn w:val="1"/>
    <w:autoRedefine/>
    <w:qFormat/>
    <w:uiPriority w:val="0"/>
    <w:pPr>
      <w:spacing w:line="240" w:lineRule="exact"/>
      <w:ind w:firstLine="200" w:firstLineChars="200"/>
    </w:pPr>
    <w:rPr>
      <w:rFonts w:eastAsia="仿宋_GB2312"/>
      <w:sz w:val="28"/>
      <w:szCs w:val="28"/>
    </w:rPr>
  </w:style>
  <w:style w:type="paragraph" w:customStyle="1" w:styleId="3700">
    <w:name w:val="Char Char Char1 Char Char Char Char4"/>
    <w:basedOn w:val="1"/>
    <w:next w:val="1"/>
    <w:autoRedefine/>
    <w:qFormat/>
    <w:uiPriority w:val="0"/>
    <w:pPr>
      <w:spacing w:line="360" w:lineRule="auto"/>
      <w:ind w:firstLine="200" w:firstLineChars="200"/>
    </w:pPr>
    <w:rPr>
      <w:rFonts w:eastAsia="汉鼎简书宋" w:cs="宋体"/>
      <w:szCs w:val="21"/>
    </w:rPr>
  </w:style>
  <w:style w:type="paragraph" w:customStyle="1" w:styleId="3701">
    <w:name w:val="Char Char Char Char Char Char1 Char4"/>
    <w:basedOn w:val="1"/>
    <w:autoRedefine/>
    <w:qFormat/>
    <w:uiPriority w:val="0"/>
    <w:rPr>
      <w:rFonts w:eastAsia="仿宋_GB2312"/>
      <w:sz w:val="28"/>
      <w:szCs w:val="21"/>
    </w:rPr>
  </w:style>
  <w:style w:type="paragraph" w:customStyle="1" w:styleId="3702">
    <w:name w:val="日期4"/>
    <w:basedOn w:val="1"/>
    <w:next w:val="1"/>
    <w:autoRedefine/>
    <w:qFormat/>
    <w:uiPriority w:val="0"/>
    <w:pPr>
      <w:adjustRightInd w:val="0"/>
      <w:jc w:val="left"/>
      <w:textAlignment w:val="baseline"/>
    </w:pPr>
    <w:rPr>
      <w:rFonts w:eastAsia="仿宋_GB2312"/>
      <w:spacing w:val="24"/>
      <w:kern w:val="24"/>
      <w:szCs w:val="20"/>
    </w:rPr>
  </w:style>
  <w:style w:type="paragraph" w:customStyle="1" w:styleId="3703">
    <w:name w:val="正文7"/>
    <w:autoRedefine/>
    <w:qFormat/>
    <w:uiPriority w:val="0"/>
    <w:pPr>
      <w:widowControl w:val="0"/>
      <w:adjustRightInd w:val="0"/>
      <w:spacing w:line="312" w:lineRule="atLeast"/>
      <w:jc w:val="both"/>
      <w:textAlignment w:val="baseline"/>
    </w:pPr>
    <w:rPr>
      <w:rFonts w:ascii="宋体" w:hAnsi="Times New Roman" w:eastAsia="仿宋_GB2312" w:cs="宋体"/>
      <w:sz w:val="34"/>
      <w:szCs w:val="21"/>
      <w:lang w:val="en-US" w:eastAsia="zh-CN" w:bidi="ar-SA"/>
    </w:rPr>
  </w:style>
  <w:style w:type="paragraph" w:customStyle="1" w:styleId="3704">
    <w:name w:val="Char Char Char1 Char4"/>
    <w:basedOn w:val="1"/>
    <w:autoRedefine/>
    <w:qFormat/>
    <w:uiPriority w:val="0"/>
    <w:rPr>
      <w:rFonts w:eastAsia="仿宋_GB2312"/>
      <w:sz w:val="28"/>
      <w:szCs w:val="21"/>
    </w:rPr>
  </w:style>
  <w:style w:type="paragraph" w:customStyle="1" w:styleId="3705">
    <w:name w:val="Char Char Char Char Char Char Char Char Char4"/>
    <w:basedOn w:val="1"/>
    <w:autoRedefine/>
    <w:qFormat/>
    <w:uiPriority w:val="0"/>
    <w:rPr>
      <w:rFonts w:eastAsia="仿宋_GB2312"/>
      <w:sz w:val="28"/>
      <w:szCs w:val="21"/>
    </w:rPr>
  </w:style>
  <w:style w:type="paragraph" w:customStyle="1" w:styleId="3706">
    <w:name w:val="Char Char Char Char Char Char Char Char Char Char Char Char Char Char Char Char Char Char Char Char Char Char Char Char Char Char Char Char Char Char Char Char Char Char Char Char Char Char Char Char Char Char4"/>
    <w:basedOn w:val="1"/>
    <w:autoRedefine/>
    <w:qFormat/>
    <w:uiPriority w:val="0"/>
    <w:rPr>
      <w:rFonts w:eastAsia="仿宋_GB2312"/>
      <w:sz w:val="28"/>
      <w:szCs w:val="21"/>
    </w:rPr>
  </w:style>
  <w:style w:type="paragraph" w:customStyle="1" w:styleId="3707">
    <w:name w:val="Char Char Char2 Char Char Char Char Char Char Char Char Char Char Char Char Char Char Char Char Char Char Char Char Char Char Char Char Char Char Char Char Char Char Char Char Char Char Char Char Char Char Char Char2"/>
    <w:basedOn w:val="1"/>
    <w:autoRedefine/>
    <w:qFormat/>
    <w:uiPriority w:val="0"/>
    <w:rPr>
      <w:rFonts w:eastAsia="仿宋_GB2312"/>
      <w:szCs w:val="21"/>
    </w:rPr>
  </w:style>
  <w:style w:type="paragraph" w:customStyle="1" w:styleId="3708">
    <w:name w:val="Char1 Char Char Char Char Char Char12"/>
    <w:basedOn w:val="1"/>
    <w:autoRedefine/>
    <w:qFormat/>
    <w:uiPriority w:val="0"/>
    <w:rPr>
      <w:rFonts w:eastAsia="仿宋_GB2312"/>
      <w:szCs w:val="21"/>
    </w:rPr>
  </w:style>
  <w:style w:type="paragraph" w:customStyle="1" w:styleId="3709">
    <w:name w:val="Char2 Char Char Char Char Char Char Char Char Char Char Char1 Char Char Char Char Char Char Char2"/>
    <w:basedOn w:val="1"/>
    <w:autoRedefine/>
    <w:qFormat/>
    <w:uiPriority w:val="0"/>
    <w:rPr>
      <w:rFonts w:eastAsia="仿宋_GB2312"/>
      <w:szCs w:val="21"/>
    </w:rPr>
  </w:style>
  <w:style w:type="paragraph" w:customStyle="1" w:styleId="3710">
    <w:name w:val="样式 标题 2节 + 宋体 加粗"/>
    <w:basedOn w:val="4"/>
    <w:autoRedefine/>
    <w:qFormat/>
    <w:uiPriority w:val="0"/>
    <w:pPr>
      <w:tabs>
        <w:tab w:val="left" w:pos="1505"/>
        <w:tab w:val="clear" w:pos="1276"/>
      </w:tabs>
      <w:snapToGrid w:val="0"/>
      <w:spacing w:before="0" w:after="0"/>
      <w:ind w:left="200" w:hanging="200" w:hangingChars="200"/>
      <w:jc w:val="both"/>
      <w:textAlignment w:val="auto"/>
    </w:pPr>
    <w:rPr>
      <w:rFonts w:ascii="宋体" w:hAnsi="Times New Roman" w:eastAsia="仿宋_GB2312"/>
      <w:lang w:val="zh-CN"/>
    </w:rPr>
  </w:style>
  <w:style w:type="paragraph" w:customStyle="1" w:styleId="3711">
    <w:name w:val="Style1"/>
    <w:basedOn w:val="1"/>
    <w:autoRedefine/>
    <w:qFormat/>
    <w:uiPriority w:val="0"/>
    <w:pPr>
      <w:spacing w:after="120"/>
      <w:ind w:left="851"/>
    </w:pPr>
    <w:rPr>
      <w:rFonts w:eastAsia="仿宋_GB2312"/>
      <w:sz w:val="28"/>
      <w:szCs w:val="20"/>
    </w:rPr>
  </w:style>
  <w:style w:type="paragraph" w:customStyle="1" w:styleId="3712">
    <w:name w:val="InstÀÀll6"/>
    <w:autoRedefine/>
    <w:qFormat/>
    <w:uiPriority w:val="0"/>
    <w:pPr>
      <w:tabs>
        <w:tab w:val="left" w:pos="-720"/>
      </w:tabs>
      <w:suppressAutoHyphens/>
      <w:jc w:val="both"/>
    </w:pPr>
    <w:rPr>
      <w:rFonts w:ascii="Courier" w:hAnsi="Courier" w:eastAsia="仿宋_GB2312" w:cs="宋体"/>
      <w:spacing w:val="-3"/>
      <w:sz w:val="24"/>
      <w:szCs w:val="21"/>
      <w:lang w:val="en-US" w:eastAsia="sv-SE" w:bidi="ar-SA"/>
    </w:rPr>
  </w:style>
  <w:style w:type="paragraph" w:customStyle="1" w:styleId="3713">
    <w:name w:val="新标题"/>
    <w:basedOn w:val="85"/>
    <w:autoRedefine/>
    <w:qFormat/>
    <w:uiPriority w:val="0"/>
    <w:pPr>
      <w:widowControl w:val="0"/>
      <w:adjustRightInd/>
      <w:spacing w:before="240" w:after="60" w:line="720" w:lineRule="auto"/>
    </w:pPr>
    <w:rPr>
      <w:rFonts w:eastAsia="仿宋_GB2312" w:asciiTheme="minorHAnsi" w:hAnsiTheme="minorHAnsi" w:cstheme="minorBidi"/>
      <w:b w:val="0"/>
      <w:bCs w:val="0"/>
      <w:sz w:val="28"/>
      <w:szCs w:val="20"/>
      <w:lang w:val="en-US"/>
    </w:rPr>
  </w:style>
  <w:style w:type="paragraph" w:customStyle="1" w:styleId="3714">
    <w:name w:val="Char44"/>
    <w:basedOn w:val="1"/>
    <w:autoRedefine/>
    <w:qFormat/>
    <w:uiPriority w:val="0"/>
    <w:rPr>
      <w:rFonts w:eastAsia="仿宋_GB2312"/>
      <w:szCs w:val="20"/>
    </w:rPr>
  </w:style>
  <w:style w:type="paragraph" w:customStyle="1" w:styleId="3715">
    <w:name w:val="样式 标题 3 + Times New Roman"/>
    <w:basedOn w:val="5"/>
    <w:autoRedefine/>
    <w:qFormat/>
    <w:uiPriority w:val="0"/>
    <w:pPr>
      <w:spacing w:before="0" w:after="160" w:line="240" w:lineRule="auto"/>
    </w:pPr>
    <w:rPr>
      <w:rFonts w:ascii="仿宋_GB2312" w:hAnsi="Times New Roman" w:eastAsia="仿宋_GB2312" w:cs="Times New Roman"/>
      <w:b w:val="0"/>
      <w:bCs w:val="0"/>
      <w:sz w:val="30"/>
      <w:szCs w:val="20"/>
      <w:lang w:val="zh-CN"/>
    </w:rPr>
  </w:style>
  <w:style w:type="paragraph" w:customStyle="1" w:styleId="3716">
    <w:name w:val="Char24"/>
    <w:basedOn w:val="1"/>
    <w:autoRedefine/>
    <w:qFormat/>
    <w:uiPriority w:val="0"/>
    <w:rPr>
      <w:rFonts w:eastAsia="仿宋_GB2312"/>
      <w:sz w:val="28"/>
      <w:szCs w:val="20"/>
    </w:rPr>
  </w:style>
  <w:style w:type="paragraph" w:customStyle="1" w:styleId="3717">
    <w:name w:val="gradea文"/>
    <w:basedOn w:val="21"/>
    <w:autoRedefine/>
    <w:qFormat/>
    <w:uiPriority w:val="0"/>
    <w:pPr>
      <w:spacing w:line="360" w:lineRule="auto"/>
      <w:ind w:firstLine="200"/>
    </w:pPr>
    <w:rPr>
      <w:rFonts w:eastAsia="仿宋_GB2312" w:asciiTheme="minorHAnsi" w:cstheme="minorBidi"/>
      <w:sz w:val="28"/>
      <w:szCs w:val="22"/>
      <w:lang w:val="zh-CN"/>
    </w:rPr>
  </w:style>
  <w:style w:type="paragraph" w:customStyle="1" w:styleId="3718">
    <w:name w:val="Char Char1 Char2"/>
    <w:basedOn w:val="1"/>
    <w:autoRedefine/>
    <w:qFormat/>
    <w:uiPriority w:val="0"/>
    <w:rPr>
      <w:rFonts w:eastAsia="仿宋_GB2312"/>
      <w:szCs w:val="21"/>
    </w:rPr>
  </w:style>
  <w:style w:type="paragraph" w:customStyle="1" w:styleId="3719">
    <w:name w:val="Char Char Char Char Char2 Char"/>
    <w:basedOn w:val="1"/>
    <w:autoRedefine/>
    <w:qFormat/>
    <w:uiPriority w:val="0"/>
    <w:pPr>
      <w:adjustRightInd w:val="0"/>
      <w:snapToGrid w:val="0"/>
      <w:spacing w:line="360" w:lineRule="auto"/>
      <w:ind w:firstLine="200" w:firstLineChars="200"/>
    </w:pPr>
    <w:rPr>
      <w:rFonts w:eastAsia="仿宋_GB2312" w:cs="宋体"/>
      <w:szCs w:val="26"/>
    </w:rPr>
  </w:style>
  <w:style w:type="paragraph" w:customStyle="1" w:styleId="3720">
    <w:name w:val="表格5中"/>
    <w:basedOn w:val="1"/>
    <w:autoRedefine/>
    <w:qFormat/>
    <w:uiPriority w:val="0"/>
    <w:pPr>
      <w:spacing w:line="480" w:lineRule="exact"/>
    </w:pPr>
    <w:rPr>
      <w:rFonts w:eastAsia="仿宋_GB2312"/>
      <w:color w:val="000000"/>
      <w:sz w:val="28"/>
      <w:szCs w:val="21"/>
    </w:rPr>
  </w:style>
  <w:style w:type="paragraph" w:customStyle="1" w:styleId="3721">
    <w:name w:val="表格5左"/>
    <w:basedOn w:val="3720"/>
    <w:autoRedefine/>
    <w:qFormat/>
    <w:uiPriority w:val="0"/>
    <w:pPr>
      <w:spacing w:before="120" w:after="120" w:line="240" w:lineRule="auto"/>
      <w:jc w:val="center"/>
    </w:pPr>
    <w:rPr>
      <w:color w:val="FF0000"/>
      <w:sz w:val="24"/>
      <w:szCs w:val="24"/>
    </w:rPr>
  </w:style>
  <w:style w:type="paragraph" w:customStyle="1" w:styleId="3722">
    <w:name w:val="XYF表格"/>
    <w:basedOn w:val="1347"/>
    <w:autoRedefine/>
    <w:qFormat/>
    <w:uiPriority w:val="0"/>
    <w:pPr>
      <w:adjustRightInd/>
      <w:ind w:firstLine="0" w:firstLineChars="0"/>
      <w:textAlignment w:val="auto"/>
    </w:pPr>
    <w:rPr>
      <w:rFonts w:ascii="Times New Roman" w:eastAsia="仿宋_GB2312"/>
      <w:spacing w:val="0"/>
      <w:kern w:val="2"/>
      <w:sz w:val="21"/>
      <w:szCs w:val="21"/>
    </w:rPr>
  </w:style>
  <w:style w:type="paragraph" w:customStyle="1" w:styleId="3723">
    <w:name w:val="加粗 居中"/>
    <w:basedOn w:val="1"/>
    <w:next w:val="1"/>
    <w:autoRedefine/>
    <w:qFormat/>
    <w:uiPriority w:val="0"/>
    <w:pPr>
      <w:jc w:val="center"/>
    </w:pPr>
    <w:rPr>
      <w:rFonts w:eastAsia="仿宋_GB2312" w:cs="宋体"/>
      <w:b/>
      <w:bCs/>
      <w:sz w:val="28"/>
      <w:szCs w:val="20"/>
    </w:rPr>
  </w:style>
  <w:style w:type="paragraph" w:customStyle="1" w:styleId="3724">
    <w:name w:val="样式 样式 正文2 + + 首行缩进:  2 字符"/>
    <w:basedOn w:val="1"/>
    <w:autoRedefine/>
    <w:qFormat/>
    <w:uiPriority w:val="0"/>
    <w:pPr>
      <w:tabs>
        <w:tab w:val="left" w:pos="5366"/>
      </w:tabs>
      <w:spacing w:line="560" w:lineRule="exact"/>
      <w:ind w:firstLine="200" w:firstLineChars="200"/>
    </w:pPr>
    <w:rPr>
      <w:rFonts w:eastAsia="仿宋_GB2312" w:cs="宋体"/>
      <w:color w:val="FF0000"/>
      <w:spacing w:val="-4"/>
      <w:kern w:val="0"/>
      <w:sz w:val="28"/>
      <w:szCs w:val="20"/>
    </w:rPr>
  </w:style>
  <w:style w:type="paragraph" w:customStyle="1" w:styleId="3725">
    <w:name w:val="样式 正文2 +"/>
    <w:basedOn w:val="1"/>
    <w:autoRedefine/>
    <w:qFormat/>
    <w:uiPriority w:val="0"/>
    <w:pPr>
      <w:tabs>
        <w:tab w:val="left" w:pos="5366"/>
      </w:tabs>
      <w:spacing w:line="560" w:lineRule="exact"/>
      <w:ind w:firstLine="200" w:firstLineChars="200"/>
    </w:pPr>
    <w:rPr>
      <w:rFonts w:eastAsia="仿宋_GB2312"/>
      <w:color w:val="FF0000"/>
      <w:spacing w:val="-4"/>
      <w:kern w:val="0"/>
      <w:sz w:val="28"/>
      <w:szCs w:val="28"/>
    </w:rPr>
  </w:style>
  <w:style w:type="paragraph" w:customStyle="1" w:styleId="3726">
    <w:name w:val="Char Char Char Char Char Char Char Char Char Char Char Char Char Char Char Char Char Char Char Char Char Char3"/>
    <w:basedOn w:val="1"/>
    <w:autoRedefine/>
    <w:qFormat/>
    <w:uiPriority w:val="0"/>
    <w:rPr>
      <w:rFonts w:eastAsia="仿宋_GB2312"/>
      <w:szCs w:val="21"/>
    </w:rPr>
  </w:style>
  <w:style w:type="paragraph" w:customStyle="1" w:styleId="3727">
    <w:name w:val="列出段落4"/>
    <w:basedOn w:val="1"/>
    <w:autoRedefine/>
    <w:qFormat/>
    <w:uiPriority w:val="0"/>
    <w:pPr>
      <w:ind w:firstLine="200" w:firstLineChars="200"/>
    </w:pPr>
    <w:rPr>
      <w:rFonts w:eastAsia="仿宋_GB2312"/>
      <w:sz w:val="28"/>
      <w:szCs w:val="21"/>
    </w:rPr>
  </w:style>
  <w:style w:type="paragraph" w:customStyle="1" w:styleId="3728">
    <w:name w:val="Char Char Char Char Char Char Char24"/>
    <w:basedOn w:val="1"/>
    <w:autoRedefine/>
    <w:qFormat/>
    <w:uiPriority w:val="0"/>
    <w:rPr>
      <w:rFonts w:eastAsia="仿宋_GB2312"/>
      <w:szCs w:val="21"/>
    </w:rPr>
  </w:style>
  <w:style w:type="paragraph" w:customStyle="1" w:styleId="3729">
    <w:name w:val="Char Char110"/>
    <w:basedOn w:val="1"/>
    <w:autoRedefine/>
    <w:qFormat/>
    <w:uiPriority w:val="0"/>
    <w:rPr>
      <w:rFonts w:eastAsia="仿宋_GB2312"/>
      <w:sz w:val="28"/>
      <w:szCs w:val="21"/>
    </w:rPr>
  </w:style>
  <w:style w:type="paragraph" w:customStyle="1" w:styleId="3730">
    <w:name w:val="正文+8"/>
    <w:basedOn w:val="112"/>
    <w:next w:val="112"/>
    <w:autoRedefine/>
    <w:qFormat/>
    <w:uiPriority w:val="0"/>
    <w:rPr>
      <w:rFonts w:ascii="宋体" w:cs="宋体"/>
      <w:color w:val="auto"/>
    </w:rPr>
  </w:style>
  <w:style w:type="paragraph" w:customStyle="1" w:styleId="3731">
    <w:name w:val="正文+3"/>
    <w:basedOn w:val="112"/>
    <w:next w:val="112"/>
    <w:autoRedefine/>
    <w:qFormat/>
    <w:uiPriority w:val="0"/>
    <w:rPr>
      <w:rFonts w:ascii="宋体" w:cs="宋体"/>
      <w:color w:val="auto"/>
    </w:rPr>
  </w:style>
  <w:style w:type="paragraph" w:customStyle="1" w:styleId="3732">
    <w:name w:val="Char Char Char Char Char Char Char25"/>
    <w:basedOn w:val="1"/>
    <w:autoRedefine/>
    <w:qFormat/>
    <w:uiPriority w:val="0"/>
    <w:rPr>
      <w:rFonts w:eastAsia="仿宋_GB2312"/>
      <w:szCs w:val="21"/>
    </w:rPr>
  </w:style>
  <w:style w:type="paragraph" w:customStyle="1" w:styleId="3733">
    <w:name w:val="列出段落5"/>
    <w:basedOn w:val="1"/>
    <w:autoRedefine/>
    <w:qFormat/>
    <w:uiPriority w:val="34"/>
    <w:pPr>
      <w:ind w:firstLine="420" w:firstLineChars="200"/>
    </w:pPr>
    <w:rPr>
      <w:rFonts w:eastAsia="仿宋_GB2312"/>
      <w:sz w:val="28"/>
      <w:szCs w:val="21"/>
    </w:rPr>
  </w:style>
  <w:style w:type="paragraph" w:customStyle="1" w:styleId="3734">
    <w:name w:val="列出段落111"/>
    <w:basedOn w:val="1"/>
    <w:autoRedefine/>
    <w:qFormat/>
    <w:uiPriority w:val="0"/>
    <w:pPr>
      <w:widowControl/>
      <w:ind w:firstLine="420"/>
      <w:jc w:val="left"/>
    </w:pPr>
    <w:rPr>
      <w:rFonts w:ascii="Calibri" w:hAnsi="Calibri" w:eastAsia="仿宋_GB2312"/>
      <w:sz w:val="28"/>
      <w:szCs w:val="22"/>
    </w:rPr>
  </w:style>
  <w:style w:type="paragraph" w:customStyle="1" w:styleId="3735">
    <w:name w:val="样式48"/>
    <w:basedOn w:val="2448"/>
    <w:autoRedefine/>
    <w:qFormat/>
    <w:uiPriority w:val="0"/>
    <w:pPr>
      <w:ind w:left="1418" w:hanging="567" w:firstLineChars="0"/>
    </w:pPr>
  </w:style>
  <w:style w:type="character" w:customStyle="1" w:styleId="3736">
    <w:name w:val="1表格文字 Char"/>
    <w:link w:val="3737"/>
    <w:autoRedefine/>
    <w:qFormat/>
    <w:uiPriority w:val="0"/>
    <w:rPr>
      <w:szCs w:val="21"/>
    </w:rPr>
  </w:style>
  <w:style w:type="paragraph" w:customStyle="1" w:styleId="3737">
    <w:name w:val="1表格文字"/>
    <w:basedOn w:val="165"/>
    <w:link w:val="3736"/>
    <w:autoRedefine/>
    <w:qFormat/>
    <w:uiPriority w:val="0"/>
    <w:pPr>
      <w:textAlignment w:val="baseline"/>
    </w:pPr>
    <w:rPr>
      <w:rFonts w:ascii="Times New Roman" w:hAnsi="Times New Roman" w:eastAsia="宋体" w:cs="Times New Roman"/>
      <w:kern w:val="0"/>
      <w:sz w:val="20"/>
    </w:rPr>
  </w:style>
  <w:style w:type="character" w:customStyle="1" w:styleId="3738">
    <w:name w:val="1 表头 Char"/>
    <w:link w:val="3739"/>
    <w:autoRedefine/>
    <w:qFormat/>
    <w:uiPriority w:val="0"/>
    <w:rPr>
      <w:b/>
      <w:color w:val="000000"/>
      <w:szCs w:val="21"/>
    </w:rPr>
  </w:style>
  <w:style w:type="paragraph" w:customStyle="1" w:styleId="3739">
    <w:name w:val="1 表头"/>
    <w:basedOn w:val="1"/>
    <w:link w:val="3738"/>
    <w:autoRedefine/>
    <w:qFormat/>
    <w:uiPriority w:val="0"/>
    <w:pPr>
      <w:adjustRightInd w:val="0"/>
      <w:snapToGrid w:val="0"/>
      <w:jc w:val="center"/>
    </w:pPr>
    <w:rPr>
      <w:b/>
      <w:color w:val="000000"/>
      <w:kern w:val="0"/>
      <w:sz w:val="20"/>
      <w:szCs w:val="21"/>
    </w:rPr>
  </w:style>
  <w:style w:type="character" w:customStyle="1" w:styleId="3740">
    <w:name w:val="CharAttribute11"/>
    <w:autoRedefine/>
    <w:qFormat/>
    <w:uiPriority w:val="0"/>
    <w:rPr>
      <w:rFonts w:hint="eastAsia" w:ascii="仿宋_GB2312" w:hAnsi="仿宋_GB2312" w:eastAsia="仿宋_GB2312"/>
      <w:sz w:val="21"/>
    </w:rPr>
  </w:style>
  <w:style w:type="table" w:customStyle="1" w:styleId="3741">
    <w:name w:val="Table Normal"/>
    <w:autoRedefine/>
    <w:semiHidden/>
    <w:qFormat/>
    <w:uiPriority w:val="2"/>
    <w:pPr>
      <w:widowControl w:val="0"/>
      <w:autoSpaceDE w:val="0"/>
      <w:autoSpaceDN w:val="0"/>
    </w:pPr>
    <w:rPr>
      <w:rFonts w:eastAsia="Times New Roman" w:asciiTheme="minorHAnsi" w:hAnsiTheme="minorHAnsi" w:cstheme="minorBidi"/>
      <w:sz w:val="22"/>
      <w:lang w:eastAsia="en-US"/>
    </w:rPr>
    <w:tblPr>
      <w:tblCellMar>
        <w:top w:w="0" w:type="dxa"/>
        <w:left w:w="0" w:type="dxa"/>
        <w:bottom w:w="0" w:type="dxa"/>
        <w:right w:w="0" w:type="dxa"/>
      </w:tblCellMar>
    </w:tblPr>
  </w:style>
  <w:style w:type="paragraph" w:customStyle="1" w:styleId="3742">
    <w:name w:val="修订2"/>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3743">
    <w:name w:val="普通(网站) Char1"/>
    <w:autoRedefine/>
    <w:qFormat/>
    <w:locked/>
    <w:uiPriority w:val="0"/>
    <w:rPr>
      <w:rFonts w:ascii="宋体" w:hAnsi="宋体" w:eastAsia="宋体"/>
      <w:sz w:val="24"/>
    </w:rPr>
  </w:style>
  <w:style w:type="paragraph" w:customStyle="1" w:styleId="3744">
    <w:name w:val="正文首行缩进  2字符"/>
    <w:basedOn w:val="1"/>
    <w:autoRedefine/>
    <w:qFormat/>
    <w:uiPriority w:val="0"/>
    <w:pPr>
      <w:widowControl/>
      <w:spacing w:line="360" w:lineRule="auto"/>
      <w:ind w:firstLine="480"/>
    </w:pPr>
    <w:rPr>
      <w:sz w:val="24"/>
    </w:rPr>
  </w:style>
  <w:style w:type="character" w:customStyle="1" w:styleId="3745">
    <w:name w:val="标题 2+ 行距: 固定值 24 磅 Char Char"/>
    <w:autoRedefine/>
    <w:qFormat/>
    <w:uiPriority w:val="0"/>
    <w:rPr>
      <w:rFonts w:hint="default" w:ascii="Arial" w:hAnsi="Arial" w:eastAsia="黑体" w:cs="Arial"/>
      <w:b/>
      <w:kern w:val="2"/>
      <w:sz w:val="32"/>
      <w:szCs w:val="32"/>
      <w:lang w:val="en-US" w:eastAsia="zh-CN" w:bidi="ar"/>
    </w:rPr>
  </w:style>
  <w:style w:type="character" w:customStyle="1" w:styleId="3746">
    <w:name w:val="NormalCharacter"/>
    <w:autoRedefine/>
    <w:qFormat/>
    <w:uiPriority w:val="0"/>
  </w:style>
  <w:style w:type="character" w:customStyle="1" w:styleId="3747">
    <w:name w:val="表格1 Char"/>
    <w:link w:val="1334"/>
    <w:autoRedefine/>
    <w:qFormat/>
    <w:uiPriority w:val="0"/>
    <w:rPr>
      <w:rFonts w:ascii="宋体"/>
      <w:spacing w:val="30"/>
    </w:rPr>
  </w:style>
  <w:style w:type="paragraph" w:customStyle="1" w:styleId="3748">
    <w:name w:val="zl正文"/>
    <w:basedOn w:val="1"/>
    <w:autoRedefine/>
    <w:qFormat/>
    <w:uiPriority w:val="0"/>
    <w:pPr>
      <w:spacing w:line="360" w:lineRule="auto"/>
      <w:ind w:firstLine="480" w:firstLineChars="200"/>
    </w:pPr>
    <w:rPr>
      <w:sz w:val="24"/>
    </w:rPr>
  </w:style>
  <w:style w:type="paragraph" w:customStyle="1" w:styleId="3749">
    <w:name w:val="zl表头"/>
    <w:basedOn w:val="1"/>
    <w:autoRedefine/>
    <w:qFormat/>
    <w:uiPriority w:val="0"/>
    <w:pPr>
      <w:spacing w:beforeLines="50"/>
      <w:jc w:val="center"/>
    </w:pPr>
    <w:rPr>
      <w:sz w:val="24"/>
    </w:rPr>
  </w:style>
  <w:style w:type="paragraph" w:customStyle="1" w:styleId="3750">
    <w:name w:val="zl表后"/>
    <w:basedOn w:val="1"/>
    <w:autoRedefine/>
    <w:qFormat/>
    <w:uiPriority w:val="0"/>
    <w:pPr>
      <w:spacing w:line="0" w:lineRule="atLeast"/>
    </w:pPr>
    <w:rPr>
      <w:sz w:val="18"/>
      <w:szCs w:val="18"/>
    </w:rPr>
  </w:style>
  <w:style w:type="character" w:customStyle="1" w:styleId="3751">
    <w:name w:val="fontstyle01"/>
    <w:autoRedefine/>
    <w:qFormat/>
    <w:uiPriority w:val="0"/>
    <w:rPr>
      <w:rFonts w:hint="eastAsia" w:ascii="宋体" w:hAnsi="宋体" w:eastAsia="宋体"/>
      <w:color w:val="000000"/>
      <w:sz w:val="24"/>
      <w:szCs w:val="24"/>
    </w:rPr>
  </w:style>
  <w:style w:type="paragraph" w:customStyle="1" w:styleId="3752">
    <w:name w:val="0正文"/>
    <w:basedOn w:val="82"/>
    <w:autoRedefine/>
    <w:qFormat/>
    <w:uiPriority w:val="0"/>
    <w:pPr>
      <w:spacing w:before="0" w:beforeAutospacing="0" w:after="0" w:afterAutospacing="0"/>
      <w:ind w:firstLine="482"/>
      <w:jc w:val="both"/>
    </w:pPr>
    <w:rPr>
      <w:rFonts w:ascii="Times New Roman" w:hAnsi="Times New Roman"/>
    </w:rPr>
  </w:style>
  <w:style w:type="paragraph" w:customStyle="1" w:styleId="3753">
    <w:name w:val="表内表"/>
    <w:basedOn w:val="1"/>
    <w:autoRedefine/>
    <w:qFormat/>
    <w:uiPriority w:val="0"/>
    <w:pPr>
      <w:spacing w:line="240" w:lineRule="atLeast"/>
      <w:jc w:val="center"/>
    </w:pPr>
    <w:rPr>
      <w:bCs/>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wmf"/><Relationship Id="rId96" Type="http://schemas.openxmlformats.org/officeDocument/2006/relationships/image" Target="media/image88.wmf"/><Relationship Id="rId95" Type="http://schemas.openxmlformats.org/officeDocument/2006/relationships/image" Target="media/image87.wmf"/><Relationship Id="rId94" Type="http://schemas.openxmlformats.org/officeDocument/2006/relationships/image" Target="media/image86.wmf"/><Relationship Id="rId93" Type="http://schemas.openxmlformats.org/officeDocument/2006/relationships/image" Target="media/image85.wmf"/><Relationship Id="rId92" Type="http://schemas.openxmlformats.org/officeDocument/2006/relationships/image" Target="media/image84.wmf"/><Relationship Id="rId91" Type="http://schemas.openxmlformats.org/officeDocument/2006/relationships/image" Target="media/image83.wmf"/><Relationship Id="rId90" Type="http://schemas.openxmlformats.org/officeDocument/2006/relationships/image" Target="media/image82.wmf"/><Relationship Id="rId9" Type="http://schemas.openxmlformats.org/officeDocument/2006/relationships/image" Target="media/image3.png"/><Relationship Id="rId89" Type="http://schemas.openxmlformats.org/officeDocument/2006/relationships/image" Target="media/image81.wmf"/><Relationship Id="rId88" Type="http://schemas.openxmlformats.org/officeDocument/2006/relationships/image" Target="media/image80.wmf"/><Relationship Id="rId87" Type="http://schemas.openxmlformats.org/officeDocument/2006/relationships/image" Target="media/image79.wmf"/><Relationship Id="rId86" Type="http://schemas.openxmlformats.org/officeDocument/2006/relationships/image" Target="media/image78.wmf"/><Relationship Id="rId85" Type="http://schemas.openxmlformats.org/officeDocument/2006/relationships/image" Target="media/image77.wmf"/><Relationship Id="rId84" Type="http://schemas.openxmlformats.org/officeDocument/2006/relationships/image" Target="media/image76.wmf"/><Relationship Id="rId83" Type="http://schemas.openxmlformats.org/officeDocument/2006/relationships/image" Target="media/image75.wmf"/><Relationship Id="rId82" Type="http://schemas.openxmlformats.org/officeDocument/2006/relationships/image" Target="media/image74.wmf"/><Relationship Id="rId81" Type="http://schemas.openxmlformats.org/officeDocument/2006/relationships/image" Target="media/image73.wmf"/><Relationship Id="rId80" Type="http://schemas.openxmlformats.org/officeDocument/2006/relationships/image" Target="media/image72.wmf"/><Relationship Id="rId8" Type="http://schemas.openxmlformats.org/officeDocument/2006/relationships/image" Target="media/image2.png"/><Relationship Id="rId79" Type="http://schemas.openxmlformats.org/officeDocument/2006/relationships/image" Target="media/image71.wmf"/><Relationship Id="rId78" Type="http://schemas.openxmlformats.org/officeDocument/2006/relationships/image" Target="media/image70.wmf"/><Relationship Id="rId77" Type="http://schemas.openxmlformats.org/officeDocument/2006/relationships/image" Target="media/image69.wmf"/><Relationship Id="rId76" Type="http://schemas.openxmlformats.org/officeDocument/2006/relationships/image" Target="media/image68.wmf"/><Relationship Id="rId75" Type="http://schemas.openxmlformats.org/officeDocument/2006/relationships/image" Target="media/image67.wmf"/><Relationship Id="rId74" Type="http://schemas.openxmlformats.org/officeDocument/2006/relationships/image" Target="media/image66.wmf"/><Relationship Id="rId73" Type="http://schemas.openxmlformats.org/officeDocument/2006/relationships/image" Target="media/image65.wmf"/><Relationship Id="rId72" Type="http://schemas.openxmlformats.org/officeDocument/2006/relationships/image" Target="media/image64.wmf"/><Relationship Id="rId71" Type="http://schemas.openxmlformats.org/officeDocument/2006/relationships/image" Target="media/image63.wmf"/><Relationship Id="rId70" Type="http://schemas.openxmlformats.org/officeDocument/2006/relationships/image" Target="media/image62.wmf"/><Relationship Id="rId7" Type="http://schemas.openxmlformats.org/officeDocument/2006/relationships/image" Target="media/image1.png"/><Relationship Id="rId69" Type="http://schemas.openxmlformats.org/officeDocument/2006/relationships/image" Target="media/image61.wmf"/><Relationship Id="rId68" Type="http://schemas.openxmlformats.org/officeDocument/2006/relationships/image" Target="media/image60.wmf"/><Relationship Id="rId67" Type="http://schemas.openxmlformats.org/officeDocument/2006/relationships/image" Target="media/image59.wmf"/><Relationship Id="rId66" Type="http://schemas.openxmlformats.org/officeDocument/2006/relationships/image" Target="media/image58.wmf"/><Relationship Id="rId65" Type="http://schemas.openxmlformats.org/officeDocument/2006/relationships/image" Target="media/image57.wmf"/><Relationship Id="rId64" Type="http://schemas.openxmlformats.org/officeDocument/2006/relationships/image" Target="media/image56.wmf"/><Relationship Id="rId63" Type="http://schemas.openxmlformats.org/officeDocument/2006/relationships/image" Target="media/image55.wmf"/><Relationship Id="rId62" Type="http://schemas.openxmlformats.org/officeDocument/2006/relationships/image" Target="media/image54.wmf"/><Relationship Id="rId61" Type="http://schemas.openxmlformats.org/officeDocument/2006/relationships/image" Target="media/image53.wmf"/><Relationship Id="rId60" Type="http://schemas.openxmlformats.org/officeDocument/2006/relationships/image" Target="media/image52.wmf"/><Relationship Id="rId6" Type="http://schemas.openxmlformats.org/officeDocument/2006/relationships/theme" Target="theme/theme1.xml"/><Relationship Id="rId59" Type="http://schemas.openxmlformats.org/officeDocument/2006/relationships/image" Target="media/image51.wmf"/><Relationship Id="rId58" Type="http://schemas.openxmlformats.org/officeDocument/2006/relationships/image" Target="media/image50.wmf"/><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3.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2.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png"/><Relationship Id="rId30" Type="http://schemas.openxmlformats.org/officeDocument/2006/relationships/image" Target="media/image22.wmf"/><Relationship Id="rId3" Type="http://schemas.openxmlformats.org/officeDocument/2006/relationships/footer" Target="footer1.xml"/><Relationship Id="rId29" Type="http://schemas.openxmlformats.org/officeDocument/2006/relationships/oleObject" Target="embeddings/oleObject2.bin"/><Relationship Id="rId28" Type="http://schemas.openxmlformats.org/officeDocument/2006/relationships/image" Target="media/image21.wmf"/><Relationship Id="rId27" Type="http://schemas.openxmlformats.org/officeDocument/2006/relationships/oleObject" Target="embeddings/oleObject1.bin"/><Relationship Id="rId26" Type="http://schemas.openxmlformats.org/officeDocument/2006/relationships/image" Target="media/image20.png"/><Relationship Id="rId25" Type="http://schemas.openxmlformats.org/officeDocument/2006/relationships/image" Target="media/image19.wmf"/><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jpeg"/><Relationship Id="rId15" Type="http://schemas.openxmlformats.org/officeDocument/2006/relationships/image" Target="media/image9.e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5" Type="http://schemas.openxmlformats.org/officeDocument/2006/relationships/fontTable" Target="fontTable.xml"/><Relationship Id="rId104" Type="http://schemas.openxmlformats.org/officeDocument/2006/relationships/customXml" Target="../customXml/item2.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AF1A88-918A-4E59-8723-B88E292774D3}">
  <ds:schemaRefs/>
</ds:datastoreItem>
</file>

<file path=docProps/app.xml><?xml version="1.0" encoding="utf-8"?>
<Properties xmlns="http://schemas.openxmlformats.org/officeDocument/2006/extended-properties" xmlns:vt="http://schemas.openxmlformats.org/officeDocument/2006/docPropsVTypes">
  <Template>Normal</Template>
  <Company>南通峰缘网络科技有限公司</Company>
  <Pages>102</Pages>
  <Words>63176</Words>
  <Characters>69509</Characters>
  <Lines>362</Lines>
  <Paragraphs>102</Paragraphs>
  <TotalTime>3</TotalTime>
  <ScaleCrop>false</ScaleCrop>
  <LinksUpToDate>false</LinksUpToDate>
  <CharactersWithSpaces>70112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2021-04-27T07:25:00Z</dcterms:created>
  <dc:creator>Windows 用户</dc:creator>
  <cp:lastModifiedBy>L</cp:lastModifiedBy>
  <cp:lastPrinted>2021-06-18T14:05:00Z</cp:lastPrinted>
  <dcterms:modified xsi:type="dcterms:W3CDTF">2024-07-18T06:46:08Z</dcterms:modified>
  <cp:revision>4994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0A8F6B753588484AAE1E0552D8BF3A0A_13</vt:lpwstr>
  </property>
</Properties>
</file>